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B472E" w:rsidRDefault="00BB472E">
      <w:bookmarkStart w:id="0" w:name="_GoBack"/>
      <w:bookmarkEnd w:id="0"/>
    </w:p>
    <w:p w:rsidR="00D222F4" w:rsidRPr="00447BB4" w:rsidRDefault="0052576D" w:rsidP="00447BB4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Built Portfolio </w:t>
      </w:r>
      <w:r w:rsidR="00D222F4">
        <w:rPr>
          <w:b/>
          <w:sz w:val="36"/>
          <w:szCs w:val="36"/>
        </w:rPr>
        <w:t>Wilcoxon Test</w:t>
      </w:r>
    </w:p>
    <w:p w:rsidR="00D222F4" w:rsidRPr="00114372" w:rsidRDefault="00C45D8E">
      <w:pPr>
        <w:rPr>
          <w:b/>
        </w:rPr>
      </w:pPr>
      <w:r>
        <w:rPr>
          <w:b/>
        </w:rPr>
        <w:t>Exercise 1</w:t>
      </w:r>
    </w:p>
    <w:p w:rsidR="007D6ACE" w:rsidRDefault="007D6ACE">
      <w:r>
        <w:t xml:space="preserve">Perform a Wilcoxon </w:t>
      </w:r>
      <w:r w:rsidR="00114372">
        <w:t>test on</w:t>
      </w:r>
      <w:r>
        <w:t xml:space="preserve"> the following</w:t>
      </w:r>
    </w:p>
    <w:p w:rsidR="00BB2243" w:rsidRDefault="00114372">
      <w:r w:rsidRPr="00114372">
        <w:t xml:space="preserve">Likert (0-7) assessment of </w:t>
      </w:r>
      <w:r w:rsidR="0052576D">
        <w:t>the aesthet</w:t>
      </w:r>
      <w:r w:rsidR="00984A49">
        <w:t>ics of Norman Foster’s building</w:t>
      </w:r>
      <w:r w:rsidRPr="00114372">
        <w:t xml:space="preserve"> amongst a student cohort</w:t>
      </w:r>
      <w:r w:rsidR="00902E8E">
        <w:t xml:space="preserve"> between</w:t>
      </w:r>
      <w:r w:rsidRPr="00114372">
        <w:t xml:space="preserve"> </w:t>
      </w:r>
      <w:r w:rsidR="00BB2243" w:rsidRPr="00114372">
        <w:t>fresher’s</w:t>
      </w:r>
      <w:r w:rsidRPr="00114372">
        <w:t xml:space="preserve"> </w:t>
      </w:r>
      <w:r w:rsidR="00902E8E" w:rsidRPr="00114372">
        <w:t>weeks</w:t>
      </w:r>
      <w:r w:rsidRPr="00114372">
        <w:t xml:space="preserve"> to graduation</w:t>
      </w:r>
      <w:r w:rsidR="0052576D">
        <w:t>.</w:t>
      </w:r>
    </w:p>
    <w:p w:rsidR="00BB2243" w:rsidRDefault="00BB2243" w:rsidP="00984A49">
      <w:pPr>
        <w:jc w:val="center"/>
      </w:pPr>
      <w:r>
        <w:rPr>
          <w:noProof/>
          <w:color w:val="0000FF"/>
        </w:rPr>
        <w:drawing>
          <wp:inline distT="0" distB="0" distL="0" distR="0">
            <wp:extent cx="4475672" cy="1676400"/>
            <wp:effectExtent l="0" t="0" r="0" b="0"/>
            <wp:docPr id="4" name="Picture 4" descr="http://assets.inhabitat.com/files/millenium-dome-sketch.jpg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assets.inhabitat.com/files/millenium-dome-sketch.jpg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5672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4A49" w:rsidRDefault="00984A49" w:rsidP="00984A49">
      <w:pPr>
        <w:jc w:val="center"/>
      </w:pPr>
      <w:r>
        <w:rPr>
          <w:noProof/>
          <w:color w:val="0000FF"/>
        </w:rPr>
        <w:drawing>
          <wp:inline distT="0" distB="0" distL="0" distR="0">
            <wp:extent cx="3993444" cy="2667000"/>
            <wp:effectExtent l="0" t="0" r="0" b="0"/>
            <wp:docPr id="3" name="Picture 3" descr="http://t2.gstatic.com/images?q=tbn:ANd9GcR8jdyeIg7cbRzndjr5vekm5korhXug1P4g5U64ACaKRawOByX0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http://t2.gstatic.com/images?q=tbn:ANd9GcR8jdyeIg7cbRzndjr5vekm5korhXug1P4g5U64ACaKRawOByX0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3444" cy="2667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14372" w:rsidRDefault="00114372" w:rsidP="00114372">
      <w:pPr>
        <w:pStyle w:val="ListParagraph"/>
        <w:numPr>
          <w:ilvl w:val="0"/>
          <w:numId w:val="2"/>
        </w:numPr>
        <w:jc w:val="both"/>
        <w:rPr>
          <w:i/>
          <w:sz w:val="24"/>
          <w:szCs w:val="24"/>
        </w:rPr>
      </w:pPr>
      <w:r>
        <w:rPr>
          <w:i/>
          <w:sz w:val="24"/>
          <w:szCs w:val="24"/>
        </w:rPr>
        <w:t>Construct a Null and alternative hypothesis</w:t>
      </w:r>
    </w:p>
    <w:p w:rsidR="00114372" w:rsidRDefault="00114372" w:rsidP="00114372">
      <w:pPr>
        <w:pStyle w:val="ListParagraph"/>
        <w:numPr>
          <w:ilvl w:val="0"/>
          <w:numId w:val="2"/>
        </w:numPr>
        <w:jc w:val="both"/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Perform the Wilcoxon test </w:t>
      </w:r>
      <w:r w:rsidRPr="00C24261">
        <w:rPr>
          <w:i/>
          <w:sz w:val="24"/>
          <w:szCs w:val="24"/>
        </w:rPr>
        <w:t>on the following data set and comment on the</w:t>
      </w:r>
      <w:r w:rsidR="00984A49">
        <w:rPr>
          <w:i/>
          <w:sz w:val="24"/>
          <w:szCs w:val="24"/>
        </w:rPr>
        <w:t xml:space="preserve"> significance of the results</w:t>
      </w:r>
      <w:r w:rsidRPr="00C24261">
        <w:rPr>
          <w:i/>
          <w:sz w:val="24"/>
          <w:szCs w:val="24"/>
        </w:rPr>
        <w:t>. P 0.05 &amp; P0.01</w:t>
      </w:r>
    </w:p>
    <w:p w:rsidR="00984A49" w:rsidRDefault="00114372" w:rsidP="00984A49">
      <w:pPr>
        <w:pStyle w:val="ListParagraph"/>
        <w:numPr>
          <w:ilvl w:val="0"/>
          <w:numId w:val="2"/>
        </w:numPr>
        <w:jc w:val="both"/>
        <w:rPr>
          <w:i/>
          <w:sz w:val="24"/>
          <w:szCs w:val="24"/>
        </w:rPr>
      </w:pPr>
      <w:r>
        <w:rPr>
          <w:i/>
          <w:sz w:val="24"/>
          <w:szCs w:val="24"/>
        </w:rPr>
        <w:t>What do the results tell us about the research and what doesn’t this t</w:t>
      </w:r>
      <w:r w:rsidR="00984A49">
        <w:rPr>
          <w:i/>
          <w:sz w:val="24"/>
          <w:szCs w:val="24"/>
        </w:rPr>
        <w:t>est tell us about the data set?</w:t>
      </w:r>
    </w:p>
    <w:p w:rsidR="00114372" w:rsidRPr="00984A49" w:rsidRDefault="00984A49" w:rsidP="00984A49">
      <w:pPr>
        <w:rPr>
          <w:i/>
          <w:sz w:val="24"/>
          <w:szCs w:val="24"/>
        </w:rPr>
      </w:pPr>
      <w:r>
        <w:rPr>
          <w:i/>
          <w:sz w:val="24"/>
          <w:szCs w:val="24"/>
        </w:rPr>
        <w:br w:type="page"/>
      </w:r>
    </w:p>
    <w:tbl>
      <w:tblPr>
        <w:tblW w:w="8646" w:type="dxa"/>
        <w:tblInd w:w="93" w:type="dxa"/>
        <w:tblLook w:val="04A0" w:firstRow="1" w:lastRow="0" w:firstColumn="1" w:lastColumn="0" w:noHBand="0" w:noVBand="1"/>
      </w:tblPr>
      <w:tblGrid>
        <w:gridCol w:w="2069"/>
        <w:gridCol w:w="1460"/>
        <w:gridCol w:w="1600"/>
        <w:gridCol w:w="1257"/>
        <w:gridCol w:w="1180"/>
        <w:gridCol w:w="1080"/>
      </w:tblGrid>
      <w:tr w:rsidR="00114372" w:rsidRPr="00BB2243" w:rsidTr="00BB2243">
        <w:trPr>
          <w:trHeight w:val="300"/>
        </w:trPr>
        <w:tc>
          <w:tcPr>
            <w:tcW w:w="20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114372" w:rsidRPr="00BB2243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color w:val="000000"/>
              </w:rPr>
            </w:pPr>
            <w:r w:rsidRPr="00BB2243">
              <w:rPr>
                <w:rFonts w:ascii="Calibri" w:eastAsia="Times New Roman" w:hAnsi="Calibri" w:cs="Calibri"/>
                <w:b/>
                <w:color w:val="000000"/>
              </w:rPr>
              <w:lastRenderedPageBreak/>
              <w:t>Gender</w:t>
            </w:r>
          </w:p>
        </w:tc>
        <w:tc>
          <w:tcPr>
            <w:tcW w:w="14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114372" w:rsidRPr="00BB2243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color w:val="000000"/>
              </w:rPr>
            </w:pPr>
            <w:r w:rsidRPr="00BB2243">
              <w:rPr>
                <w:rFonts w:ascii="Calibri" w:eastAsia="Times New Roman" w:hAnsi="Calibri" w:cs="Calibri"/>
                <w:b/>
                <w:color w:val="000000"/>
              </w:rPr>
              <w:t xml:space="preserve">Likert </w:t>
            </w:r>
            <w:proofErr w:type="spellStart"/>
            <w:r w:rsidRPr="00BB2243">
              <w:rPr>
                <w:rFonts w:ascii="Calibri" w:eastAsia="Times New Roman" w:hAnsi="Calibri" w:cs="Calibri"/>
                <w:b/>
                <w:color w:val="000000"/>
              </w:rPr>
              <w:t>freshers</w:t>
            </w:r>
            <w:proofErr w:type="spellEnd"/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114372" w:rsidRPr="00BB2243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color w:val="000000"/>
              </w:rPr>
            </w:pPr>
            <w:r w:rsidRPr="00BB2243">
              <w:rPr>
                <w:rFonts w:ascii="Calibri" w:eastAsia="Times New Roman" w:hAnsi="Calibri" w:cs="Calibri"/>
                <w:b/>
                <w:color w:val="000000"/>
              </w:rPr>
              <w:t>Likert Graduates</w:t>
            </w:r>
          </w:p>
        </w:tc>
        <w:tc>
          <w:tcPr>
            <w:tcW w:w="125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BB2243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</w:rPr>
            </w:pPr>
            <w:r w:rsidRPr="00BB2243">
              <w:rPr>
                <w:rFonts w:ascii="Calibri" w:eastAsia="Times New Roman" w:hAnsi="Calibri" w:cs="Calibri"/>
                <w:b/>
                <w:color w:val="000000"/>
              </w:rPr>
              <w:t>Differences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BB2243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</w:rPr>
            </w:pPr>
            <w:r w:rsidRPr="00BB2243">
              <w:rPr>
                <w:rFonts w:ascii="Calibri" w:eastAsia="Times New Roman" w:hAnsi="Calibri" w:cs="Calibri"/>
                <w:b/>
                <w:color w:val="000000"/>
              </w:rPr>
              <w:t>Rank Diff.</w:t>
            </w: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BB2243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</w:rPr>
            </w:pPr>
            <w:r w:rsidRPr="00BB2243">
              <w:rPr>
                <w:rFonts w:ascii="Calibri" w:eastAsia="Times New Roman" w:hAnsi="Calibri" w:cs="Calibri"/>
                <w:b/>
                <w:color w:val="000000"/>
              </w:rPr>
              <w:t>signed rank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4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6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6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7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7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6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4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7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7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7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7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7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7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6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4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M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5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6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F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4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984A4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T+=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T-=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n=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T=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T Tabulated (P&lt;0.05) =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Interpretive statement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2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1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4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25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  <w:tr w:rsidR="00114372" w:rsidRPr="00984A49" w:rsidTr="00BB2243">
        <w:trPr>
          <w:trHeight w:val="300"/>
        </w:trPr>
        <w:tc>
          <w:tcPr>
            <w:tcW w:w="206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25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114372" w:rsidRPr="00984A49" w:rsidRDefault="00114372" w:rsidP="0011437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</w:rPr>
            </w:pPr>
            <w:r w:rsidRPr="00984A49">
              <w:rPr>
                <w:rFonts w:ascii="Calibri" w:eastAsia="Times New Roman" w:hAnsi="Calibri" w:cs="Calibri"/>
                <w:color w:val="000000"/>
                <w:sz w:val="20"/>
              </w:rPr>
              <w:t> </w:t>
            </w:r>
          </w:p>
        </w:tc>
      </w:tr>
    </w:tbl>
    <w:p w:rsidR="00C45D8E" w:rsidRDefault="00C45D8E" w:rsidP="00C45D8E">
      <w:pPr>
        <w:jc w:val="both"/>
        <w:rPr>
          <w:sz w:val="24"/>
          <w:szCs w:val="24"/>
        </w:rPr>
      </w:pPr>
    </w:p>
    <w:p w:rsidR="00C45D8E" w:rsidRPr="00C45D8E" w:rsidRDefault="00C45D8E" w:rsidP="00C45D8E">
      <w:pPr>
        <w:jc w:val="both"/>
        <w:rPr>
          <w:b/>
          <w:sz w:val="24"/>
          <w:szCs w:val="24"/>
        </w:rPr>
      </w:pPr>
      <w:r w:rsidRPr="00C45D8E">
        <w:rPr>
          <w:b/>
          <w:sz w:val="24"/>
          <w:szCs w:val="24"/>
        </w:rPr>
        <w:lastRenderedPageBreak/>
        <w:t>Exercise 2</w:t>
      </w:r>
    </w:p>
    <w:p w:rsidR="00C45D8E" w:rsidRPr="005F05BC" w:rsidRDefault="00C45D8E" w:rsidP="00C45D8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 urban regeneration project in 2012 (Bristol) asked adults over 18 years to rank a list of issues in order of importance.  </w:t>
      </w:r>
      <w:r w:rsidR="00902E8E">
        <w:rPr>
          <w:sz w:val="24"/>
          <w:szCs w:val="24"/>
        </w:rPr>
        <w:t xml:space="preserve">They were then asked to attend a public meeting where the urban regeneration were discussed with planners and they again ranked the issues.  </w:t>
      </w:r>
      <w:r>
        <w:rPr>
          <w:sz w:val="24"/>
          <w:szCs w:val="24"/>
        </w:rPr>
        <w:t>Use a Wilcoxon matched pairs test to assess if there is a significant difference between the groups.</w:t>
      </w:r>
    </w:p>
    <w:p w:rsidR="00C45D8E" w:rsidRDefault="00C45D8E" w:rsidP="00C45D8E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i/>
          <w:sz w:val="24"/>
          <w:szCs w:val="24"/>
        </w:rPr>
        <w:t>Construct a Null and alternative hypothesis</w:t>
      </w:r>
    </w:p>
    <w:p w:rsidR="00C45D8E" w:rsidRDefault="00C45D8E" w:rsidP="00C45D8E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Perform the Wilcoxon test </w:t>
      </w:r>
      <w:r w:rsidRPr="00C24261">
        <w:rPr>
          <w:i/>
          <w:sz w:val="24"/>
          <w:szCs w:val="24"/>
        </w:rPr>
        <w:t>on the following data set and comment on the</w:t>
      </w:r>
      <w:r>
        <w:rPr>
          <w:i/>
          <w:sz w:val="24"/>
          <w:szCs w:val="24"/>
        </w:rPr>
        <w:t xml:space="preserve"> significance of the results urban planning</w:t>
      </w:r>
      <w:r w:rsidRPr="00C24261">
        <w:rPr>
          <w:i/>
          <w:sz w:val="24"/>
          <w:szCs w:val="24"/>
        </w:rPr>
        <w:t>. P 0.05 &amp; P0.01</w:t>
      </w:r>
    </w:p>
    <w:p w:rsidR="00C45D8E" w:rsidRPr="00D222F4" w:rsidRDefault="00C45D8E" w:rsidP="00C45D8E">
      <w:pPr>
        <w:pStyle w:val="ListParagraph"/>
        <w:numPr>
          <w:ilvl w:val="0"/>
          <w:numId w:val="1"/>
        </w:numPr>
        <w:jc w:val="both"/>
        <w:rPr>
          <w:i/>
          <w:sz w:val="24"/>
          <w:szCs w:val="24"/>
        </w:rPr>
      </w:pPr>
      <w:r>
        <w:rPr>
          <w:i/>
          <w:sz w:val="24"/>
          <w:szCs w:val="24"/>
        </w:rPr>
        <w:t>What do the results tell us about the research and the statistical test?</w:t>
      </w:r>
    </w:p>
    <w:tbl>
      <w:tblPr>
        <w:tblW w:w="9680" w:type="dxa"/>
        <w:tblInd w:w="93" w:type="dxa"/>
        <w:tblLook w:val="04A0" w:firstRow="1" w:lastRow="0" w:firstColumn="1" w:lastColumn="0" w:noHBand="0" w:noVBand="1"/>
      </w:tblPr>
      <w:tblGrid>
        <w:gridCol w:w="3276"/>
        <w:gridCol w:w="1134"/>
        <w:gridCol w:w="1449"/>
        <w:gridCol w:w="1335"/>
        <w:gridCol w:w="1139"/>
        <w:gridCol w:w="1347"/>
      </w:tblGrid>
      <w:tr w:rsidR="00C45D8E" w:rsidRPr="00D222F4" w:rsidTr="00902E8E">
        <w:trPr>
          <w:trHeight w:val="300"/>
        </w:trPr>
        <w:tc>
          <w:tcPr>
            <w:tcW w:w="3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Importance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 xml:space="preserve">Rank </w:t>
            </w:r>
            <w:r w:rsidR="00902E8E">
              <w:rPr>
                <w:rFonts w:ascii="Calibri" w:eastAsia="Times New Roman" w:hAnsi="Calibri" w:cs="Calibri"/>
                <w:color w:val="000000"/>
              </w:rPr>
              <w:t>before meeting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C45D8E" w:rsidRPr="00D222F4" w:rsidRDefault="00C45D8E" w:rsidP="0093596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 xml:space="preserve">Rank </w:t>
            </w:r>
            <w:r w:rsidR="0093596C">
              <w:rPr>
                <w:rFonts w:ascii="Calibri" w:eastAsia="Times New Roman" w:hAnsi="Calibri" w:cs="Calibri"/>
                <w:color w:val="000000"/>
              </w:rPr>
              <w:t xml:space="preserve"> </w:t>
            </w:r>
            <w:r w:rsidR="00902E8E">
              <w:rPr>
                <w:rFonts w:ascii="Calibri" w:eastAsia="Times New Roman" w:hAnsi="Calibri" w:cs="Calibri"/>
                <w:color w:val="000000"/>
              </w:rPr>
              <w:t>after meeting</w:t>
            </w:r>
          </w:p>
        </w:tc>
        <w:tc>
          <w:tcPr>
            <w:tcW w:w="13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Differences</w:t>
            </w:r>
          </w:p>
        </w:tc>
        <w:tc>
          <w:tcPr>
            <w:tcW w:w="11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Rank Diff.</w:t>
            </w:r>
          </w:p>
        </w:tc>
        <w:tc>
          <w:tcPr>
            <w:tcW w:w="134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signed rank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0632DC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P</w:t>
            </w:r>
            <w:r w:rsidR="00C45D8E" w:rsidRPr="00D222F4">
              <w:rPr>
                <w:rFonts w:ascii="Calibri" w:eastAsia="Times New Roman" w:hAnsi="Calibri" w:cs="Calibri"/>
                <w:color w:val="000000"/>
              </w:rPr>
              <w:t>ollution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7.5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902E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Vandalism</w:t>
            </w:r>
            <w:r w:rsidRPr="00D222F4">
              <w:rPr>
                <w:rFonts w:ascii="Calibri" w:eastAsia="Times New Roman" w:hAnsi="Calibri" w:cs="Calibri"/>
                <w:color w:val="000000"/>
              </w:rPr>
              <w:t xml:space="preserve">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Right to access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3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20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0632DC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Litter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4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14.5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Physical access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5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9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 xml:space="preserve">Safety </w:t>
            </w:r>
            <w:r w:rsidR="000632DC">
              <w:rPr>
                <w:rFonts w:ascii="Calibri" w:eastAsia="Times New Roman" w:hAnsi="Calibri" w:cs="Calibri"/>
                <w:color w:val="000000"/>
              </w:rPr>
              <w:t>and danger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6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17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F</w:t>
            </w:r>
            <w:r w:rsidRPr="00D222F4">
              <w:rPr>
                <w:rFonts w:ascii="Calibri" w:eastAsia="Times New Roman" w:hAnsi="Calibri" w:cs="Calibri"/>
                <w:color w:val="000000"/>
              </w:rPr>
              <w:t xml:space="preserve">acilities </w:t>
            </w:r>
            <w:r>
              <w:rPr>
                <w:rFonts w:ascii="Calibri" w:eastAsia="Times New Roman" w:hAnsi="Calibri" w:cs="Calibri"/>
                <w:color w:val="000000"/>
              </w:rPr>
              <w:t>/ services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7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3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Public footpaths</w:t>
            </w:r>
            <w:r w:rsidRPr="00D222F4">
              <w:rPr>
                <w:rFonts w:ascii="Calibri" w:eastAsia="Times New Roman" w:hAnsi="Calibri" w:cs="Calibri"/>
                <w:color w:val="000000"/>
              </w:rPr>
              <w:t xml:space="preserve"> 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8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17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902E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Building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9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23.5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902E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Construction phase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10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7.5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0632DC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Social demographics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11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4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0632DC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Councils plans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12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26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902E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Aesthetics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13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23.5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Friends/family/carers</w:t>
            </w:r>
            <w:r>
              <w:rPr>
                <w:rFonts w:ascii="Calibri" w:eastAsia="Times New Roman" w:hAnsi="Calibri" w:cs="Calibri"/>
                <w:color w:val="000000"/>
              </w:rPr>
              <w:t xml:space="preserve">  (proximity)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14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10.5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Pets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15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17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 xml:space="preserve">Signage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16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12.5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 xml:space="preserve">Weather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17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10.5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0632DC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Schools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18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23.5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 xml:space="preserve">Transport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19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12.5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Socialising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20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20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902E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Sustainability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21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6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Building conservation</w:t>
            </w:r>
            <w:r w:rsidRPr="00D222F4">
              <w:rPr>
                <w:rFonts w:ascii="Calibri" w:eastAsia="Times New Roman" w:hAnsi="Calibri" w:cs="Calibri"/>
                <w:color w:val="000000"/>
              </w:rPr>
              <w:t xml:space="preserve">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22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Recreational activities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23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Health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24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23.5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0632DC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Playgrounds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25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14.5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902E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 xml:space="preserve">Fauna </w:t>
            </w:r>
            <w:r>
              <w:rPr>
                <w:rFonts w:ascii="Calibri" w:eastAsia="Times New Roman" w:hAnsi="Calibri" w:cs="Calibri"/>
                <w:color w:val="000000"/>
              </w:rPr>
              <w:t xml:space="preserve">&amp; </w:t>
            </w:r>
            <w:r w:rsidRPr="00D222F4">
              <w:rPr>
                <w:rFonts w:ascii="Calibri" w:eastAsia="Times New Roman" w:hAnsi="Calibri" w:cs="Calibri"/>
                <w:color w:val="000000"/>
              </w:rPr>
              <w:t>Flora</w:t>
            </w:r>
            <w:r>
              <w:rPr>
                <w:rFonts w:ascii="Calibri" w:eastAsia="Times New Roman" w:hAnsi="Calibri" w:cs="Calibri"/>
                <w:color w:val="000000"/>
              </w:rPr>
              <w:t xml:space="preserve"> (local)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26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20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:rsidR="00C45D8E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:rsidR="00C45D8E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:rsidR="00C45D8E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:rsidR="00C45D8E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:rsidR="00C45D8E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T+=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T-=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n=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T=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T Tabulated (P&lt;0.05) =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Interpretive statement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13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34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D222F4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C45D8E" w:rsidRPr="00D222F4" w:rsidTr="00902E8E">
        <w:trPr>
          <w:trHeight w:val="300"/>
        </w:trPr>
        <w:tc>
          <w:tcPr>
            <w:tcW w:w="3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44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34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45D8E" w:rsidRPr="00D222F4" w:rsidRDefault="00C45D8E" w:rsidP="00902E8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</w:tr>
    </w:tbl>
    <w:p w:rsidR="00C45D8E" w:rsidRDefault="00C45D8E" w:rsidP="00C45D8E"/>
    <w:p w:rsidR="00114372" w:rsidRDefault="00114372" w:rsidP="00C45D8E"/>
    <w:sectPr w:rsidR="00114372" w:rsidSect="00BB472E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02E8E" w:rsidRDefault="00902E8E" w:rsidP="00114372">
      <w:pPr>
        <w:spacing w:after="0" w:line="240" w:lineRule="auto"/>
      </w:pPr>
      <w:r>
        <w:separator/>
      </w:r>
    </w:p>
  </w:endnote>
  <w:endnote w:type="continuationSeparator" w:id="0">
    <w:p w:rsidR="00902E8E" w:rsidRDefault="00902E8E" w:rsidP="001143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02E8E" w:rsidRDefault="00902E8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8333550"/>
      <w:docPartObj>
        <w:docPartGallery w:val="Page Numbers (Bottom of Page)"/>
        <w:docPartUnique/>
      </w:docPartObj>
    </w:sdtPr>
    <w:sdtEndPr/>
    <w:sdtContent>
      <w:p w:rsidR="00902E8E" w:rsidRDefault="00327A7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902E8E" w:rsidRDefault="00902E8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02E8E" w:rsidRDefault="00902E8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02E8E" w:rsidRDefault="00902E8E" w:rsidP="00114372">
      <w:pPr>
        <w:spacing w:after="0" w:line="240" w:lineRule="auto"/>
      </w:pPr>
      <w:r>
        <w:separator/>
      </w:r>
    </w:p>
  </w:footnote>
  <w:footnote w:type="continuationSeparator" w:id="0">
    <w:p w:rsidR="00902E8E" w:rsidRDefault="00902E8E" w:rsidP="001143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02E8E" w:rsidRDefault="00902E8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02E8E" w:rsidRDefault="00902E8E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02E8E" w:rsidRDefault="00902E8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52377A"/>
    <w:multiLevelType w:val="hybridMultilevel"/>
    <w:tmpl w:val="09881C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D46FBF"/>
    <w:multiLevelType w:val="hybridMultilevel"/>
    <w:tmpl w:val="09881C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22F4"/>
    <w:rsid w:val="000632DC"/>
    <w:rsid w:val="00100081"/>
    <w:rsid w:val="00114372"/>
    <w:rsid w:val="001216F2"/>
    <w:rsid w:val="00280789"/>
    <w:rsid w:val="00327A7B"/>
    <w:rsid w:val="00447BB4"/>
    <w:rsid w:val="0052576D"/>
    <w:rsid w:val="00604FE0"/>
    <w:rsid w:val="00620724"/>
    <w:rsid w:val="006425C6"/>
    <w:rsid w:val="006D174B"/>
    <w:rsid w:val="00777B9B"/>
    <w:rsid w:val="007D6ACE"/>
    <w:rsid w:val="007F3F86"/>
    <w:rsid w:val="00847686"/>
    <w:rsid w:val="00902E8E"/>
    <w:rsid w:val="0093596C"/>
    <w:rsid w:val="00947530"/>
    <w:rsid w:val="00984A49"/>
    <w:rsid w:val="00AF6218"/>
    <w:rsid w:val="00BB2243"/>
    <w:rsid w:val="00BB472E"/>
    <w:rsid w:val="00C224B7"/>
    <w:rsid w:val="00C45D8E"/>
    <w:rsid w:val="00CB5E4E"/>
    <w:rsid w:val="00D222F4"/>
    <w:rsid w:val="00E16411"/>
    <w:rsid w:val="00E72316"/>
    <w:rsid w:val="00F06498"/>
    <w:rsid w:val="00FD5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606DD55-B973-4C55-AABA-9948477D2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222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22F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D222F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1143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14372"/>
  </w:style>
  <w:style w:type="paragraph" w:styleId="Footer">
    <w:name w:val="footer"/>
    <w:basedOn w:val="Normal"/>
    <w:link w:val="FooterChar"/>
    <w:uiPriority w:val="99"/>
    <w:unhideWhenUsed/>
    <w:rsid w:val="001143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3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134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5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1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google.co.uk/url?sa=i&amp;source=images&amp;cd=&amp;cad=rja&amp;docid=UTjhwdhHFKB9HM&amp;tbnid=2uDlU_r2rExoCM:&amp;ved=0CAgQjRwwADgo&amp;url=http://inhabitat.com/and-the-prizker-goes-to-richard-rogers/&amp;ei=83MbUfOdBY-T0QWIqIHQDw&amp;psig=AFQjCNFKjnde8iHcVFNf1g_YJmrqQ5OCWg&amp;ust=1360840051151268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2.jpeg"/><Relationship Id="rId4" Type="http://schemas.openxmlformats.org/officeDocument/2006/relationships/webSettings" Target="webSettings.xml"/><Relationship Id="rId9" Type="http://schemas.openxmlformats.org/officeDocument/2006/relationships/hyperlink" Target="http://www.google.co.uk/url?sa=i&amp;rct=j&amp;q=norman+foster+gherkin+sketch&amp;source=images&amp;cd=&amp;cad=rja&amp;docid=21U06-Jptd65CM&amp;tbnid=hCc-DZK6JRcMhM:&amp;ved=0CAUQjRw&amp;url=http://www.buildingthegherkin.com/press/&amp;ei=y3QbUcOsK-bN0QWGoYCgCw&amp;bvm=bv.42261806,d.d2k&amp;psig=AFQjCNHAqG9UXNXJOIKpxcjG4nyKuUqGbg&amp;ust=1360840256137816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</TotalTime>
  <Pages>4</Pages>
  <Words>415</Words>
  <Characters>2367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2777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House, Chris</dc:creator>
  <cp:lastModifiedBy>Chris House</cp:lastModifiedBy>
  <cp:revision>12</cp:revision>
  <cp:lastPrinted>2017-03-30T08:53:00Z</cp:lastPrinted>
  <dcterms:created xsi:type="dcterms:W3CDTF">2012-03-16T14:19:00Z</dcterms:created>
  <dcterms:modified xsi:type="dcterms:W3CDTF">2017-03-30T08:53:00Z</dcterms:modified>
</cp:coreProperties>
</file>