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55766" w14:textId="0BB06FD4" w:rsidR="00773745" w:rsidRPr="002665EE" w:rsidRDefault="00507B1C" w:rsidP="00773745">
      <w:pPr>
        <w:jc w:val="center"/>
        <w:rPr>
          <w:sz w:val="44"/>
          <w:szCs w:val="44"/>
        </w:rPr>
      </w:pPr>
      <w:r w:rsidRPr="002665EE">
        <w:rPr>
          <w:sz w:val="44"/>
          <w:szCs w:val="44"/>
        </w:rPr>
        <w:t>S</w:t>
      </w:r>
      <w:r w:rsidR="00773745" w:rsidRPr="002665EE">
        <w:rPr>
          <w:sz w:val="44"/>
          <w:szCs w:val="44"/>
        </w:rPr>
        <w:t xml:space="preserve">habnam </w:t>
      </w:r>
      <w:r w:rsidRPr="002665EE">
        <w:rPr>
          <w:sz w:val="44"/>
          <w:szCs w:val="44"/>
        </w:rPr>
        <w:t>K</w:t>
      </w:r>
      <w:r w:rsidR="00773745" w:rsidRPr="002665EE">
        <w:rPr>
          <w:sz w:val="44"/>
          <w:szCs w:val="44"/>
        </w:rPr>
        <w:t>auser</w:t>
      </w:r>
    </w:p>
    <w:p w14:paraId="6BA67EA2" w14:textId="77777777" w:rsidR="00E13393" w:rsidRPr="002665EE" w:rsidRDefault="00773745" w:rsidP="00773745">
      <w:pPr>
        <w:jc w:val="center"/>
        <w:rPr>
          <w:sz w:val="44"/>
          <w:szCs w:val="44"/>
        </w:rPr>
      </w:pPr>
      <w:r w:rsidRPr="002665EE">
        <w:rPr>
          <w:sz w:val="44"/>
          <w:szCs w:val="44"/>
        </w:rPr>
        <w:t>2319036</w:t>
      </w:r>
    </w:p>
    <w:p w14:paraId="060FEC2C" w14:textId="77777777" w:rsidR="00E13393" w:rsidRPr="002665EE" w:rsidRDefault="00E13393" w:rsidP="00773745">
      <w:pPr>
        <w:jc w:val="center"/>
        <w:rPr>
          <w:sz w:val="44"/>
          <w:szCs w:val="44"/>
        </w:rPr>
      </w:pPr>
      <w:r w:rsidRPr="002665EE">
        <w:rPr>
          <w:sz w:val="44"/>
          <w:szCs w:val="44"/>
        </w:rPr>
        <w:t>Component 2</w:t>
      </w:r>
    </w:p>
    <w:p w14:paraId="1F222370" w14:textId="77777777" w:rsidR="002A3D83" w:rsidRPr="002665EE" w:rsidRDefault="00E13393" w:rsidP="00773745">
      <w:pPr>
        <w:jc w:val="center"/>
        <w:rPr>
          <w:sz w:val="44"/>
          <w:szCs w:val="44"/>
        </w:rPr>
      </w:pPr>
      <w:r w:rsidRPr="002665EE">
        <w:rPr>
          <w:sz w:val="44"/>
          <w:szCs w:val="44"/>
        </w:rPr>
        <w:t>Written Assig</w:t>
      </w:r>
      <w:r w:rsidR="002A3D83" w:rsidRPr="002665EE">
        <w:rPr>
          <w:sz w:val="44"/>
          <w:szCs w:val="44"/>
        </w:rPr>
        <w:t>nment (Research Report)</w:t>
      </w:r>
    </w:p>
    <w:p w14:paraId="77378A1D" w14:textId="77777777" w:rsidR="00507B1C" w:rsidRPr="002665EE" w:rsidRDefault="00507B1C" w:rsidP="00773745">
      <w:pPr>
        <w:jc w:val="center"/>
        <w:rPr>
          <w:sz w:val="44"/>
          <w:szCs w:val="44"/>
        </w:rPr>
      </w:pPr>
      <w:r w:rsidRPr="002665EE">
        <w:rPr>
          <w:sz w:val="44"/>
          <w:szCs w:val="44"/>
        </w:rPr>
        <w:t>BMHP5019</w:t>
      </w:r>
    </w:p>
    <w:p w14:paraId="180BDCB6" w14:textId="69838345" w:rsidR="00900A4E" w:rsidRDefault="00507B1C" w:rsidP="00773745">
      <w:pPr>
        <w:jc w:val="center"/>
      </w:pPr>
      <w:r w:rsidRPr="002665EE">
        <w:rPr>
          <w:sz w:val="44"/>
          <w:szCs w:val="44"/>
        </w:rPr>
        <w:t>Rizwan Nadim</w:t>
      </w:r>
      <w:r w:rsidR="00900A4E">
        <w:br w:type="page"/>
      </w:r>
    </w:p>
    <w:p w14:paraId="2261A7AD" w14:textId="64D34506" w:rsidR="00017CC6" w:rsidRPr="002665EE" w:rsidRDefault="00000000" w:rsidP="005F2AC2">
      <w:pPr>
        <w:rPr>
          <w:b/>
          <w:bCs/>
          <w:sz w:val="28"/>
          <w:szCs w:val="28"/>
          <w:u w:val="single"/>
        </w:rPr>
      </w:pPr>
      <w:r w:rsidRPr="002665EE">
        <w:rPr>
          <w:b/>
          <w:bCs/>
          <w:sz w:val="28"/>
          <w:szCs w:val="28"/>
          <w:u w:val="single"/>
        </w:rPr>
        <w:lastRenderedPageBreak/>
        <w:t>A Scoping Review of Telemedicine in Improving Healthcare Access for Rural Populations in the United Kingdom</w:t>
      </w:r>
    </w:p>
    <w:p w14:paraId="176A57B0" w14:textId="77777777" w:rsidR="00017CC6" w:rsidRPr="00877B04" w:rsidRDefault="00000000" w:rsidP="00877B04">
      <w:pPr>
        <w:rPr>
          <w:b/>
          <w:bCs/>
        </w:rPr>
      </w:pPr>
      <w:r w:rsidRPr="00877B04">
        <w:rPr>
          <w:b/>
          <w:bCs/>
        </w:rPr>
        <w:t>1. Introduction</w:t>
      </w:r>
    </w:p>
    <w:p w14:paraId="65B2CB7C" w14:textId="77777777" w:rsidR="00017CC6" w:rsidRPr="00B12A99" w:rsidRDefault="00000000">
      <w:pPr>
        <w:rPr>
          <w:rFonts w:cs="Arial"/>
        </w:rPr>
      </w:pPr>
      <w:r w:rsidRPr="00B12A99">
        <w:rPr>
          <w:rFonts w:cs="Arial"/>
        </w:rPr>
        <w:t>Accessing healthcare remains a persistent challenge for people living in rural regions of the United Kingdom. Compared to urban residents, individuals in rural communities often have fewer nearby services, longer travel distances, limited public transport and ongoing workforce shortages in both primary and secondary care (Baird and Wright, 2022). These difficulties can affect how quickly people receive appointments, the frequency with which they engage with services and overall management of long-term conditions. As the NHS aims to reduce inequalities in access, finding effective ways to reach rural populations has become increasingly important.</w:t>
      </w:r>
    </w:p>
    <w:p w14:paraId="17353801" w14:textId="77777777" w:rsidR="00017CC6" w:rsidRPr="00B12A99" w:rsidRDefault="00000000">
      <w:pPr>
        <w:rPr>
          <w:rFonts w:cs="Arial"/>
        </w:rPr>
      </w:pPr>
      <w:r w:rsidRPr="00B12A99">
        <w:rPr>
          <w:rFonts w:cs="Arial"/>
        </w:rPr>
        <w:t>Telemedicine has been identified as one potential solution. Telemedicine refers to the delivery of clinical care using digital communication technologies such as video calls, telephone consultations, secure messaging and remote monitoring devices that send health data directly to clinicians (Greenhalgh et al., 2020). It forms part of the wider concept of digital health, which includes electronic records, digital prescribing and digitally enabled pathways of care (NHS England, 2019). Telemedicine aims to remove some of the traditional barriers to access by enabling people to receive advice, assessment or follow-up care without travelling to a clinic.</w:t>
      </w:r>
    </w:p>
    <w:p w14:paraId="6FB23DAD" w14:textId="77777777" w:rsidR="00017CC6" w:rsidRPr="00B12A99" w:rsidRDefault="00000000">
      <w:pPr>
        <w:rPr>
          <w:rFonts w:cs="Arial"/>
        </w:rPr>
      </w:pPr>
      <w:r w:rsidRPr="00B12A99">
        <w:rPr>
          <w:rFonts w:cs="Arial"/>
        </w:rPr>
        <w:t>The uptake of telemedicine increased rapidly during the COVID-19 pandemic, when health services needed to reduce in-person contact to limit infection. General practice, hospital outpatient clinics and mental health services adopted remote models at pace, and many of these approaches have since remained part of routine NHS care (RCGP, 2020; Wootton, 2020). However, digital services do not benefit everyone equally. Some rural regions have poorer broadband coverage, older adults may struggle with digital skills and low-income households may lack suitable devices (Ofcom, 2021; Temple and Russell, 2022). This makes it essential to explore whether telemedicine genuinely improves access across diverse rural groups.</w:t>
      </w:r>
    </w:p>
    <w:p w14:paraId="23F50259" w14:textId="77777777" w:rsidR="00017CC6" w:rsidRPr="00B12A99" w:rsidRDefault="00000000">
      <w:pPr>
        <w:rPr>
          <w:rFonts w:cs="Arial"/>
        </w:rPr>
      </w:pPr>
      <w:r w:rsidRPr="00B12A99">
        <w:rPr>
          <w:rFonts w:cs="Arial"/>
        </w:rPr>
        <w:t>A scoping review offers a structured way to explore a wide body of evidence. Rather than testing a single hypothesis, scoping reviews map existing research, identify common themes and highlight gaps in knowledge (Arksey and O’Malley, 2005). Telemedicine is an evolving and multidisciplinary field, making a scoping review appropriate for understanding how it influences healthcare access in rural UK settings.</w:t>
      </w:r>
    </w:p>
    <w:p w14:paraId="0967C469" w14:textId="77777777" w:rsidR="00017CC6" w:rsidRPr="00B12A99" w:rsidRDefault="00000000">
      <w:pPr>
        <w:rPr>
          <w:rFonts w:cs="Arial"/>
        </w:rPr>
      </w:pPr>
      <w:r w:rsidRPr="00B12A99">
        <w:rPr>
          <w:rFonts w:cs="Arial"/>
        </w:rPr>
        <w:t>Review Question: How does telemedicine influence access to healthcare for people living in rural areas of the United Kingdom?</w:t>
      </w:r>
    </w:p>
    <w:p w14:paraId="6CE6ACD6" w14:textId="77777777" w:rsidR="00017CC6" w:rsidRPr="00B12A99" w:rsidRDefault="00000000">
      <w:pPr>
        <w:rPr>
          <w:rFonts w:cs="Arial"/>
        </w:rPr>
      </w:pPr>
      <w:r w:rsidRPr="00B12A99">
        <w:rPr>
          <w:rFonts w:cs="Arial"/>
        </w:rPr>
        <w:t>Objectives of this review are to: describe how telemedicine is being used in rural UK communities; identify key benefits and challenges reported in peer-reviewed evidence; explore patterns across studies using thematic analysis; and highlight gaps in the literature to recommend areas for development in practice and policy.</w:t>
      </w:r>
    </w:p>
    <w:p w14:paraId="68816C86" w14:textId="77777777" w:rsidR="00017CC6" w:rsidRPr="00877B04" w:rsidRDefault="00000000" w:rsidP="00877B04">
      <w:pPr>
        <w:rPr>
          <w:b/>
          <w:bCs/>
        </w:rPr>
      </w:pPr>
      <w:r w:rsidRPr="00877B04">
        <w:rPr>
          <w:b/>
          <w:bCs/>
        </w:rPr>
        <w:lastRenderedPageBreak/>
        <w:t>2. Background</w:t>
      </w:r>
    </w:p>
    <w:p w14:paraId="482D4857" w14:textId="77777777" w:rsidR="00017CC6" w:rsidRPr="00B12A99" w:rsidRDefault="00000000">
      <w:pPr>
        <w:rPr>
          <w:rFonts w:cs="Arial"/>
        </w:rPr>
      </w:pPr>
      <w:r w:rsidRPr="00B12A99">
        <w:rPr>
          <w:rFonts w:cs="Arial"/>
        </w:rPr>
        <w:t>Rural areas make up large regions of the UK, including remote island settlements, coastal towns, farming regions and sparsely populated countryside. Around 17% of the population live in rural locations, where health services often cover wide geographical areas with fewer GP practices, fewer hospitals and limited access to specialist care (ONS, 2021). Travelling long distances, limited public transport and harsh weather can make attending appointments difficult for older adults, people with chronic conditions or those without access to a car (Baird and Wright, 2022). In this context, alternative models of care are vital.</w:t>
      </w:r>
    </w:p>
    <w:p w14:paraId="0C3D0E85" w14:textId="79693DE6" w:rsidR="00017CC6" w:rsidRPr="00B12A99" w:rsidRDefault="00000000">
      <w:pPr>
        <w:rPr>
          <w:rFonts w:cs="Arial"/>
        </w:rPr>
      </w:pPr>
      <w:r w:rsidRPr="00B12A99">
        <w:rPr>
          <w:rFonts w:cs="Arial"/>
        </w:rPr>
        <w:t>Telemedicine provides several digital options to support rural patients. Video consultations allow patients and clinicians to communicate face-to-face without meeting in person. Telephone appointments are widely used for medication reviews, symptom assessments and routine follow-ups. Secure messaging systems allow patients to seek advice, request prescriptions or ask questions outside traditional appointment times. Remote monitoring tools enable individuals to record readings such as blood pressure, blood glucose or oxygen saturation at home, with results sent electronically to a clinical team (Snoswell et al., 2021). In mental health care, teletherapy</w:t>
      </w:r>
      <w:r w:rsidR="001F0BC6">
        <w:rPr>
          <w:rFonts w:cs="Arial"/>
        </w:rPr>
        <w:t xml:space="preserve"> </w:t>
      </w:r>
      <w:r w:rsidRPr="00B12A99">
        <w:rPr>
          <w:rFonts w:cs="Arial"/>
        </w:rPr>
        <w:t>delivered via video or phone</w:t>
      </w:r>
      <w:r w:rsidR="001F0BC6">
        <w:rPr>
          <w:rFonts w:cs="Arial"/>
        </w:rPr>
        <w:t xml:space="preserve"> </w:t>
      </w:r>
      <w:r w:rsidRPr="00B12A99">
        <w:rPr>
          <w:rFonts w:cs="Arial"/>
        </w:rPr>
        <w:t>allows people to access psychological services while avoiding long journeys or concerns about stigma (Collins et al., 2023).</w:t>
      </w:r>
    </w:p>
    <w:p w14:paraId="5C4DD447" w14:textId="77777777" w:rsidR="0027748F" w:rsidRPr="002265F1" w:rsidRDefault="0027748F" w:rsidP="0027748F">
      <w:pPr>
        <w:pStyle w:val="NormalWeb"/>
        <w:rPr>
          <w:rFonts w:ascii="Arial" w:hAnsi="Arial" w:cs="Arial"/>
          <w:sz w:val="22"/>
          <w:szCs w:val="22"/>
        </w:rPr>
      </w:pPr>
      <w:r w:rsidRPr="002265F1">
        <w:rPr>
          <w:rFonts w:ascii="Arial" w:hAnsi="Arial" w:cs="Arial"/>
          <w:sz w:val="22"/>
          <w:szCs w:val="22"/>
        </w:rPr>
        <w:t xml:space="preserve">UK policy strongly supports the expansion and routine use of telemedicine, positioning digital care as a central feature of modern healthcare delivery. The NHS Long Term Plan (NHS England, 2019) places significant emphasis on widening digital access, particularly in primary care, where remote consultation models are expected to help manage rising demand and improve equity of access. This commitment is reinforced through the </w:t>
      </w:r>
      <w:r w:rsidRPr="002265F1">
        <w:rPr>
          <w:rStyle w:val="Strong"/>
          <w:rFonts w:ascii="Arial" w:hAnsi="Arial" w:cs="Arial"/>
          <w:b w:val="0"/>
          <w:bCs w:val="0"/>
          <w:sz w:val="22"/>
          <w:szCs w:val="22"/>
        </w:rPr>
        <w:t>Digital First Primary Care</w:t>
      </w:r>
      <w:r w:rsidRPr="002265F1">
        <w:rPr>
          <w:rFonts w:ascii="Arial" w:hAnsi="Arial" w:cs="Arial"/>
          <w:sz w:val="22"/>
          <w:szCs w:val="22"/>
        </w:rPr>
        <w:t xml:space="preserve"> guidance (NHS England, 2020), which provides detailed expectations for GP practices on how to safely and effectively incorporate online, telephone and video consultations into everyday workflows. At a wider system level, the </w:t>
      </w:r>
      <w:r w:rsidRPr="002265F1">
        <w:rPr>
          <w:rStyle w:val="Strong"/>
          <w:rFonts w:ascii="Arial" w:hAnsi="Arial" w:cs="Arial"/>
          <w:b w:val="0"/>
          <w:bCs w:val="0"/>
          <w:sz w:val="22"/>
          <w:szCs w:val="22"/>
        </w:rPr>
        <w:t>Health and Care Act</w:t>
      </w:r>
      <w:r w:rsidRPr="002265F1">
        <w:rPr>
          <w:rStyle w:val="Strong"/>
          <w:rFonts w:ascii="Arial" w:hAnsi="Arial" w:cs="Arial"/>
          <w:sz w:val="22"/>
          <w:szCs w:val="22"/>
        </w:rPr>
        <w:t xml:space="preserve"> </w:t>
      </w:r>
      <w:r w:rsidRPr="002265F1">
        <w:rPr>
          <w:rStyle w:val="Strong"/>
          <w:rFonts w:ascii="Arial" w:hAnsi="Arial" w:cs="Arial"/>
          <w:b w:val="0"/>
          <w:bCs w:val="0"/>
          <w:sz w:val="22"/>
          <w:szCs w:val="22"/>
        </w:rPr>
        <w:t>2022</w:t>
      </w:r>
      <w:r w:rsidRPr="002265F1">
        <w:rPr>
          <w:rFonts w:ascii="Arial" w:hAnsi="Arial" w:cs="Arial"/>
          <w:sz w:val="22"/>
          <w:szCs w:val="22"/>
        </w:rPr>
        <w:t xml:space="preserve"> promotes digital integration across the NHS and social care, recognising that consistent digital infrastructure and shared records are essential for joined-up, person-centred care. Complementing this, the </w:t>
      </w:r>
      <w:r w:rsidRPr="002265F1">
        <w:rPr>
          <w:rStyle w:val="Strong"/>
          <w:rFonts w:ascii="Arial" w:hAnsi="Arial" w:cs="Arial"/>
          <w:b w:val="0"/>
          <w:bCs w:val="0"/>
          <w:sz w:val="22"/>
          <w:szCs w:val="22"/>
        </w:rPr>
        <w:t>What Good Looks Like</w:t>
      </w:r>
      <w:r w:rsidRPr="002265F1">
        <w:rPr>
          <w:rFonts w:ascii="Arial" w:hAnsi="Arial" w:cs="Arial"/>
          <w:b/>
          <w:bCs/>
          <w:sz w:val="22"/>
          <w:szCs w:val="22"/>
        </w:rPr>
        <w:t xml:space="preserve"> </w:t>
      </w:r>
      <w:r w:rsidRPr="002265F1">
        <w:rPr>
          <w:rFonts w:ascii="Arial" w:hAnsi="Arial" w:cs="Arial"/>
          <w:sz w:val="22"/>
          <w:szCs w:val="22"/>
        </w:rPr>
        <w:t>framework (NHS Digital, 2021) outlines standards for high-quality digital transformation, including leadership, digital inclusion, interoperability and secure data use.</w:t>
      </w:r>
    </w:p>
    <w:p w14:paraId="30D59ACF" w14:textId="77777777" w:rsidR="0027748F" w:rsidRPr="002265F1" w:rsidRDefault="0027748F" w:rsidP="0027748F">
      <w:pPr>
        <w:pStyle w:val="NormalWeb"/>
        <w:rPr>
          <w:rFonts w:ascii="Arial" w:hAnsi="Arial" w:cs="Arial"/>
          <w:sz w:val="22"/>
          <w:szCs w:val="22"/>
        </w:rPr>
      </w:pPr>
      <w:r w:rsidRPr="002265F1">
        <w:rPr>
          <w:rFonts w:ascii="Arial" w:hAnsi="Arial" w:cs="Arial"/>
          <w:sz w:val="22"/>
          <w:szCs w:val="22"/>
        </w:rPr>
        <w:t xml:space="preserve">Beyond health-specific reforms, broader social policy also supports telemedicine growth. The </w:t>
      </w:r>
      <w:r w:rsidRPr="002265F1">
        <w:rPr>
          <w:rStyle w:val="Strong"/>
          <w:rFonts w:ascii="Arial" w:hAnsi="Arial" w:cs="Arial"/>
          <w:b w:val="0"/>
          <w:bCs w:val="0"/>
          <w:sz w:val="22"/>
          <w:szCs w:val="22"/>
        </w:rPr>
        <w:t>Care Act 2014</w:t>
      </w:r>
      <w:r w:rsidRPr="002265F1">
        <w:rPr>
          <w:rFonts w:ascii="Arial" w:hAnsi="Arial" w:cs="Arial"/>
          <w:sz w:val="22"/>
          <w:szCs w:val="22"/>
        </w:rPr>
        <w:t xml:space="preserve"> highlights the legal requirement for local authorities to ensure fair, accessible and preventive services, which aligns closely with the role telemedicine can play in supporting rural and underserved groups. Furthermore, the Department for Digital, Culture, Media &amp; Sport has identified rural connectivity as a national priority (UK Government, 2020), linking improved broadband infrastructure directly to better health, education and economic opportunities. This wider commitment to digital inclusion strengthens the overall policy environment and provides the foundations necessary for telemedicine to become a sustainable and equitable element of UK healthcare.</w:t>
      </w:r>
    </w:p>
    <w:p w14:paraId="708AA8E5" w14:textId="77777777" w:rsidR="00017CC6" w:rsidRPr="00B12A99" w:rsidRDefault="00000000">
      <w:pPr>
        <w:rPr>
          <w:rFonts w:cs="Arial"/>
        </w:rPr>
      </w:pPr>
      <w:r w:rsidRPr="00B12A99">
        <w:rPr>
          <w:rFonts w:cs="Arial"/>
        </w:rPr>
        <w:t xml:space="preserve">Telemedicine is increasingly used across rural regions. In the Scottish Highlands and Islands, video consulting allows patients to avoid extensive travel or ferry journeys </w:t>
      </w:r>
      <w:r w:rsidRPr="00B12A99">
        <w:rPr>
          <w:rFonts w:cs="Arial"/>
        </w:rPr>
        <w:lastRenderedPageBreak/>
        <w:t>(Donaghy et al., 2019; Johnston et al., 2022). In Wales, video and telephone GP consultations have remained popular since the pandemic, helping practices manage demand (Reilly et al., 2022). Remote mental health services offer counselling and therapy to people who might otherwise face long waits or difficulties attending face-to-face sessions (Collins et al., 2023). Digital innovation has also expanded into specialist areas such as teledermatology, where GPs can send images to consultants for rapid advice, reducing the need for rural patients to travel to hospitals (Zanaboni and Wootton, 2021).</w:t>
      </w:r>
    </w:p>
    <w:p w14:paraId="127E5D25" w14:textId="77777777" w:rsidR="00017CC6" w:rsidRDefault="00000000">
      <w:pPr>
        <w:rPr>
          <w:rFonts w:cs="Arial"/>
        </w:rPr>
      </w:pPr>
      <w:r w:rsidRPr="00B12A99">
        <w:rPr>
          <w:rFonts w:cs="Arial"/>
        </w:rPr>
        <w:t>Despite benefits, several challenges remain. Digital exclusion is more common in rural and disadvantaged areas. Ofcom (2021) reports that broadband speeds, mobile coverage and affordability remain lower in remote regions. Some households lack suitable devices, and others—particularly older adults—may feel uncertain or anxious about using technology (Temple and Russell, 2022). Additionally, some types of care cannot be delivered remotely, such as physical examinations, safeguarding assessments or procedures (Wootton, 2020). These limitations mean that telemedicine must complement, rather than replace, in-person care.</w:t>
      </w:r>
    </w:p>
    <w:p w14:paraId="3557BEA0" w14:textId="11AEF9EF" w:rsidR="005F2AC2" w:rsidRPr="002C7A8F" w:rsidRDefault="005F2AC2">
      <w:pPr>
        <w:rPr>
          <w:rFonts w:cs="Arial"/>
          <w:b/>
          <w:bCs/>
        </w:rPr>
      </w:pPr>
      <w:r w:rsidRPr="002C7A8F">
        <w:rPr>
          <w:rFonts w:cs="Arial"/>
          <w:b/>
          <w:bCs/>
        </w:rPr>
        <w:t>Table 1</w:t>
      </w:r>
    </w:p>
    <w:tbl>
      <w:tblPr>
        <w:tblStyle w:val="TableGrid"/>
        <w:tblW w:w="0" w:type="auto"/>
        <w:tblLook w:val="04A0" w:firstRow="1" w:lastRow="0" w:firstColumn="1" w:lastColumn="0" w:noHBand="0" w:noVBand="1"/>
      </w:tblPr>
      <w:tblGrid>
        <w:gridCol w:w="2212"/>
        <w:gridCol w:w="2229"/>
        <w:gridCol w:w="2212"/>
        <w:gridCol w:w="2203"/>
      </w:tblGrid>
      <w:tr w:rsidR="00E317B9" w14:paraId="44B9893D" w14:textId="77777777" w:rsidTr="00E90A1B">
        <w:tc>
          <w:tcPr>
            <w:tcW w:w="2254" w:type="dxa"/>
          </w:tcPr>
          <w:p w14:paraId="6E43515A" w14:textId="77777777" w:rsidR="00E317B9" w:rsidRDefault="00E317B9" w:rsidP="00E90A1B">
            <w:r w:rsidRPr="00B12A99">
              <w:rPr>
                <w:rFonts w:cs="Arial"/>
              </w:rPr>
              <w:t>Database</w:t>
            </w:r>
          </w:p>
        </w:tc>
        <w:tc>
          <w:tcPr>
            <w:tcW w:w="2254" w:type="dxa"/>
          </w:tcPr>
          <w:p w14:paraId="2794E87A" w14:textId="77777777" w:rsidR="00E317B9" w:rsidRDefault="00E317B9" w:rsidP="00E90A1B">
            <w:r w:rsidRPr="00B12A99">
              <w:rPr>
                <w:rFonts w:cs="Arial"/>
              </w:rPr>
              <w:t>Search terms used</w:t>
            </w:r>
          </w:p>
        </w:tc>
        <w:tc>
          <w:tcPr>
            <w:tcW w:w="2254" w:type="dxa"/>
          </w:tcPr>
          <w:p w14:paraId="16A750B0" w14:textId="77777777" w:rsidR="00E317B9" w:rsidRDefault="00E317B9" w:rsidP="00E90A1B">
            <w:r w:rsidRPr="00B12A99">
              <w:rPr>
                <w:rFonts w:cs="Arial"/>
              </w:rPr>
              <w:t>Limits applied</w:t>
            </w:r>
          </w:p>
        </w:tc>
        <w:tc>
          <w:tcPr>
            <w:tcW w:w="2254" w:type="dxa"/>
          </w:tcPr>
          <w:p w14:paraId="2BCF248A" w14:textId="77777777" w:rsidR="00E317B9" w:rsidRDefault="00E317B9" w:rsidP="00E90A1B">
            <w:r w:rsidRPr="00B12A99">
              <w:rPr>
                <w:rFonts w:cs="Arial"/>
              </w:rPr>
              <w:t>Results</w:t>
            </w:r>
          </w:p>
        </w:tc>
      </w:tr>
      <w:tr w:rsidR="00E317B9" w14:paraId="541CDFEA" w14:textId="77777777" w:rsidTr="00E90A1B">
        <w:tc>
          <w:tcPr>
            <w:tcW w:w="2254" w:type="dxa"/>
          </w:tcPr>
          <w:p w14:paraId="1CD2D176" w14:textId="77777777" w:rsidR="00E317B9" w:rsidRDefault="00E317B9" w:rsidP="00E90A1B">
            <w:r w:rsidRPr="00B12A99">
              <w:rPr>
                <w:rFonts w:cs="Arial"/>
              </w:rPr>
              <w:t>PubMed</w:t>
            </w:r>
          </w:p>
        </w:tc>
        <w:tc>
          <w:tcPr>
            <w:tcW w:w="2254" w:type="dxa"/>
          </w:tcPr>
          <w:p w14:paraId="5EBA6FB6" w14:textId="77777777" w:rsidR="00E317B9" w:rsidRDefault="00E317B9" w:rsidP="00E90A1B">
            <w:r w:rsidRPr="00B12A99">
              <w:rPr>
                <w:rFonts w:cs="Arial"/>
              </w:rPr>
              <w:t>telemedicine AND healthcare access AND rural AND “United Kingdom”</w:t>
            </w:r>
          </w:p>
        </w:tc>
        <w:tc>
          <w:tcPr>
            <w:tcW w:w="2254" w:type="dxa"/>
          </w:tcPr>
          <w:p w14:paraId="315C7CC6" w14:textId="77777777" w:rsidR="00E317B9" w:rsidRDefault="00E317B9" w:rsidP="00E90A1B">
            <w:r w:rsidRPr="00B12A99">
              <w:rPr>
                <w:rFonts w:cs="Arial"/>
              </w:rPr>
              <w:t>Peer-reviewed; English; 2015–2024</w:t>
            </w:r>
          </w:p>
        </w:tc>
        <w:tc>
          <w:tcPr>
            <w:tcW w:w="2254" w:type="dxa"/>
          </w:tcPr>
          <w:p w14:paraId="442B81BC" w14:textId="77777777" w:rsidR="00E317B9" w:rsidRDefault="00E317B9" w:rsidP="00E90A1B">
            <w:r w:rsidRPr="00B12A99">
              <w:rPr>
                <w:rFonts w:cs="Arial"/>
              </w:rPr>
              <w:t>142</w:t>
            </w:r>
          </w:p>
        </w:tc>
      </w:tr>
      <w:tr w:rsidR="00E317B9" w14:paraId="6B118736" w14:textId="77777777" w:rsidTr="00E90A1B">
        <w:tc>
          <w:tcPr>
            <w:tcW w:w="2254" w:type="dxa"/>
          </w:tcPr>
          <w:p w14:paraId="72C6ECF2" w14:textId="77777777" w:rsidR="00E317B9" w:rsidRDefault="00E317B9" w:rsidP="00E90A1B">
            <w:r w:rsidRPr="00B12A99">
              <w:rPr>
                <w:rFonts w:cs="Arial"/>
              </w:rPr>
              <w:t>CINAHL</w:t>
            </w:r>
          </w:p>
        </w:tc>
        <w:tc>
          <w:tcPr>
            <w:tcW w:w="2254" w:type="dxa"/>
          </w:tcPr>
          <w:p w14:paraId="547CF10E" w14:textId="77777777" w:rsidR="00E317B9" w:rsidRDefault="00E317B9" w:rsidP="00E90A1B">
            <w:r w:rsidRPr="00B12A99">
              <w:rPr>
                <w:rFonts w:cs="Arial"/>
              </w:rPr>
              <w:t>telehealth AND rural population AND access to healthcare AND UK</w:t>
            </w:r>
          </w:p>
        </w:tc>
        <w:tc>
          <w:tcPr>
            <w:tcW w:w="2254" w:type="dxa"/>
          </w:tcPr>
          <w:p w14:paraId="58388AB7" w14:textId="77777777" w:rsidR="00E317B9" w:rsidRDefault="00E317B9" w:rsidP="00E90A1B">
            <w:r w:rsidRPr="00B12A99">
              <w:rPr>
                <w:rFonts w:cs="Arial"/>
              </w:rPr>
              <w:t>Peer-reviewed; English; 2015–2024</w:t>
            </w:r>
          </w:p>
        </w:tc>
        <w:tc>
          <w:tcPr>
            <w:tcW w:w="2254" w:type="dxa"/>
          </w:tcPr>
          <w:p w14:paraId="0C2E6626" w14:textId="77777777" w:rsidR="00E317B9" w:rsidRDefault="00E317B9" w:rsidP="00E90A1B">
            <w:r w:rsidRPr="00B12A99">
              <w:rPr>
                <w:rFonts w:cs="Arial"/>
              </w:rPr>
              <w:t>87</w:t>
            </w:r>
          </w:p>
        </w:tc>
      </w:tr>
      <w:tr w:rsidR="00E317B9" w14:paraId="2A5E13C7" w14:textId="77777777" w:rsidTr="00E90A1B">
        <w:tc>
          <w:tcPr>
            <w:tcW w:w="2254" w:type="dxa"/>
          </w:tcPr>
          <w:p w14:paraId="1A7D006E" w14:textId="77777777" w:rsidR="00E317B9" w:rsidRDefault="00E317B9" w:rsidP="00E90A1B">
            <w:r w:rsidRPr="00B12A99">
              <w:rPr>
                <w:rFonts w:cs="Arial"/>
              </w:rPr>
              <w:t>Scopus</w:t>
            </w:r>
          </w:p>
        </w:tc>
        <w:tc>
          <w:tcPr>
            <w:tcW w:w="2254" w:type="dxa"/>
          </w:tcPr>
          <w:p w14:paraId="48863F52" w14:textId="77777777" w:rsidR="00E317B9" w:rsidRDefault="00E317B9" w:rsidP="00E90A1B">
            <w:r w:rsidRPr="00B12A99">
              <w:rPr>
                <w:rFonts w:cs="Arial"/>
              </w:rPr>
              <w:t>“telemedicine” AND “rural areas” AND “healthcare access” AND (UK OR “United Kingdom”)</w:t>
            </w:r>
          </w:p>
        </w:tc>
        <w:tc>
          <w:tcPr>
            <w:tcW w:w="2254" w:type="dxa"/>
          </w:tcPr>
          <w:p w14:paraId="613811F1" w14:textId="77777777" w:rsidR="00E317B9" w:rsidRDefault="00E317B9" w:rsidP="00E90A1B">
            <w:r w:rsidRPr="00B12A99">
              <w:rPr>
                <w:rFonts w:cs="Arial"/>
              </w:rPr>
              <w:t>Articles; English; 2015–2024</w:t>
            </w:r>
          </w:p>
        </w:tc>
        <w:tc>
          <w:tcPr>
            <w:tcW w:w="2254" w:type="dxa"/>
          </w:tcPr>
          <w:p w14:paraId="3F152CA2" w14:textId="77777777" w:rsidR="00E317B9" w:rsidRDefault="00E317B9" w:rsidP="00E90A1B">
            <w:r w:rsidRPr="00B12A99">
              <w:rPr>
                <w:rFonts w:cs="Arial"/>
              </w:rPr>
              <w:t>203</w:t>
            </w:r>
          </w:p>
        </w:tc>
      </w:tr>
      <w:tr w:rsidR="00E317B9" w14:paraId="59E03AC8" w14:textId="77777777" w:rsidTr="00E90A1B">
        <w:tc>
          <w:tcPr>
            <w:tcW w:w="2254" w:type="dxa"/>
          </w:tcPr>
          <w:p w14:paraId="7629735C" w14:textId="77777777" w:rsidR="00E317B9" w:rsidRDefault="00E317B9" w:rsidP="00E90A1B">
            <w:r w:rsidRPr="00B12A99">
              <w:rPr>
                <w:rFonts w:cs="Arial"/>
              </w:rPr>
              <w:t>Medline</w:t>
            </w:r>
          </w:p>
        </w:tc>
        <w:tc>
          <w:tcPr>
            <w:tcW w:w="2254" w:type="dxa"/>
          </w:tcPr>
          <w:p w14:paraId="2F3B87DC" w14:textId="77777777" w:rsidR="00E317B9" w:rsidRDefault="00E317B9" w:rsidP="00E90A1B">
            <w:r w:rsidRPr="00B12A99">
              <w:rPr>
                <w:rFonts w:cs="Arial"/>
              </w:rPr>
              <w:t>telemedicine AND rural health services AND access AND UK</w:t>
            </w:r>
          </w:p>
        </w:tc>
        <w:tc>
          <w:tcPr>
            <w:tcW w:w="2254" w:type="dxa"/>
          </w:tcPr>
          <w:p w14:paraId="19D7CB15" w14:textId="77777777" w:rsidR="00E317B9" w:rsidRDefault="00E317B9" w:rsidP="00E90A1B">
            <w:r w:rsidRPr="00B12A99">
              <w:rPr>
                <w:rFonts w:cs="Arial"/>
              </w:rPr>
              <w:t>English; 2015–2024</w:t>
            </w:r>
          </w:p>
        </w:tc>
        <w:tc>
          <w:tcPr>
            <w:tcW w:w="2254" w:type="dxa"/>
          </w:tcPr>
          <w:p w14:paraId="06969509" w14:textId="77777777" w:rsidR="00E317B9" w:rsidRDefault="00E317B9" w:rsidP="00E90A1B">
            <w:r w:rsidRPr="00B12A99">
              <w:rPr>
                <w:rFonts w:cs="Arial"/>
              </w:rPr>
              <w:t>98</w:t>
            </w:r>
          </w:p>
        </w:tc>
      </w:tr>
      <w:tr w:rsidR="00E317B9" w14:paraId="7FD20C8C" w14:textId="77777777" w:rsidTr="00E90A1B">
        <w:tc>
          <w:tcPr>
            <w:tcW w:w="2254" w:type="dxa"/>
          </w:tcPr>
          <w:p w14:paraId="0A3BF38F" w14:textId="77777777" w:rsidR="00E317B9" w:rsidRDefault="00E317B9" w:rsidP="00E90A1B">
            <w:r w:rsidRPr="00B12A99">
              <w:rPr>
                <w:rFonts w:cs="Arial"/>
              </w:rPr>
              <w:t>UWTSD Discovery</w:t>
            </w:r>
          </w:p>
        </w:tc>
        <w:tc>
          <w:tcPr>
            <w:tcW w:w="2254" w:type="dxa"/>
          </w:tcPr>
          <w:p w14:paraId="38FB73D1" w14:textId="77777777" w:rsidR="00E317B9" w:rsidRDefault="00E317B9" w:rsidP="00E90A1B">
            <w:r w:rsidRPr="00B12A99">
              <w:rPr>
                <w:rFonts w:cs="Arial"/>
              </w:rPr>
              <w:t>telemedicine AND rural UK healthcare access</w:t>
            </w:r>
          </w:p>
        </w:tc>
        <w:tc>
          <w:tcPr>
            <w:tcW w:w="2254" w:type="dxa"/>
          </w:tcPr>
          <w:p w14:paraId="2196DB9D" w14:textId="77777777" w:rsidR="00E317B9" w:rsidRDefault="00E317B9" w:rsidP="00E90A1B">
            <w:r w:rsidRPr="00B12A99">
              <w:rPr>
                <w:rFonts w:cs="Arial"/>
              </w:rPr>
              <w:t>Full-text; peer-reviewed; 2015–2024</w:t>
            </w:r>
          </w:p>
        </w:tc>
        <w:tc>
          <w:tcPr>
            <w:tcW w:w="2254" w:type="dxa"/>
          </w:tcPr>
          <w:p w14:paraId="3373E2D6" w14:textId="77777777" w:rsidR="00E317B9" w:rsidRDefault="00E317B9" w:rsidP="00E90A1B">
            <w:r w:rsidRPr="00B12A99">
              <w:rPr>
                <w:rFonts w:cs="Arial"/>
              </w:rPr>
              <w:t>52</w:t>
            </w:r>
          </w:p>
        </w:tc>
      </w:tr>
    </w:tbl>
    <w:p w14:paraId="729EC9FA" w14:textId="77777777" w:rsidR="00B12A99" w:rsidRDefault="00B12A99">
      <w:pPr>
        <w:pStyle w:val="Heading3"/>
        <w:rPr>
          <w:rFonts w:ascii="Arial" w:hAnsi="Arial" w:cs="Arial"/>
          <w:b w:val="0"/>
          <w:bCs w:val="0"/>
          <w:color w:val="000000" w:themeColor="text1"/>
        </w:rPr>
      </w:pPr>
    </w:p>
    <w:p w14:paraId="6A3525F9" w14:textId="77777777" w:rsidR="002C7A8F" w:rsidRDefault="002C7A8F" w:rsidP="002C7A8F"/>
    <w:p w14:paraId="2ACC1672" w14:textId="77777777" w:rsidR="002C7A8F" w:rsidRPr="002C7A8F" w:rsidRDefault="002C7A8F" w:rsidP="002C7A8F"/>
    <w:p w14:paraId="7AF68DA5" w14:textId="77777777" w:rsidR="002C7A8F" w:rsidRDefault="002C7A8F" w:rsidP="00877B04"/>
    <w:p w14:paraId="500281EE" w14:textId="11B8D601" w:rsidR="00017CC6" w:rsidRPr="002C7A8F" w:rsidRDefault="00000000" w:rsidP="00877B04">
      <w:pPr>
        <w:rPr>
          <w:b/>
          <w:bCs/>
        </w:rPr>
      </w:pPr>
      <w:r w:rsidRPr="002C7A8F">
        <w:rPr>
          <w:b/>
          <w:bCs/>
        </w:rPr>
        <w:lastRenderedPageBreak/>
        <w:t>Table 2. Summary of Included Studies</w:t>
      </w:r>
    </w:p>
    <w:tbl>
      <w:tblPr>
        <w:tblStyle w:val="TableGrid"/>
        <w:tblW w:w="9016" w:type="dxa"/>
        <w:tblInd w:w="113" w:type="dxa"/>
        <w:tblLook w:val="04A0" w:firstRow="1" w:lastRow="0" w:firstColumn="1" w:lastColumn="0" w:noHBand="0" w:noVBand="1"/>
      </w:tblPr>
      <w:tblGrid>
        <w:gridCol w:w="1492"/>
        <w:gridCol w:w="1448"/>
        <w:gridCol w:w="1574"/>
        <w:gridCol w:w="1475"/>
        <w:gridCol w:w="1525"/>
        <w:gridCol w:w="1502"/>
      </w:tblGrid>
      <w:tr w:rsidR="005F2AC2" w14:paraId="143506FF" w14:textId="77777777" w:rsidTr="005F2AC2">
        <w:tc>
          <w:tcPr>
            <w:tcW w:w="1495" w:type="dxa"/>
          </w:tcPr>
          <w:p w14:paraId="3AC5C782" w14:textId="77777777" w:rsidR="005F2AC2" w:rsidRDefault="005F2AC2" w:rsidP="00E90A1B">
            <w:r w:rsidRPr="00B12A99">
              <w:rPr>
                <w:rFonts w:cs="Arial"/>
              </w:rPr>
              <w:t>Author(s)</w:t>
            </w:r>
          </w:p>
        </w:tc>
        <w:tc>
          <w:tcPr>
            <w:tcW w:w="1460" w:type="dxa"/>
          </w:tcPr>
          <w:p w14:paraId="508393DA" w14:textId="77777777" w:rsidR="005F2AC2" w:rsidRDefault="005F2AC2" w:rsidP="00E90A1B">
            <w:r w:rsidRPr="00B12A99">
              <w:rPr>
                <w:rFonts w:cs="Arial"/>
              </w:rPr>
              <w:t>Year</w:t>
            </w:r>
          </w:p>
        </w:tc>
        <w:tc>
          <w:tcPr>
            <w:tcW w:w="1574" w:type="dxa"/>
          </w:tcPr>
          <w:p w14:paraId="62CBF2ED" w14:textId="77777777" w:rsidR="005F2AC2" w:rsidRDefault="005F2AC2" w:rsidP="00E90A1B">
            <w:r w:rsidRPr="00B12A99">
              <w:rPr>
                <w:rFonts w:cs="Arial"/>
              </w:rPr>
              <w:t>Method</w:t>
            </w:r>
          </w:p>
        </w:tc>
        <w:tc>
          <w:tcPr>
            <w:tcW w:w="1482" w:type="dxa"/>
          </w:tcPr>
          <w:p w14:paraId="45335B0B" w14:textId="77777777" w:rsidR="005F2AC2" w:rsidRDefault="005F2AC2" w:rsidP="00E90A1B">
            <w:r w:rsidRPr="00B12A99">
              <w:rPr>
                <w:rFonts w:cs="Arial"/>
              </w:rPr>
              <w:t>Sample size</w:t>
            </w:r>
          </w:p>
        </w:tc>
        <w:tc>
          <w:tcPr>
            <w:tcW w:w="1503" w:type="dxa"/>
          </w:tcPr>
          <w:p w14:paraId="5E3892E1" w14:textId="77777777" w:rsidR="005F2AC2" w:rsidRDefault="005F2AC2" w:rsidP="00E90A1B">
            <w:r w:rsidRPr="00B12A99">
              <w:rPr>
                <w:rFonts w:cs="Arial"/>
              </w:rPr>
              <w:t>Main findings</w:t>
            </w:r>
          </w:p>
        </w:tc>
        <w:tc>
          <w:tcPr>
            <w:tcW w:w="1502" w:type="dxa"/>
          </w:tcPr>
          <w:p w14:paraId="3B67B26E" w14:textId="77777777" w:rsidR="005F2AC2" w:rsidRDefault="005F2AC2" w:rsidP="00E90A1B">
            <w:r w:rsidRPr="00B12A99">
              <w:rPr>
                <w:rFonts w:cs="Arial"/>
              </w:rPr>
              <w:t>Strengths &amp; limitations</w:t>
            </w:r>
          </w:p>
        </w:tc>
      </w:tr>
      <w:tr w:rsidR="005F2AC2" w14:paraId="3E9A44D7" w14:textId="77777777" w:rsidTr="005F2AC2">
        <w:tc>
          <w:tcPr>
            <w:tcW w:w="1495" w:type="dxa"/>
          </w:tcPr>
          <w:p w14:paraId="515A20BA" w14:textId="77777777" w:rsidR="005F2AC2" w:rsidRDefault="005F2AC2" w:rsidP="00E90A1B">
            <w:r w:rsidRPr="00B12A99">
              <w:rPr>
                <w:rFonts w:cs="Arial"/>
              </w:rPr>
              <w:t>Donaghy et al.</w:t>
            </w:r>
          </w:p>
        </w:tc>
        <w:tc>
          <w:tcPr>
            <w:tcW w:w="1460" w:type="dxa"/>
          </w:tcPr>
          <w:p w14:paraId="09A67357" w14:textId="77777777" w:rsidR="005F2AC2" w:rsidRDefault="005F2AC2" w:rsidP="00E90A1B">
            <w:r w:rsidRPr="00B12A99">
              <w:rPr>
                <w:rFonts w:cs="Arial"/>
              </w:rPr>
              <w:t>2019</w:t>
            </w:r>
          </w:p>
        </w:tc>
        <w:tc>
          <w:tcPr>
            <w:tcW w:w="1574" w:type="dxa"/>
          </w:tcPr>
          <w:p w14:paraId="51A37612" w14:textId="77777777" w:rsidR="005F2AC2" w:rsidRDefault="005F2AC2" w:rsidP="00E90A1B">
            <w:proofErr w:type="gramStart"/>
            <w:r w:rsidRPr="00B12A99">
              <w:rPr>
                <w:rFonts w:cs="Arial"/>
              </w:rPr>
              <w:t>Mixed-methods</w:t>
            </w:r>
            <w:proofErr w:type="gramEnd"/>
          </w:p>
        </w:tc>
        <w:tc>
          <w:tcPr>
            <w:tcW w:w="1482" w:type="dxa"/>
          </w:tcPr>
          <w:p w14:paraId="06F5637D" w14:textId="77777777" w:rsidR="005F2AC2" w:rsidRDefault="005F2AC2" w:rsidP="00E90A1B">
            <w:r w:rsidRPr="00B12A99">
              <w:rPr>
                <w:rFonts w:cs="Arial"/>
              </w:rPr>
              <w:t>45 patients; 20 GPs</w:t>
            </w:r>
          </w:p>
        </w:tc>
        <w:tc>
          <w:tcPr>
            <w:tcW w:w="1503" w:type="dxa"/>
          </w:tcPr>
          <w:p w14:paraId="0EF668D0" w14:textId="77777777" w:rsidR="005F2AC2" w:rsidRDefault="005F2AC2" w:rsidP="00E90A1B">
            <w:r w:rsidRPr="00B12A99">
              <w:rPr>
                <w:rFonts w:cs="Arial"/>
              </w:rPr>
              <w:t>Video consultations reduced travel and improved access</w:t>
            </w:r>
          </w:p>
        </w:tc>
        <w:tc>
          <w:tcPr>
            <w:tcW w:w="1502" w:type="dxa"/>
          </w:tcPr>
          <w:p w14:paraId="1E1FA218" w14:textId="77777777" w:rsidR="005F2AC2" w:rsidRDefault="005F2AC2" w:rsidP="00E90A1B">
            <w:r w:rsidRPr="00B12A99">
              <w:rPr>
                <w:rFonts w:cs="Arial"/>
              </w:rPr>
              <w:t>Strength: real practice context; Limitation: small sample</w:t>
            </w:r>
          </w:p>
        </w:tc>
      </w:tr>
      <w:tr w:rsidR="005F2AC2" w14:paraId="18B65343" w14:textId="77777777" w:rsidTr="005F2AC2">
        <w:tc>
          <w:tcPr>
            <w:tcW w:w="1495" w:type="dxa"/>
          </w:tcPr>
          <w:p w14:paraId="3F4FC8F1" w14:textId="77777777" w:rsidR="005F2AC2" w:rsidRDefault="005F2AC2" w:rsidP="00E90A1B">
            <w:r w:rsidRPr="00B12A99">
              <w:rPr>
                <w:rFonts w:cs="Arial"/>
              </w:rPr>
              <w:t>Greenhalgh et al.</w:t>
            </w:r>
          </w:p>
        </w:tc>
        <w:tc>
          <w:tcPr>
            <w:tcW w:w="1460" w:type="dxa"/>
          </w:tcPr>
          <w:p w14:paraId="72DCA169" w14:textId="77777777" w:rsidR="005F2AC2" w:rsidRDefault="005F2AC2" w:rsidP="00E90A1B">
            <w:r w:rsidRPr="00B12A99">
              <w:rPr>
                <w:rFonts w:cs="Arial"/>
              </w:rPr>
              <w:t>2020</w:t>
            </w:r>
          </w:p>
        </w:tc>
        <w:tc>
          <w:tcPr>
            <w:tcW w:w="1574" w:type="dxa"/>
          </w:tcPr>
          <w:p w14:paraId="15292D83" w14:textId="77777777" w:rsidR="005F2AC2" w:rsidRDefault="005F2AC2" w:rsidP="00E90A1B">
            <w:r w:rsidRPr="00B12A99">
              <w:rPr>
                <w:rFonts w:cs="Arial"/>
              </w:rPr>
              <w:t>Qualitative case study</w:t>
            </w:r>
          </w:p>
        </w:tc>
        <w:tc>
          <w:tcPr>
            <w:tcW w:w="1482" w:type="dxa"/>
          </w:tcPr>
          <w:p w14:paraId="67C3B183" w14:textId="77777777" w:rsidR="005F2AC2" w:rsidRDefault="005F2AC2" w:rsidP="00E90A1B">
            <w:r w:rsidRPr="00B12A99">
              <w:rPr>
                <w:rFonts w:cs="Arial"/>
              </w:rPr>
              <w:t>24 staff &amp; patients</w:t>
            </w:r>
          </w:p>
        </w:tc>
        <w:tc>
          <w:tcPr>
            <w:tcW w:w="1503" w:type="dxa"/>
          </w:tcPr>
          <w:p w14:paraId="597DCDE6" w14:textId="77777777" w:rsidR="005F2AC2" w:rsidRDefault="005F2AC2" w:rsidP="00E90A1B">
            <w:r w:rsidRPr="00B12A99">
              <w:rPr>
                <w:rFonts w:cs="Arial"/>
              </w:rPr>
              <w:t>Remote care supported continuity but technology issues common</w:t>
            </w:r>
          </w:p>
        </w:tc>
        <w:tc>
          <w:tcPr>
            <w:tcW w:w="1502" w:type="dxa"/>
          </w:tcPr>
          <w:p w14:paraId="4A50CC31" w14:textId="77777777" w:rsidR="005F2AC2" w:rsidRDefault="005F2AC2" w:rsidP="00E90A1B">
            <w:r w:rsidRPr="00B12A99">
              <w:rPr>
                <w:rFonts w:cs="Arial"/>
              </w:rPr>
              <w:t>Strength: rich insight; Limitation: early pandemic context</w:t>
            </w:r>
          </w:p>
        </w:tc>
      </w:tr>
      <w:tr w:rsidR="005F2AC2" w14:paraId="3674B0F7" w14:textId="77777777" w:rsidTr="005F2AC2">
        <w:tc>
          <w:tcPr>
            <w:tcW w:w="1495" w:type="dxa"/>
          </w:tcPr>
          <w:p w14:paraId="25A4F48D" w14:textId="77777777" w:rsidR="005F2AC2" w:rsidRDefault="005F2AC2" w:rsidP="00E90A1B">
            <w:r w:rsidRPr="00B12A99">
              <w:rPr>
                <w:rFonts w:cs="Arial"/>
              </w:rPr>
              <w:t>Johnston et al.</w:t>
            </w:r>
          </w:p>
        </w:tc>
        <w:tc>
          <w:tcPr>
            <w:tcW w:w="1460" w:type="dxa"/>
          </w:tcPr>
          <w:p w14:paraId="44469C70" w14:textId="77777777" w:rsidR="005F2AC2" w:rsidRDefault="005F2AC2" w:rsidP="00E90A1B">
            <w:r w:rsidRPr="00B12A99">
              <w:rPr>
                <w:rFonts w:cs="Arial"/>
              </w:rPr>
              <w:t>2022</w:t>
            </w:r>
          </w:p>
        </w:tc>
        <w:tc>
          <w:tcPr>
            <w:tcW w:w="1574" w:type="dxa"/>
          </w:tcPr>
          <w:p w14:paraId="63EC5F02" w14:textId="77777777" w:rsidR="005F2AC2" w:rsidRDefault="005F2AC2" w:rsidP="00E90A1B">
            <w:r w:rsidRPr="00B12A99">
              <w:rPr>
                <w:rFonts w:cs="Arial"/>
              </w:rPr>
              <w:t>Interviews</w:t>
            </w:r>
          </w:p>
        </w:tc>
        <w:tc>
          <w:tcPr>
            <w:tcW w:w="1482" w:type="dxa"/>
          </w:tcPr>
          <w:p w14:paraId="7E05C642" w14:textId="77777777" w:rsidR="005F2AC2" w:rsidRDefault="005F2AC2" w:rsidP="00E90A1B">
            <w:r w:rsidRPr="00B12A99">
              <w:rPr>
                <w:rFonts w:cs="Arial"/>
              </w:rPr>
              <w:t>30 older adults</w:t>
            </w:r>
          </w:p>
        </w:tc>
        <w:tc>
          <w:tcPr>
            <w:tcW w:w="1503" w:type="dxa"/>
          </w:tcPr>
          <w:p w14:paraId="3E93DFD1" w14:textId="77777777" w:rsidR="005F2AC2" w:rsidRDefault="005F2AC2" w:rsidP="00E90A1B">
            <w:r w:rsidRPr="00B12A99">
              <w:rPr>
                <w:rFonts w:cs="Arial"/>
              </w:rPr>
              <w:t>Telemedicine reduced travel but digital barriers significant</w:t>
            </w:r>
          </w:p>
        </w:tc>
        <w:tc>
          <w:tcPr>
            <w:tcW w:w="1502" w:type="dxa"/>
          </w:tcPr>
          <w:p w14:paraId="49FE28EC" w14:textId="77777777" w:rsidR="005F2AC2" w:rsidRDefault="005F2AC2" w:rsidP="00E90A1B">
            <w:r w:rsidRPr="00B12A99">
              <w:rPr>
                <w:rFonts w:cs="Arial"/>
              </w:rPr>
              <w:t>Strength: older rural adults; Limitation: limited demographic</w:t>
            </w:r>
          </w:p>
        </w:tc>
      </w:tr>
      <w:tr w:rsidR="005F2AC2" w14:paraId="00318977" w14:textId="77777777" w:rsidTr="005F2AC2">
        <w:tc>
          <w:tcPr>
            <w:tcW w:w="1495" w:type="dxa"/>
          </w:tcPr>
          <w:p w14:paraId="35B5B54B" w14:textId="77777777" w:rsidR="005F2AC2" w:rsidRDefault="005F2AC2" w:rsidP="00E90A1B">
            <w:proofErr w:type="spellStart"/>
            <w:r w:rsidRPr="00B12A99">
              <w:rPr>
                <w:rFonts w:cs="Arial"/>
              </w:rPr>
              <w:t>Snoswell</w:t>
            </w:r>
            <w:proofErr w:type="spellEnd"/>
            <w:r w:rsidRPr="00B12A99">
              <w:rPr>
                <w:rFonts w:cs="Arial"/>
              </w:rPr>
              <w:t xml:space="preserve"> et al.</w:t>
            </w:r>
          </w:p>
        </w:tc>
        <w:tc>
          <w:tcPr>
            <w:tcW w:w="1460" w:type="dxa"/>
          </w:tcPr>
          <w:p w14:paraId="16F8D59E" w14:textId="77777777" w:rsidR="005F2AC2" w:rsidRDefault="005F2AC2" w:rsidP="00E90A1B">
            <w:r w:rsidRPr="00B12A99">
              <w:rPr>
                <w:rFonts w:cs="Arial"/>
              </w:rPr>
              <w:t>2021</w:t>
            </w:r>
          </w:p>
        </w:tc>
        <w:tc>
          <w:tcPr>
            <w:tcW w:w="1574" w:type="dxa"/>
          </w:tcPr>
          <w:p w14:paraId="6327B9EE" w14:textId="77777777" w:rsidR="005F2AC2" w:rsidRDefault="005F2AC2" w:rsidP="00E90A1B">
            <w:r w:rsidRPr="00B12A99">
              <w:rPr>
                <w:rFonts w:cs="Arial"/>
              </w:rPr>
              <w:t>Observational cohort</w:t>
            </w:r>
          </w:p>
        </w:tc>
        <w:tc>
          <w:tcPr>
            <w:tcW w:w="1482" w:type="dxa"/>
          </w:tcPr>
          <w:p w14:paraId="0614CDC2" w14:textId="77777777" w:rsidR="005F2AC2" w:rsidRDefault="005F2AC2" w:rsidP="00E90A1B">
            <w:r w:rsidRPr="00B12A99">
              <w:rPr>
                <w:rFonts w:cs="Arial"/>
              </w:rPr>
              <w:t>112 patients</w:t>
            </w:r>
          </w:p>
        </w:tc>
        <w:tc>
          <w:tcPr>
            <w:tcW w:w="1503" w:type="dxa"/>
          </w:tcPr>
          <w:p w14:paraId="67264D56" w14:textId="77777777" w:rsidR="005F2AC2" w:rsidRDefault="005F2AC2" w:rsidP="00E90A1B">
            <w:r w:rsidRPr="00B12A99">
              <w:rPr>
                <w:rFonts w:cs="Arial"/>
              </w:rPr>
              <w:t>Remote monitoring improved early intervention and continuity</w:t>
            </w:r>
          </w:p>
        </w:tc>
        <w:tc>
          <w:tcPr>
            <w:tcW w:w="1502" w:type="dxa"/>
          </w:tcPr>
          <w:p w14:paraId="4371CF7B" w14:textId="77777777" w:rsidR="005F2AC2" w:rsidRDefault="005F2AC2" w:rsidP="00E90A1B">
            <w:r w:rsidRPr="00B12A99">
              <w:rPr>
                <w:rFonts w:cs="Arial"/>
              </w:rPr>
              <w:t>Strength: outcome data; Limitation: condition-specific</w:t>
            </w:r>
          </w:p>
        </w:tc>
      </w:tr>
      <w:tr w:rsidR="005F2AC2" w14:paraId="00F1253F" w14:textId="77777777" w:rsidTr="005F2AC2">
        <w:tc>
          <w:tcPr>
            <w:tcW w:w="1495" w:type="dxa"/>
          </w:tcPr>
          <w:p w14:paraId="07733D4D" w14:textId="77777777" w:rsidR="005F2AC2" w:rsidRDefault="005F2AC2" w:rsidP="00E90A1B">
            <w:r w:rsidRPr="00B12A99">
              <w:rPr>
                <w:rFonts w:cs="Arial"/>
              </w:rPr>
              <w:t>Collins et al.</w:t>
            </w:r>
          </w:p>
        </w:tc>
        <w:tc>
          <w:tcPr>
            <w:tcW w:w="1460" w:type="dxa"/>
          </w:tcPr>
          <w:p w14:paraId="6B0366BF" w14:textId="77777777" w:rsidR="005F2AC2" w:rsidRDefault="005F2AC2" w:rsidP="00E90A1B">
            <w:r w:rsidRPr="00B12A99">
              <w:rPr>
                <w:rFonts w:cs="Arial"/>
              </w:rPr>
              <w:t>2023</w:t>
            </w:r>
          </w:p>
        </w:tc>
        <w:tc>
          <w:tcPr>
            <w:tcW w:w="1574" w:type="dxa"/>
          </w:tcPr>
          <w:p w14:paraId="7C89A94E" w14:textId="77777777" w:rsidR="005F2AC2" w:rsidRDefault="005F2AC2" w:rsidP="00E90A1B">
            <w:proofErr w:type="gramStart"/>
            <w:r w:rsidRPr="00B12A99">
              <w:rPr>
                <w:rFonts w:cs="Arial"/>
              </w:rPr>
              <w:t>Mixed-methods</w:t>
            </w:r>
            <w:proofErr w:type="gramEnd"/>
          </w:p>
        </w:tc>
        <w:tc>
          <w:tcPr>
            <w:tcW w:w="1482" w:type="dxa"/>
          </w:tcPr>
          <w:p w14:paraId="48311709" w14:textId="77777777" w:rsidR="005F2AC2" w:rsidRDefault="005F2AC2" w:rsidP="00E90A1B">
            <w:r w:rsidRPr="00B12A99">
              <w:rPr>
                <w:rFonts w:cs="Arial"/>
              </w:rPr>
              <w:t>72 mental health users</w:t>
            </w:r>
          </w:p>
        </w:tc>
        <w:tc>
          <w:tcPr>
            <w:tcW w:w="1503" w:type="dxa"/>
          </w:tcPr>
          <w:p w14:paraId="1E4D9E4C" w14:textId="77777777" w:rsidR="005F2AC2" w:rsidRDefault="005F2AC2" w:rsidP="00E90A1B">
            <w:r w:rsidRPr="00B12A99">
              <w:rPr>
                <w:rFonts w:cs="Arial"/>
              </w:rPr>
              <w:t>Teletherapy increased access and reduced stigma</w:t>
            </w:r>
          </w:p>
        </w:tc>
        <w:tc>
          <w:tcPr>
            <w:tcW w:w="1502" w:type="dxa"/>
          </w:tcPr>
          <w:p w14:paraId="22BE7DE9" w14:textId="77777777" w:rsidR="005F2AC2" w:rsidRDefault="005F2AC2" w:rsidP="00E90A1B">
            <w:r w:rsidRPr="00B12A99">
              <w:rPr>
                <w:rFonts w:cs="Arial"/>
              </w:rPr>
              <w:t>Strength: mental health focus; Limitation: self-selected sample</w:t>
            </w:r>
          </w:p>
        </w:tc>
      </w:tr>
    </w:tbl>
    <w:tbl>
      <w:tblPr>
        <w:tblW w:w="0" w:type="auto"/>
        <w:tblLook w:val="04A0" w:firstRow="1" w:lastRow="0" w:firstColumn="1" w:lastColumn="0" w:noHBand="0" w:noVBand="1"/>
      </w:tblPr>
      <w:tblGrid>
        <w:gridCol w:w="1437"/>
        <w:gridCol w:w="1407"/>
        <w:gridCol w:w="1574"/>
        <w:gridCol w:w="1425"/>
        <w:gridCol w:w="1525"/>
        <w:gridCol w:w="1488"/>
      </w:tblGrid>
      <w:tr w:rsidR="0058262F" w:rsidRPr="00B12A99" w14:paraId="6103C665" w14:textId="77777777" w:rsidTr="0058262F">
        <w:tc>
          <w:tcPr>
            <w:tcW w:w="1437" w:type="dxa"/>
          </w:tcPr>
          <w:p w14:paraId="0E14CBBF" w14:textId="3C3A7086" w:rsidR="0058262F" w:rsidRPr="00B12A99" w:rsidRDefault="0058262F">
            <w:pPr>
              <w:rPr>
                <w:rFonts w:cs="Arial"/>
              </w:rPr>
            </w:pPr>
          </w:p>
        </w:tc>
        <w:tc>
          <w:tcPr>
            <w:tcW w:w="1407" w:type="dxa"/>
          </w:tcPr>
          <w:p w14:paraId="4ED90520" w14:textId="77777777" w:rsidR="0058262F" w:rsidRPr="00B12A99" w:rsidRDefault="0058262F">
            <w:pPr>
              <w:rPr>
                <w:rFonts w:cs="Arial"/>
              </w:rPr>
            </w:pPr>
          </w:p>
        </w:tc>
        <w:tc>
          <w:tcPr>
            <w:tcW w:w="1574" w:type="dxa"/>
          </w:tcPr>
          <w:p w14:paraId="76A672F0" w14:textId="77777777" w:rsidR="0058262F" w:rsidRPr="00B12A99" w:rsidRDefault="0058262F">
            <w:pPr>
              <w:rPr>
                <w:rFonts w:cs="Arial"/>
              </w:rPr>
            </w:pPr>
          </w:p>
        </w:tc>
        <w:tc>
          <w:tcPr>
            <w:tcW w:w="1425" w:type="dxa"/>
          </w:tcPr>
          <w:p w14:paraId="6A946AFA" w14:textId="77777777" w:rsidR="0058262F" w:rsidRPr="00B12A99" w:rsidRDefault="0058262F">
            <w:pPr>
              <w:rPr>
                <w:rFonts w:cs="Arial"/>
              </w:rPr>
            </w:pPr>
          </w:p>
        </w:tc>
        <w:tc>
          <w:tcPr>
            <w:tcW w:w="1525" w:type="dxa"/>
          </w:tcPr>
          <w:p w14:paraId="5AD8FA85" w14:textId="77777777" w:rsidR="0058262F" w:rsidRPr="00B12A99" w:rsidRDefault="0058262F">
            <w:pPr>
              <w:rPr>
                <w:rFonts w:cs="Arial"/>
              </w:rPr>
            </w:pPr>
          </w:p>
        </w:tc>
        <w:tc>
          <w:tcPr>
            <w:tcW w:w="1488" w:type="dxa"/>
          </w:tcPr>
          <w:p w14:paraId="510FAA44" w14:textId="77777777" w:rsidR="0058262F" w:rsidRPr="00B12A99" w:rsidRDefault="0058262F">
            <w:pPr>
              <w:rPr>
                <w:rFonts w:cs="Arial"/>
              </w:rPr>
            </w:pPr>
          </w:p>
        </w:tc>
      </w:tr>
    </w:tbl>
    <w:p w14:paraId="73969D64" w14:textId="5866B04D" w:rsidR="00877B04" w:rsidRPr="002C7A8F" w:rsidRDefault="00877B04" w:rsidP="00877B04">
      <w:pPr>
        <w:rPr>
          <w:b/>
          <w:bCs/>
        </w:rPr>
      </w:pPr>
      <w:r w:rsidRPr="002C7A8F">
        <w:rPr>
          <w:b/>
          <w:bCs/>
        </w:rPr>
        <w:t xml:space="preserve">3. </w:t>
      </w:r>
      <w:r w:rsidRPr="002C7A8F">
        <w:rPr>
          <w:rStyle w:val="Strong"/>
          <w:rFonts w:cs="Arial"/>
          <w:color w:val="000000" w:themeColor="text1"/>
        </w:rPr>
        <w:t>Methods</w:t>
      </w:r>
    </w:p>
    <w:p w14:paraId="68BA37EB" w14:textId="6A033220" w:rsidR="009F5801" w:rsidRPr="009F5801" w:rsidRDefault="009F5801" w:rsidP="009F5801">
      <w:pPr>
        <w:pStyle w:val="NormalWeb"/>
        <w:rPr>
          <w:rFonts w:ascii="Arial" w:hAnsi="Arial" w:cs="Arial"/>
          <w:sz w:val="22"/>
          <w:szCs w:val="22"/>
        </w:rPr>
      </w:pPr>
      <w:r w:rsidRPr="009F5801">
        <w:rPr>
          <w:rFonts w:ascii="Arial" w:hAnsi="Arial" w:cs="Arial"/>
          <w:sz w:val="22"/>
          <w:szCs w:val="22"/>
        </w:rPr>
        <w:t>This scoping review was conducted using the five-stage methodological framework developed by Arksey and O’Malley (2005), which is recognised as a robust and systematic approach for mapping broad areas of research. This framework is particularly suitable for emerging or rapidly developing fields</w:t>
      </w:r>
      <w:r>
        <w:rPr>
          <w:rFonts w:ascii="Arial" w:hAnsi="Arial" w:cs="Arial"/>
          <w:sz w:val="22"/>
          <w:szCs w:val="22"/>
        </w:rPr>
        <w:t xml:space="preserve"> </w:t>
      </w:r>
      <w:r w:rsidRPr="009F5801">
        <w:rPr>
          <w:rFonts w:ascii="Arial" w:hAnsi="Arial" w:cs="Arial"/>
          <w:sz w:val="22"/>
          <w:szCs w:val="22"/>
        </w:rPr>
        <w:t>such as telemedicine</w:t>
      </w:r>
      <w:r>
        <w:rPr>
          <w:rFonts w:ascii="Arial" w:hAnsi="Arial" w:cs="Arial"/>
          <w:sz w:val="22"/>
          <w:szCs w:val="22"/>
        </w:rPr>
        <w:t xml:space="preserve"> </w:t>
      </w:r>
      <w:r w:rsidRPr="009F5801">
        <w:rPr>
          <w:rFonts w:ascii="Arial" w:hAnsi="Arial" w:cs="Arial"/>
          <w:sz w:val="22"/>
          <w:szCs w:val="22"/>
        </w:rPr>
        <w:t>where the existing evidence is diverse in design, focus and quality. A scoping review does not aim to evaluate the effectiveness of interventions, but instead provides an overview of what is known, how research has been conducted and where gaps remain. Following Arksey and O’Malley’s structure ensured that the review process was comprehensive, transparent and replicable.</w:t>
      </w:r>
    </w:p>
    <w:p w14:paraId="4B001B0C" w14:textId="77777777" w:rsidR="009F5801" w:rsidRPr="009F5801" w:rsidRDefault="009F5801" w:rsidP="009F5801">
      <w:pPr>
        <w:pStyle w:val="NormalWeb"/>
        <w:rPr>
          <w:rFonts w:ascii="Arial" w:hAnsi="Arial" w:cs="Arial"/>
          <w:sz w:val="22"/>
          <w:szCs w:val="22"/>
        </w:rPr>
      </w:pPr>
      <w:r w:rsidRPr="009F5801">
        <w:rPr>
          <w:rFonts w:ascii="Arial" w:hAnsi="Arial" w:cs="Arial"/>
          <w:sz w:val="22"/>
          <w:szCs w:val="22"/>
        </w:rPr>
        <w:lastRenderedPageBreak/>
        <w:t>The first stage involved clearly defining the research question to provide a focused foundation for all subsequent stages. This was essential for ensuring that the review remained aligned with the aim of exploring how telemedicine influences healthcare access for rural communities in the United Kingdom. The second stage, identifying relevant studies, required the development of a rigorous search strategy across multiple academic databases to capture a wide range of peer-reviewed evidence. The third stage included systematically selecting studies that met predefined eligibility criteria, ensuring that only literature directly relevant to rural UK telemedicine and access outcomes was included.</w:t>
      </w:r>
    </w:p>
    <w:p w14:paraId="5E1A6BAE" w14:textId="45905726" w:rsidR="009F5801" w:rsidRPr="009F5801" w:rsidRDefault="009F5801" w:rsidP="009F5801">
      <w:pPr>
        <w:pStyle w:val="NormalWeb"/>
        <w:rPr>
          <w:rFonts w:ascii="Arial" w:hAnsi="Arial" w:cs="Arial"/>
          <w:sz w:val="22"/>
          <w:szCs w:val="22"/>
        </w:rPr>
      </w:pPr>
      <w:r w:rsidRPr="009F5801">
        <w:rPr>
          <w:rFonts w:ascii="Arial" w:hAnsi="Arial" w:cs="Arial"/>
          <w:sz w:val="22"/>
          <w:szCs w:val="22"/>
        </w:rPr>
        <w:t>In the fourth stage, relevant information was extracted and charted using a structured data-charting form, which enabled consistent recording and comparison of study characteristics and findings. This step ensured that complex and varied data could be organised meaningfully. The final stage involved collating, summarising and reporting the results through a thematic analysis, which allowed the reviewer to identify and interpret patterns across the included studies. Throughout the process, best practice principles</w:t>
      </w:r>
      <w:r w:rsidR="000B1008">
        <w:rPr>
          <w:rFonts w:ascii="Arial" w:hAnsi="Arial" w:cs="Arial"/>
          <w:sz w:val="22"/>
          <w:szCs w:val="22"/>
        </w:rPr>
        <w:t xml:space="preserve"> </w:t>
      </w:r>
      <w:r w:rsidRPr="009F5801">
        <w:rPr>
          <w:rFonts w:ascii="Arial" w:hAnsi="Arial" w:cs="Arial"/>
          <w:sz w:val="22"/>
          <w:szCs w:val="22"/>
        </w:rPr>
        <w:t>such as maintaining a clear audit trail, documenting decisions and ensuring careful screening</w:t>
      </w:r>
      <w:r w:rsidR="000B1008">
        <w:rPr>
          <w:rFonts w:ascii="Arial" w:hAnsi="Arial" w:cs="Arial"/>
          <w:sz w:val="22"/>
          <w:szCs w:val="22"/>
        </w:rPr>
        <w:t xml:space="preserve"> </w:t>
      </w:r>
      <w:r w:rsidRPr="009F5801">
        <w:rPr>
          <w:rFonts w:ascii="Arial" w:hAnsi="Arial" w:cs="Arial"/>
          <w:sz w:val="22"/>
          <w:szCs w:val="22"/>
        </w:rPr>
        <w:t>were applied to enhance reliability and support methodological integrity.</w:t>
      </w:r>
    </w:p>
    <w:p w14:paraId="13E574AF" w14:textId="77777777" w:rsidR="002C7A8F" w:rsidRDefault="002C7A8F" w:rsidP="002C7A8F">
      <w:pPr>
        <w:rPr>
          <w:b/>
          <w:bCs/>
        </w:rPr>
      </w:pPr>
    </w:p>
    <w:p w14:paraId="618A9FD5" w14:textId="4671B97B" w:rsidR="00E96D86" w:rsidRPr="002C7A8F" w:rsidRDefault="00E96D86" w:rsidP="002C7A8F">
      <w:r w:rsidRPr="002C7A8F">
        <w:rPr>
          <w:b/>
          <w:bCs/>
        </w:rPr>
        <w:t>3.1</w:t>
      </w:r>
      <w:r w:rsidRPr="002C7A8F">
        <w:t xml:space="preserve"> </w:t>
      </w:r>
      <w:r w:rsidRPr="002C7A8F">
        <w:rPr>
          <w:rStyle w:val="Strong"/>
          <w:rFonts w:cs="Arial"/>
          <w:color w:val="000000" w:themeColor="text1"/>
        </w:rPr>
        <w:t>Search Strategy</w:t>
      </w:r>
    </w:p>
    <w:p w14:paraId="41B642D0" w14:textId="4EA12CA8" w:rsidR="00D82E3D" w:rsidRPr="001F0BC6" w:rsidRDefault="00D82E3D" w:rsidP="00D82E3D">
      <w:pPr>
        <w:pStyle w:val="NormalWeb"/>
        <w:rPr>
          <w:rFonts w:ascii="Arial" w:hAnsi="Arial" w:cs="Arial"/>
          <w:sz w:val="22"/>
          <w:szCs w:val="22"/>
        </w:rPr>
      </w:pPr>
      <w:r w:rsidRPr="001F0BC6">
        <w:rPr>
          <w:rFonts w:ascii="Arial" w:hAnsi="Arial" w:cs="Arial"/>
          <w:sz w:val="22"/>
          <w:szCs w:val="22"/>
        </w:rPr>
        <w:t xml:space="preserve">A comprehensive search strategy was developed to ensure wide coverage of relevant peer-reviewed literature. Five academic databases were searched between January and February 2025: </w:t>
      </w:r>
      <w:r w:rsidRPr="001F0BC6">
        <w:rPr>
          <w:rStyle w:val="Strong"/>
          <w:rFonts w:ascii="Arial" w:hAnsi="Arial" w:cs="Arial"/>
          <w:b w:val="0"/>
          <w:bCs w:val="0"/>
          <w:sz w:val="22"/>
          <w:szCs w:val="22"/>
        </w:rPr>
        <w:t>PubMed, CINAHL (EBSCOhost), Scopus, Medline</w:t>
      </w:r>
      <w:r w:rsidRPr="001F0BC6">
        <w:rPr>
          <w:rFonts w:ascii="Arial" w:hAnsi="Arial" w:cs="Arial"/>
          <w:b/>
          <w:bCs/>
          <w:sz w:val="22"/>
          <w:szCs w:val="22"/>
        </w:rPr>
        <w:t xml:space="preserve"> </w:t>
      </w:r>
      <w:r w:rsidRPr="001F0BC6">
        <w:rPr>
          <w:rFonts w:ascii="Arial" w:hAnsi="Arial" w:cs="Arial"/>
          <w:sz w:val="22"/>
          <w:szCs w:val="22"/>
        </w:rPr>
        <w:t>and the</w:t>
      </w:r>
      <w:r w:rsidRPr="001F0BC6">
        <w:rPr>
          <w:rFonts w:ascii="Arial" w:hAnsi="Arial" w:cs="Arial"/>
          <w:b/>
          <w:bCs/>
          <w:sz w:val="22"/>
          <w:szCs w:val="22"/>
        </w:rPr>
        <w:t xml:space="preserve"> </w:t>
      </w:r>
      <w:r w:rsidRPr="001F0BC6">
        <w:rPr>
          <w:rStyle w:val="Strong"/>
          <w:rFonts w:ascii="Arial" w:hAnsi="Arial" w:cs="Arial"/>
          <w:b w:val="0"/>
          <w:bCs w:val="0"/>
          <w:sz w:val="22"/>
          <w:szCs w:val="22"/>
        </w:rPr>
        <w:t>UWTSD Discovery Tool</w:t>
      </w:r>
      <w:r w:rsidRPr="001F0BC6">
        <w:rPr>
          <w:rFonts w:ascii="Arial" w:hAnsi="Arial" w:cs="Arial"/>
          <w:b/>
          <w:bCs/>
          <w:sz w:val="22"/>
          <w:szCs w:val="22"/>
        </w:rPr>
        <w:t>.</w:t>
      </w:r>
      <w:r w:rsidRPr="001F0BC6">
        <w:rPr>
          <w:rFonts w:ascii="Arial" w:hAnsi="Arial" w:cs="Arial"/>
          <w:sz w:val="22"/>
          <w:szCs w:val="22"/>
        </w:rPr>
        <w:t xml:space="preserve"> Search terms were structured around four core concepts</w:t>
      </w:r>
      <w:r w:rsidR="001F0BC6" w:rsidRPr="001F0BC6">
        <w:rPr>
          <w:rFonts w:ascii="Arial" w:hAnsi="Arial" w:cs="Arial"/>
          <w:sz w:val="22"/>
          <w:szCs w:val="22"/>
        </w:rPr>
        <w:t xml:space="preserve"> </w:t>
      </w:r>
      <w:r w:rsidRPr="001F0BC6">
        <w:rPr>
          <w:rStyle w:val="Emphasis"/>
          <w:rFonts w:ascii="Arial" w:eastAsiaTheme="majorEastAsia" w:hAnsi="Arial" w:cs="Arial"/>
          <w:i w:val="0"/>
          <w:iCs w:val="0"/>
          <w:sz w:val="22"/>
          <w:szCs w:val="22"/>
        </w:rPr>
        <w:t>telemedicine</w:t>
      </w:r>
      <w:r w:rsidRPr="001F0BC6">
        <w:rPr>
          <w:rFonts w:ascii="Arial" w:hAnsi="Arial" w:cs="Arial"/>
          <w:i/>
          <w:iCs/>
          <w:sz w:val="22"/>
          <w:szCs w:val="22"/>
        </w:rPr>
        <w:t xml:space="preserve">, </w:t>
      </w:r>
      <w:r w:rsidRPr="001F0BC6">
        <w:rPr>
          <w:rStyle w:val="Emphasis"/>
          <w:rFonts w:ascii="Arial" w:eastAsiaTheme="majorEastAsia" w:hAnsi="Arial" w:cs="Arial"/>
          <w:i w:val="0"/>
          <w:iCs w:val="0"/>
          <w:sz w:val="22"/>
          <w:szCs w:val="22"/>
        </w:rPr>
        <w:t>healthcare access</w:t>
      </w:r>
      <w:r w:rsidRPr="001F0BC6">
        <w:rPr>
          <w:rFonts w:ascii="Arial" w:hAnsi="Arial" w:cs="Arial"/>
          <w:sz w:val="22"/>
          <w:szCs w:val="22"/>
        </w:rPr>
        <w:t xml:space="preserve">, </w:t>
      </w:r>
      <w:r w:rsidRPr="001F0BC6">
        <w:rPr>
          <w:rStyle w:val="Emphasis"/>
          <w:rFonts w:ascii="Arial" w:eastAsiaTheme="majorEastAsia" w:hAnsi="Arial" w:cs="Arial"/>
          <w:i w:val="0"/>
          <w:iCs w:val="0"/>
          <w:sz w:val="22"/>
          <w:szCs w:val="22"/>
        </w:rPr>
        <w:t>rural populations</w:t>
      </w:r>
      <w:r w:rsidRPr="001F0BC6">
        <w:rPr>
          <w:rFonts w:ascii="Arial" w:hAnsi="Arial" w:cs="Arial"/>
          <w:sz w:val="22"/>
          <w:szCs w:val="22"/>
        </w:rPr>
        <w:t xml:space="preserve"> and the </w:t>
      </w:r>
      <w:r w:rsidRPr="001F0BC6">
        <w:rPr>
          <w:rStyle w:val="Emphasis"/>
          <w:rFonts w:ascii="Arial" w:eastAsiaTheme="majorEastAsia" w:hAnsi="Arial" w:cs="Arial"/>
          <w:i w:val="0"/>
          <w:iCs w:val="0"/>
          <w:sz w:val="22"/>
          <w:szCs w:val="22"/>
        </w:rPr>
        <w:t>United Kingdom</w:t>
      </w:r>
      <w:r w:rsidRPr="001F0BC6">
        <w:rPr>
          <w:rFonts w:ascii="Arial" w:hAnsi="Arial" w:cs="Arial"/>
          <w:sz w:val="22"/>
          <w:szCs w:val="22"/>
        </w:rPr>
        <w:t>. Boolean operators (AND/OR) were used to combine keywords and adapt them appropriately for each database using medical subject headings (</w:t>
      </w:r>
      <w:proofErr w:type="spellStart"/>
      <w:r w:rsidRPr="001F0BC6">
        <w:rPr>
          <w:rFonts w:ascii="Arial" w:hAnsi="Arial" w:cs="Arial"/>
          <w:sz w:val="22"/>
          <w:szCs w:val="22"/>
        </w:rPr>
        <w:t>MeSH</w:t>
      </w:r>
      <w:proofErr w:type="spellEnd"/>
      <w:r w:rsidRPr="001F0BC6">
        <w:rPr>
          <w:rFonts w:ascii="Arial" w:hAnsi="Arial" w:cs="Arial"/>
          <w:sz w:val="22"/>
          <w:szCs w:val="22"/>
        </w:rPr>
        <w:t>) or equivalent controlled vocabularies.</w:t>
      </w:r>
    </w:p>
    <w:p w14:paraId="082DFB0F" w14:textId="77777777" w:rsidR="00D82E3D" w:rsidRPr="00D82E3D" w:rsidRDefault="00D82E3D" w:rsidP="00D82E3D">
      <w:pPr>
        <w:pStyle w:val="NormalWeb"/>
        <w:rPr>
          <w:rFonts w:ascii="Arial" w:hAnsi="Arial" w:cs="Arial"/>
          <w:sz w:val="22"/>
          <w:szCs w:val="22"/>
        </w:rPr>
      </w:pPr>
      <w:r w:rsidRPr="00D82E3D">
        <w:rPr>
          <w:rFonts w:ascii="Arial" w:hAnsi="Arial" w:cs="Arial"/>
          <w:sz w:val="22"/>
          <w:szCs w:val="22"/>
        </w:rPr>
        <w:t>The search strategy for each database included combinations such as:</w:t>
      </w:r>
    </w:p>
    <w:p w14:paraId="67052B97" w14:textId="77777777" w:rsidR="00D82E3D" w:rsidRPr="001F0BC6" w:rsidRDefault="00D82E3D" w:rsidP="00D82E3D">
      <w:pPr>
        <w:pStyle w:val="NormalWeb"/>
        <w:numPr>
          <w:ilvl w:val="0"/>
          <w:numId w:val="17"/>
        </w:numPr>
        <w:rPr>
          <w:rFonts w:ascii="Arial" w:hAnsi="Arial" w:cs="Arial"/>
          <w:i/>
          <w:iCs/>
          <w:sz w:val="22"/>
          <w:szCs w:val="22"/>
        </w:rPr>
      </w:pPr>
      <w:r w:rsidRPr="001F0BC6">
        <w:rPr>
          <w:rStyle w:val="Emphasis"/>
          <w:rFonts w:ascii="Arial" w:eastAsiaTheme="majorEastAsia" w:hAnsi="Arial" w:cs="Arial"/>
          <w:i w:val="0"/>
          <w:iCs w:val="0"/>
          <w:sz w:val="22"/>
          <w:szCs w:val="22"/>
        </w:rPr>
        <w:t>telemedicine OR telehealth OR remote consultation</w:t>
      </w:r>
    </w:p>
    <w:p w14:paraId="4C662216" w14:textId="77777777" w:rsidR="00D82E3D" w:rsidRPr="001F0BC6" w:rsidRDefault="00D82E3D" w:rsidP="00D82E3D">
      <w:pPr>
        <w:pStyle w:val="NormalWeb"/>
        <w:numPr>
          <w:ilvl w:val="0"/>
          <w:numId w:val="17"/>
        </w:numPr>
        <w:rPr>
          <w:rFonts w:ascii="Arial" w:hAnsi="Arial" w:cs="Arial"/>
          <w:i/>
          <w:iCs/>
          <w:sz w:val="22"/>
          <w:szCs w:val="22"/>
        </w:rPr>
      </w:pPr>
      <w:r w:rsidRPr="001F0BC6">
        <w:rPr>
          <w:rStyle w:val="Emphasis"/>
          <w:rFonts w:ascii="Arial" w:eastAsiaTheme="majorEastAsia" w:hAnsi="Arial" w:cs="Arial"/>
          <w:i w:val="0"/>
          <w:iCs w:val="0"/>
          <w:sz w:val="22"/>
          <w:szCs w:val="22"/>
        </w:rPr>
        <w:t>healthcare access OR service access OR access barriers</w:t>
      </w:r>
    </w:p>
    <w:p w14:paraId="053684DB" w14:textId="77777777" w:rsidR="00D82E3D" w:rsidRPr="001F0BC6" w:rsidRDefault="00D82E3D" w:rsidP="00D82E3D">
      <w:pPr>
        <w:pStyle w:val="NormalWeb"/>
        <w:numPr>
          <w:ilvl w:val="0"/>
          <w:numId w:val="17"/>
        </w:numPr>
        <w:rPr>
          <w:rFonts w:ascii="Arial" w:hAnsi="Arial" w:cs="Arial"/>
          <w:i/>
          <w:iCs/>
          <w:sz w:val="22"/>
          <w:szCs w:val="22"/>
        </w:rPr>
      </w:pPr>
      <w:r w:rsidRPr="001F0BC6">
        <w:rPr>
          <w:rStyle w:val="Emphasis"/>
          <w:rFonts w:ascii="Arial" w:eastAsiaTheme="majorEastAsia" w:hAnsi="Arial" w:cs="Arial"/>
          <w:i w:val="0"/>
          <w:iCs w:val="0"/>
          <w:sz w:val="22"/>
          <w:szCs w:val="22"/>
        </w:rPr>
        <w:t>rural OR remote OR isolated communities</w:t>
      </w:r>
    </w:p>
    <w:p w14:paraId="17937764" w14:textId="77777777" w:rsidR="00D82E3D" w:rsidRPr="001F0BC6" w:rsidRDefault="00D82E3D" w:rsidP="00D82E3D">
      <w:pPr>
        <w:pStyle w:val="NormalWeb"/>
        <w:numPr>
          <w:ilvl w:val="0"/>
          <w:numId w:val="17"/>
        </w:numPr>
        <w:rPr>
          <w:rFonts w:ascii="Arial" w:hAnsi="Arial" w:cs="Arial"/>
          <w:i/>
          <w:iCs/>
          <w:sz w:val="22"/>
          <w:szCs w:val="22"/>
        </w:rPr>
      </w:pPr>
      <w:r w:rsidRPr="001F0BC6">
        <w:rPr>
          <w:rStyle w:val="Emphasis"/>
          <w:rFonts w:ascii="Arial" w:eastAsiaTheme="majorEastAsia" w:hAnsi="Arial" w:cs="Arial"/>
          <w:i w:val="0"/>
          <w:iCs w:val="0"/>
          <w:sz w:val="22"/>
          <w:szCs w:val="22"/>
        </w:rPr>
        <w:t>United Kingdom OR UK OR England OR Scotland OR Wales OR Northern Ireland</w:t>
      </w:r>
    </w:p>
    <w:p w14:paraId="39A42059" w14:textId="3C58FC78" w:rsidR="00D82E3D" w:rsidRDefault="00D82E3D" w:rsidP="00E96D86">
      <w:pPr>
        <w:pStyle w:val="NormalWeb"/>
        <w:rPr>
          <w:rFonts w:ascii="Arial" w:hAnsi="Arial" w:cs="Arial"/>
          <w:sz w:val="22"/>
          <w:szCs w:val="22"/>
        </w:rPr>
      </w:pPr>
      <w:r w:rsidRPr="00D82E3D">
        <w:rPr>
          <w:rFonts w:ascii="Arial" w:hAnsi="Arial" w:cs="Arial"/>
          <w:sz w:val="22"/>
          <w:szCs w:val="22"/>
        </w:rPr>
        <w:t xml:space="preserve">Search limits were applied to include peer-reviewed articles published in English between </w:t>
      </w:r>
      <w:r w:rsidRPr="002265F1">
        <w:rPr>
          <w:rStyle w:val="Strong"/>
          <w:rFonts w:ascii="Arial" w:hAnsi="Arial" w:cs="Arial"/>
          <w:b w:val="0"/>
          <w:bCs w:val="0"/>
          <w:sz w:val="22"/>
          <w:szCs w:val="22"/>
        </w:rPr>
        <w:t>2015 and 2024</w:t>
      </w:r>
      <w:r w:rsidRPr="00D82E3D">
        <w:rPr>
          <w:rFonts w:ascii="Arial" w:hAnsi="Arial" w:cs="Arial"/>
          <w:sz w:val="22"/>
          <w:szCs w:val="22"/>
        </w:rPr>
        <w:t xml:space="preserve"> to reflect contemporary telemedicine practice and policy developments. Reference lists of included studies were also scanned to identify additional relevant literature.</w:t>
      </w:r>
    </w:p>
    <w:p w14:paraId="1F7FC084" w14:textId="70B421D8" w:rsidR="00E96D86" w:rsidRPr="00E96D86" w:rsidRDefault="00E96D86" w:rsidP="00E96D86">
      <w:pPr>
        <w:pStyle w:val="NormalWeb"/>
        <w:rPr>
          <w:rFonts w:ascii="Arial" w:hAnsi="Arial" w:cs="Arial"/>
          <w:b/>
          <w:bCs/>
          <w:sz w:val="22"/>
          <w:szCs w:val="22"/>
        </w:rPr>
      </w:pPr>
      <w:r w:rsidRPr="00E96D86">
        <w:rPr>
          <w:rFonts w:ascii="Arial" w:hAnsi="Arial" w:cs="Arial"/>
          <w:b/>
          <w:bCs/>
          <w:sz w:val="22"/>
          <w:szCs w:val="22"/>
        </w:rPr>
        <w:t xml:space="preserve">3.2 </w:t>
      </w:r>
      <w:r w:rsidRPr="002C7A8F">
        <w:rPr>
          <w:rStyle w:val="Strong"/>
          <w:rFonts w:ascii="Arial" w:hAnsi="Arial" w:cs="Arial"/>
          <w:color w:val="000000" w:themeColor="text1"/>
          <w:sz w:val="22"/>
          <w:szCs w:val="22"/>
        </w:rPr>
        <w:t>Inclusion and Exclusion Criteria</w:t>
      </w:r>
    </w:p>
    <w:p w14:paraId="6879BC50" w14:textId="77777777" w:rsidR="00D82E3D" w:rsidRPr="00D82E3D" w:rsidRDefault="00D82E3D" w:rsidP="00D82E3D">
      <w:pPr>
        <w:pStyle w:val="NormalWeb"/>
        <w:rPr>
          <w:rFonts w:ascii="Arial" w:hAnsi="Arial" w:cs="Arial"/>
          <w:sz w:val="22"/>
          <w:szCs w:val="22"/>
        </w:rPr>
      </w:pPr>
      <w:r w:rsidRPr="00D82E3D">
        <w:rPr>
          <w:rFonts w:ascii="Arial" w:hAnsi="Arial" w:cs="Arial"/>
          <w:sz w:val="22"/>
          <w:szCs w:val="22"/>
        </w:rPr>
        <w:t>Clear inclusion and exclusion criteria guided study selection.</w:t>
      </w:r>
    </w:p>
    <w:p w14:paraId="0167267D" w14:textId="77777777" w:rsidR="00D01784" w:rsidRDefault="00D01784" w:rsidP="00D82E3D">
      <w:pPr>
        <w:pStyle w:val="NormalWeb"/>
        <w:rPr>
          <w:rStyle w:val="Strong"/>
          <w:rFonts w:ascii="Arial" w:hAnsi="Arial" w:cs="Arial"/>
          <w:sz w:val="22"/>
          <w:szCs w:val="22"/>
        </w:rPr>
      </w:pPr>
    </w:p>
    <w:p w14:paraId="213A3BEE" w14:textId="5DBB9C47" w:rsidR="00D82E3D" w:rsidRPr="00D82E3D" w:rsidRDefault="00D82E3D" w:rsidP="00D82E3D">
      <w:pPr>
        <w:pStyle w:val="NormalWeb"/>
        <w:rPr>
          <w:rFonts w:ascii="Arial" w:hAnsi="Arial" w:cs="Arial"/>
          <w:sz w:val="22"/>
          <w:szCs w:val="22"/>
        </w:rPr>
      </w:pPr>
      <w:r w:rsidRPr="00D82E3D">
        <w:rPr>
          <w:rStyle w:val="Strong"/>
          <w:rFonts w:ascii="Arial" w:hAnsi="Arial" w:cs="Arial"/>
          <w:sz w:val="22"/>
          <w:szCs w:val="22"/>
        </w:rPr>
        <w:lastRenderedPageBreak/>
        <w:t>Inclusion criteria:</w:t>
      </w:r>
    </w:p>
    <w:p w14:paraId="5219DE65" w14:textId="77777777" w:rsidR="00D82E3D" w:rsidRPr="00D82E3D" w:rsidRDefault="00D82E3D" w:rsidP="00D82E3D">
      <w:pPr>
        <w:pStyle w:val="NormalWeb"/>
        <w:numPr>
          <w:ilvl w:val="0"/>
          <w:numId w:val="18"/>
        </w:numPr>
        <w:rPr>
          <w:rFonts w:ascii="Arial" w:hAnsi="Arial" w:cs="Arial"/>
          <w:sz w:val="22"/>
          <w:szCs w:val="22"/>
        </w:rPr>
      </w:pPr>
      <w:r w:rsidRPr="00D82E3D">
        <w:rPr>
          <w:rFonts w:ascii="Arial" w:hAnsi="Arial" w:cs="Arial"/>
          <w:sz w:val="22"/>
          <w:szCs w:val="22"/>
        </w:rPr>
        <w:t>Peer-reviewed primary research studies</w:t>
      </w:r>
    </w:p>
    <w:p w14:paraId="4575A6BA" w14:textId="77777777" w:rsidR="00D82E3D" w:rsidRPr="00D82E3D" w:rsidRDefault="00D82E3D" w:rsidP="00D82E3D">
      <w:pPr>
        <w:pStyle w:val="NormalWeb"/>
        <w:numPr>
          <w:ilvl w:val="0"/>
          <w:numId w:val="18"/>
        </w:numPr>
        <w:rPr>
          <w:rFonts w:ascii="Arial" w:hAnsi="Arial" w:cs="Arial"/>
          <w:sz w:val="22"/>
          <w:szCs w:val="22"/>
        </w:rPr>
      </w:pPr>
      <w:r w:rsidRPr="00D82E3D">
        <w:rPr>
          <w:rFonts w:ascii="Arial" w:hAnsi="Arial" w:cs="Arial"/>
          <w:sz w:val="22"/>
          <w:szCs w:val="22"/>
        </w:rPr>
        <w:t xml:space="preserve">Conducted in the UK or directly focused on UK rural </w:t>
      </w:r>
      <w:proofErr w:type="gramStart"/>
      <w:r w:rsidRPr="00D82E3D">
        <w:rPr>
          <w:rFonts w:ascii="Arial" w:hAnsi="Arial" w:cs="Arial"/>
          <w:sz w:val="22"/>
          <w:szCs w:val="22"/>
        </w:rPr>
        <w:t>populations</w:t>
      </w:r>
      <w:proofErr w:type="gramEnd"/>
    </w:p>
    <w:p w14:paraId="4D8A05D6" w14:textId="77777777" w:rsidR="00D82E3D" w:rsidRPr="00D82E3D" w:rsidRDefault="00D82E3D" w:rsidP="00D82E3D">
      <w:pPr>
        <w:pStyle w:val="NormalWeb"/>
        <w:numPr>
          <w:ilvl w:val="0"/>
          <w:numId w:val="18"/>
        </w:numPr>
        <w:rPr>
          <w:rFonts w:ascii="Arial" w:hAnsi="Arial" w:cs="Arial"/>
          <w:sz w:val="22"/>
          <w:szCs w:val="22"/>
        </w:rPr>
      </w:pPr>
      <w:r w:rsidRPr="00D82E3D">
        <w:rPr>
          <w:rFonts w:ascii="Arial" w:hAnsi="Arial" w:cs="Arial"/>
          <w:sz w:val="22"/>
          <w:szCs w:val="22"/>
        </w:rPr>
        <w:t>Telemedicine used for clinical care (e.g., telephone consultations, video consultations, remote monitoring, teletherapy)</w:t>
      </w:r>
    </w:p>
    <w:p w14:paraId="430EBB88" w14:textId="77777777" w:rsidR="00D82E3D" w:rsidRPr="00D82E3D" w:rsidRDefault="00D82E3D" w:rsidP="00D82E3D">
      <w:pPr>
        <w:pStyle w:val="NormalWeb"/>
        <w:numPr>
          <w:ilvl w:val="0"/>
          <w:numId w:val="18"/>
        </w:numPr>
        <w:rPr>
          <w:rFonts w:ascii="Arial" w:hAnsi="Arial" w:cs="Arial"/>
          <w:sz w:val="22"/>
          <w:szCs w:val="22"/>
        </w:rPr>
      </w:pPr>
      <w:r w:rsidRPr="00D82E3D">
        <w:rPr>
          <w:rFonts w:ascii="Arial" w:hAnsi="Arial" w:cs="Arial"/>
          <w:sz w:val="22"/>
          <w:szCs w:val="22"/>
        </w:rPr>
        <w:t>Outcomes related to healthcare access (e.g., travel burden, appointment availability, continuity, engagement)</w:t>
      </w:r>
    </w:p>
    <w:p w14:paraId="273D339D" w14:textId="77777777" w:rsidR="00D82E3D" w:rsidRPr="00D82E3D" w:rsidRDefault="00D82E3D" w:rsidP="00D82E3D">
      <w:pPr>
        <w:pStyle w:val="NormalWeb"/>
        <w:numPr>
          <w:ilvl w:val="0"/>
          <w:numId w:val="18"/>
        </w:numPr>
        <w:rPr>
          <w:rFonts w:ascii="Arial" w:hAnsi="Arial" w:cs="Arial"/>
          <w:sz w:val="22"/>
          <w:szCs w:val="22"/>
        </w:rPr>
      </w:pPr>
      <w:r w:rsidRPr="00D82E3D">
        <w:rPr>
          <w:rFonts w:ascii="Arial" w:hAnsi="Arial" w:cs="Arial"/>
          <w:sz w:val="22"/>
          <w:szCs w:val="22"/>
        </w:rPr>
        <w:t>Published between 2015–</w:t>
      </w:r>
      <w:proofErr w:type="gramStart"/>
      <w:r w:rsidRPr="00D82E3D">
        <w:rPr>
          <w:rFonts w:ascii="Arial" w:hAnsi="Arial" w:cs="Arial"/>
          <w:sz w:val="22"/>
          <w:szCs w:val="22"/>
        </w:rPr>
        <w:t>2024</w:t>
      </w:r>
      <w:proofErr w:type="gramEnd"/>
    </w:p>
    <w:p w14:paraId="71F1D464" w14:textId="77777777" w:rsidR="00D82E3D" w:rsidRPr="00D82E3D" w:rsidRDefault="00D82E3D" w:rsidP="00D82E3D">
      <w:pPr>
        <w:pStyle w:val="NormalWeb"/>
        <w:numPr>
          <w:ilvl w:val="0"/>
          <w:numId w:val="18"/>
        </w:numPr>
        <w:rPr>
          <w:rFonts w:ascii="Arial" w:hAnsi="Arial" w:cs="Arial"/>
          <w:sz w:val="22"/>
          <w:szCs w:val="22"/>
        </w:rPr>
      </w:pPr>
      <w:r w:rsidRPr="00D82E3D">
        <w:rPr>
          <w:rFonts w:ascii="Arial" w:hAnsi="Arial" w:cs="Arial"/>
          <w:sz w:val="22"/>
          <w:szCs w:val="22"/>
        </w:rPr>
        <w:t>English language</w:t>
      </w:r>
    </w:p>
    <w:p w14:paraId="656DEFAB" w14:textId="77777777" w:rsidR="00D82E3D" w:rsidRPr="00D82E3D" w:rsidRDefault="00D82E3D" w:rsidP="00D82E3D">
      <w:pPr>
        <w:pStyle w:val="NormalWeb"/>
        <w:rPr>
          <w:rFonts w:ascii="Arial" w:hAnsi="Arial" w:cs="Arial"/>
          <w:sz w:val="22"/>
          <w:szCs w:val="22"/>
        </w:rPr>
      </w:pPr>
      <w:r w:rsidRPr="00D82E3D">
        <w:rPr>
          <w:rStyle w:val="Strong"/>
          <w:rFonts w:ascii="Arial" w:hAnsi="Arial" w:cs="Arial"/>
          <w:sz w:val="22"/>
          <w:szCs w:val="22"/>
        </w:rPr>
        <w:t>Exclusion criteria:</w:t>
      </w:r>
    </w:p>
    <w:p w14:paraId="45907054" w14:textId="77777777" w:rsidR="00D82E3D" w:rsidRPr="00D82E3D" w:rsidRDefault="00D82E3D" w:rsidP="00D82E3D">
      <w:pPr>
        <w:pStyle w:val="NormalWeb"/>
        <w:numPr>
          <w:ilvl w:val="0"/>
          <w:numId w:val="19"/>
        </w:numPr>
        <w:rPr>
          <w:rFonts w:ascii="Arial" w:hAnsi="Arial" w:cs="Arial"/>
          <w:sz w:val="22"/>
          <w:szCs w:val="22"/>
        </w:rPr>
      </w:pPr>
      <w:r w:rsidRPr="00D82E3D">
        <w:rPr>
          <w:rFonts w:ascii="Arial" w:hAnsi="Arial" w:cs="Arial"/>
          <w:sz w:val="22"/>
          <w:szCs w:val="22"/>
        </w:rPr>
        <w:t>Editorials, commentaries, letters or opinion pieces</w:t>
      </w:r>
    </w:p>
    <w:p w14:paraId="51320DFF" w14:textId="77777777" w:rsidR="00D82E3D" w:rsidRPr="00D82E3D" w:rsidRDefault="00D82E3D" w:rsidP="00D82E3D">
      <w:pPr>
        <w:pStyle w:val="NormalWeb"/>
        <w:numPr>
          <w:ilvl w:val="0"/>
          <w:numId w:val="19"/>
        </w:numPr>
        <w:rPr>
          <w:rFonts w:ascii="Arial" w:hAnsi="Arial" w:cs="Arial"/>
          <w:sz w:val="22"/>
          <w:szCs w:val="22"/>
        </w:rPr>
      </w:pPr>
      <w:r w:rsidRPr="00D82E3D">
        <w:rPr>
          <w:rFonts w:ascii="Arial" w:hAnsi="Arial" w:cs="Arial"/>
          <w:sz w:val="22"/>
          <w:szCs w:val="22"/>
        </w:rPr>
        <w:t>Non-UK studies with no relevance to rural UK contexts</w:t>
      </w:r>
    </w:p>
    <w:p w14:paraId="084FD46B" w14:textId="77777777" w:rsidR="00D82E3D" w:rsidRPr="00D82E3D" w:rsidRDefault="00D82E3D" w:rsidP="00D82E3D">
      <w:pPr>
        <w:pStyle w:val="NormalWeb"/>
        <w:numPr>
          <w:ilvl w:val="0"/>
          <w:numId w:val="19"/>
        </w:numPr>
        <w:rPr>
          <w:rFonts w:ascii="Arial" w:hAnsi="Arial" w:cs="Arial"/>
          <w:sz w:val="22"/>
          <w:szCs w:val="22"/>
        </w:rPr>
      </w:pPr>
      <w:r w:rsidRPr="00D82E3D">
        <w:rPr>
          <w:rFonts w:ascii="Arial" w:hAnsi="Arial" w:cs="Arial"/>
          <w:sz w:val="22"/>
          <w:szCs w:val="22"/>
        </w:rPr>
        <w:t xml:space="preserve">Studies focused solely on technology development without clinical </w:t>
      </w:r>
      <w:proofErr w:type="gramStart"/>
      <w:r w:rsidRPr="00D82E3D">
        <w:rPr>
          <w:rFonts w:ascii="Arial" w:hAnsi="Arial" w:cs="Arial"/>
          <w:sz w:val="22"/>
          <w:szCs w:val="22"/>
        </w:rPr>
        <w:t>application</w:t>
      </w:r>
      <w:proofErr w:type="gramEnd"/>
    </w:p>
    <w:p w14:paraId="7994CC1B" w14:textId="77777777" w:rsidR="00D82E3D" w:rsidRPr="00D82E3D" w:rsidRDefault="00D82E3D" w:rsidP="00D82E3D">
      <w:pPr>
        <w:pStyle w:val="NormalWeb"/>
        <w:numPr>
          <w:ilvl w:val="0"/>
          <w:numId w:val="19"/>
        </w:numPr>
        <w:rPr>
          <w:rFonts w:ascii="Arial" w:hAnsi="Arial" w:cs="Arial"/>
          <w:sz w:val="22"/>
          <w:szCs w:val="22"/>
        </w:rPr>
      </w:pPr>
      <w:r w:rsidRPr="00D82E3D">
        <w:rPr>
          <w:rFonts w:ascii="Arial" w:hAnsi="Arial" w:cs="Arial"/>
          <w:sz w:val="22"/>
          <w:szCs w:val="22"/>
        </w:rPr>
        <w:t xml:space="preserve">Studies involving urban-only </w:t>
      </w:r>
      <w:proofErr w:type="gramStart"/>
      <w:r w:rsidRPr="00D82E3D">
        <w:rPr>
          <w:rFonts w:ascii="Arial" w:hAnsi="Arial" w:cs="Arial"/>
          <w:sz w:val="22"/>
          <w:szCs w:val="22"/>
        </w:rPr>
        <w:t>populations</w:t>
      </w:r>
      <w:proofErr w:type="gramEnd"/>
    </w:p>
    <w:p w14:paraId="5C6733B3" w14:textId="77777777" w:rsidR="00D82E3D" w:rsidRPr="00D82E3D" w:rsidRDefault="00D82E3D" w:rsidP="00D82E3D">
      <w:pPr>
        <w:pStyle w:val="NormalWeb"/>
        <w:numPr>
          <w:ilvl w:val="0"/>
          <w:numId w:val="19"/>
        </w:numPr>
        <w:rPr>
          <w:rFonts w:ascii="Arial" w:hAnsi="Arial" w:cs="Arial"/>
          <w:sz w:val="22"/>
          <w:szCs w:val="22"/>
        </w:rPr>
      </w:pPr>
      <w:r w:rsidRPr="00D82E3D">
        <w:rPr>
          <w:rFonts w:ascii="Arial" w:hAnsi="Arial" w:cs="Arial"/>
          <w:sz w:val="22"/>
          <w:szCs w:val="22"/>
        </w:rPr>
        <w:t xml:space="preserve">Articles published before </w:t>
      </w:r>
      <w:proofErr w:type="gramStart"/>
      <w:r w:rsidRPr="00D82E3D">
        <w:rPr>
          <w:rFonts w:ascii="Arial" w:hAnsi="Arial" w:cs="Arial"/>
          <w:sz w:val="22"/>
          <w:szCs w:val="22"/>
        </w:rPr>
        <w:t>2015</w:t>
      </w:r>
      <w:proofErr w:type="gramEnd"/>
    </w:p>
    <w:p w14:paraId="7E3738A9" w14:textId="77777777" w:rsidR="00D82E3D" w:rsidRPr="00D82E3D" w:rsidRDefault="00D82E3D" w:rsidP="00D82E3D">
      <w:pPr>
        <w:pStyle w:val="NormalWeb"/>
        <w:numPr>
          <w:ilvl w:val="0"/>
          <w:numId w:val="19"/>
        </w:numPr>
        <w:rPr>
          <w:rFonts w:ascii="Arial" w:hAnsi="Arial" w:cs="Arial"/>
          <w:sz w:val="22"/>
          <w:szCs w:val="22"/>
        </w:rPr>
      </w:pPr>
      <w:r w:rsidRPr="00D82E3D">
        <w:rPr>
          <w:rFonts w:ascii="Arial" w:hAnsi="Arial" w:cs="Arial"/>
          <w:sz w:val="22"/>
          <w:szCs w:val="22"/>
        </w:rPr>
        <w:t>Conference abstracts without a full peer-reviewed paper</w:t>
      </w:r>
    </w:p>
    <w:p w14:paraId="2785950C" w14:textId="77777777" w:rsidR="00D82E3D" w:rsidRPr="00D82E3D" w:rsidRDefault="00D82E3D" w:rsidP="00D82E3D">
      <w:pPr>
        <w:pStyle w:val="NormalWeb"/>
        <w:rPr>
          <w:rFonts w:ascii="Arial" w:hAnsi="Arial" w:cs="Arial"/>
          <w:sz w:val="22"/>
          <w:szCs w:val="22"/>
        </w:rPr>
      </w:pPr>
      <w:r w:rsidRPr="00D82E3D">
        <w:rPr>
          <w:rFonts w:ascii="Arial" w:hAnsi="Arial" w:cs="Arial"/>
          <w:sz w:val="22"/>
          <w:szCs w:val="22"/>
        </w:rPr>
        <w:t>This eligibility framework ensured that only studies directly relevant to the review question were included.</w:t>
      </w:r>
    </w:p>
    <w:p w14:paraId="1C4CAD16" w14:textId="77777777" w:rsidR="002C7A8F" w:rsidRDefault="002C7A8F" w:rsidP="00D82E3D">
      <w:pPr>
        <w:pStyle w:val="NormalWeb"/>
        <w:rPr>
          <w:rFonts w:ascii="Arial" w:hAnsi="Arial" w:cs="Arial"/>
          <w:b/>
          <w:bCs/>
          <w:sz w:val="22"/>
          <w:szCs w:val="22"/>
        </w:rPr>
      </w:pPr>
    </w:p>
    <w:p w14:paraId="5B45E818" w14:textId="76866139" w:rsidR="00A40140" w:rsidRPr="002C7A8F" w:rsidRDefault="00523C4D" w:rsidP="00D82E3D">
      <w:pPr>
        <w:pStyle w:val="NormalWeb"/>
        <w:rPr>
          <w:rFonts w:ascii="Arial" w:hAnsi="Arial" w:cs="Arial"/>
          <w:b/>
          <w:bCs/>
          <w:sz w:val="22"/>
          <w:szCs w:val="22"/>
        </w:rPr>
      </w:pPr>
      <w:r w:rsidRPr="002C7A8F">
        <w:rPr>
          <w:rFonts w:ascii="Arial" w:hAnsi="Arial" w:cs="Arial"/>
          <w:b/>
          <w:bCs/>
          <w:sz w:val="22"/>
          <w:szCs w:val="22"/>
        </w:rPr>
        <w:t xml:space="preserve">3.3 </w:t>
      </w:r>
      <w:r w:rsidR="00A40140" w:rsidRPr="002C7A8F">
        <w:rPr>
          <w:rFonts w:ascii="Arial" w:hAnsi="Arial" w:cs="Arial"/>
          <w:b/>
          <w:bCs/>
          <w:sz w:val="22"/>
          <w:szCs w:val="22"/>
        </w:rPr>
        <w:t>S</w:t>
      </w:r>
      <w:r w:rsidRPr="002C7A8F">
        <w:rPr>
          <w:rFonts w:ascii="Arial" w:hAnsi="Arial" w:cs="Arial"/>
          <w:b/>
          <w:bCs/>
          <w:sz w:val="22"/>
          <w:szCs w:val="22"/>
        </w:rPr>
        <w:t>cree</w:t>
      </w:r>
      <w:r w:rsidR="00A40140" w:rsidRPr="002C7A8F">
        <w:rPr>
          <w:rFonts w:ascii="Arial" w:hAnsi="Arial" w:cs="Arial"/>
          <w:b/>
          <w:bCs/>
          <w:sz w:val="22"/>
          <w:szCs w:val="22"/>
        </w:rPr>
        <w:t>ning Process</w:t>
      </w:r>
    </w:p>
    <w:p w14:paraId="68DA7BA7" w14:textId="16BC9251" w:rsidR="00D82E3D" w:rsidRPr="00D82E3D" w:rsidRDefault="00D82E3D" w:rsidP="00D82E3D">
      <w:pPr>
        <w:pStyle w:val="NormalWeb"/>
        <w:rPr>
          <w:rFonts w:ascii="Arial" w:hAnsi="Arial" w:cs="Arial"/>
          <w:sz w:val="22"/>
          <w:szCs w:val="22"/>
        </w:rPr>
      </w:pPr>
      <w:r w:rsidRPr="00D82E3D">
        <w:rPr>
          <w:rFonts w:ascii="Arial" w:hAnsi="Arial" w:cs="Arial"/>
          <w:sz w:val="22"/>
          <w:szCs w:val="22"/>
        </w:rPr>
        <w:t xml:space="preserve">All retrieved records were exported into a reference management spreadsheet. Duplicate articles were removed manually. Titles and abstracts were screened independently against the inclusion criteria. Studies that appeared relevant or unclear were retrieved in full text for further assessment. Full-text screening applied the inclusion and exclusion criteria rigorously. In total, </w:t>
      </w:r>
      <w:r w:rsidRPr="002265F1">
        <w:rPr>
          <w:rStyle w:val="Strong"/>
          <w:rFonts w:ascii="Arial" w:hAnsi="Arial" w:cs="Arial"/>
          <w:b w:val="0"/>
          <w:bCs w:val="0"/>
          <w:sz w:val="22"/>
          <w:szCs w:val="22"/>
        </w:rPr>
        <w:t>six studies</w:t>
      </w:r>
      <w:r w:rsidRPr="00D82E3D">
        <w:rPr>
          <w:rFonts w:ascii="Arial" w:hAnsi="Arial" w:cs="Arial"/>
          <w:sz w:val="22"/>
          <w:szCs w:val="22"/>
        </w:rPr>
        <w:t xml:space="preserve"> met all criteria and were included in the final synthesis.</w:t>
      </w:r>
    </w:p>
    <w:p w14:paraId="20C6A457" w14:textId="77777777" w:rsidR="00D82E3D" w:rsidRPr="002C7A8F" w:rsidRDefault="00D82E3D" w:rsidP="002C7A8F">
      <w:r w:rsidRPr="002C7A8F">
        <w:rPr>
          <w:rStyle w:val="Strong"/>
          <w:rFonts w:cs="Arial"/>
          <w:color w:val="000000" w:themeColor="text1"/>
        </w:rPr>
        <w:t>3.4 Data Extraction and Charting</w:t>
      </w:r>
    </w:p>
    <w:p w14:paraId="7F9B5BF1" w14:textId="77777777" w:rsidR="00D82E3D" w:rsidRDefault="00D82E3D" w:rsidP="00D82E3D">
      <w:pPr>
        <w:pStyle w:val="NormalWeb"/>
        <w:rPr>
          <w:rFonts w:ascii="Arial" w:hAnsi="Arial" w:cs="Arial"/>
          <w:sz w:val="22"/>
          <w:szCs w:val="22"/>
        </w:rPr>
      </w:pPr>
      <w:r w:rsidRPr="00D82E3D">
        <w:rPr>
          <w:rFonts w:ascii="Arial" w:hAnsi="Arial" w:cs="Arial"/>
          <w:sz w:val="22"/>
          <w:szCs w:val="22"/>
        </w:rPr>
        <w:t>Key study information was extracted using a structured data-charting form developed for this review. The charting process involved recording details such as: the author(s), year of publication, geographical setting, study aims, methodological design, sample characteristics and size, and the specific type of telemedicine intervention examined (e.g., video consultations, telephone reviews, remote monitoring or teletherapy). In addition, the chart captured access-related outcomes, reported benefits and challenges, contextual factors influencing implementation, and any limitations acknowledged by the study authors. This structured approach ensured consistency across data extraction, supported comparison between studies and provided a clear audit trail for transparency.</w:t>
      </w:r>
    </w:p>
    <w:p w14:paraId="3BE177AA" w14:textId="77777777" w:rsidR="00D01784" w:rsidRDefault="00D01784" w:rsidP="002C7A8F">
      <w:pPr>
        <w:rPr>
          <w:b/>
          <w:bCs/>
        </w:rPr>
      </w:pPr>
    </w:p>
    <w:p w14:paraId="67E7B069" w14:textId="77777777" w:rsidR="00D01784" w:rsidRDefault="00D01784" w:rsidP="002C7A8F">
      <w:pPr>
        <w:rPr>
          <w:b/>
          <w:bCs/>
        </w:rPr>
      </w:pPr>
    </w:p>
    <w:p w14:paraId="1E50C290" w14:textId="53B87EDC" w:rsidR="00EA5438" w:rsidRPr="002C7A8F" w:rsidRDefault="002C36B8" w:rsidP="002C7A8F">
      <w:pPr>
        <w:rPr>
          <w:b/>
          <w:bCs/>
        </w:rPr>
      </w:pPr>
      <w:r w:rsidRPr="002C7A8F">
        <w:rPr>
          <w:b/>
          <w:bCs/>
        </w:rPr>
        <w:lastRenderedPageBreak/>
        <w:t>3.5 Analytical Approach</w:t>
      </w:r>
    </w:p>
    <w:p w14:paraId="02793A15" w14:textId="1040BAF3" w:rsidR="002C36B8" w:rsidRPr="002C36B8" w:rsidRDefault="002C36B8" w:rsidP="002C36B8">
      <w:pPr>
        <w:pStyle w:val="NormalWeb"/>
        <w:rPr>
          <w:rFonts w:ascii="Arial" w:hAnsi="Arial" w:cs="Arial"/>
          <w:sz w:val="22"/>
          <w:szCs w:val="22"/>
        </w:rPr>
      </w:pPr>
      <w:r w:rsidRPr="002C36B8">
        <w:rPr>
          <w:rFonts w:ascii="Arial" w:hAnsi="Arial" w:cs="Arial"/>
          <w:sz w:val="22"/>
          <w:szCs w:val="22"/>
        </w:rPr>
        <w:t xml:space="preserve">A thematic analysis was used to synthesise and interpret the extracted data, guided by Braun and Clarke’s (2006) widely recognised six-stage framework. This method was chosen because it offers a flexible yet rigorous approach for identifying patterned meanings across heterogeneous studies, which is essential for a scoping review drawing on diverse research designs and populations. The first stage, </w:t>
      </w:r>
      <w:r w:rsidRPr="002C36B8">
        <w:rPr>
          <w:rFonts w:ascii="Arial" w:hAnsi="Arial" w:cs="Arial"/>
          <w:i/>
          <w:iCs/>
          <w:sz w:val="22"/>
          <w:szCs w:val="22"/>
        </w:rPr>
        <w:t>familiarisation with the data</w:t>
      </w:r>
      <w:r w:rsidRPr="002C36B8">
        <w:rPr>
          <w:rFonts w:ascii="Arial" w:hAnsi="Arial" w:cs="Arial"/>
          <w:sz w:val="22"/>
          <w:szCs w:val="22"/>
        </w:rPr>
        <w:t>, involved repeatedly reading the extracted information, study findings and author interpretations to gain an in-depth understanding of the content. This immersion allowed the reviewer to recognise early ideas and potential points of relevance to the research question.</w:t>
      </w:r>
    </w:p>
    <w:p w14:paraId="7FB5E4F5" w14:textId="77777777" w:rsidR="002C36B8" w:rsidRPr="002C36B8" w:rsidRDefault="002C36B8" w:rsidP="002C36B8">
      <w:pPr>
        <w:pStyle w:val="NormalWeb"/>
        <w:rPr>
          <w:rFonts w:ascii="Arial" w:hAnsi="Arial" w:cs="Arial"/>
          <w:sz w:val="22"/>
          <w:szCs w:val="22"/>
        </w:rPr>
      </w:pPr>
      <w:r w:rsidRPr="002C36B8">
        <w:rPr>
          <w:rFonts w:ascii="Arial" w:hAnsi="Arial" w:cs="Arial"/>
          <w:sz w:val="22"/>
          <w:szCs w:val="22"/>
        </w:rPr>
        <w:t>In the second stage, generating initial</w:t>
      </w:r>
      <w:r w:rsidRPr="002C36B8">
        <w:rPr>
          <w:rFonts w:ascii="Arial" w:hAnsi="Arial" w:cs="Arial"/>
          <w:i/>
          <w:iCs/>
          <w:sz w:val="22"/>
          <w:szCs w:val="22"/>
        </w:rPr>
        <w:t xml:space="preserve"> codes</w:t>
      </w:r>
      <w:r w:rsidRPr="002C36B8">
        <w:rPr>
          <w:rFonts w:ascii="Arial" w:hAnsi="Arial" w:cs="Arial"/>
          <w:sz w:val="22"/>
          <w:szCs w:val="22"/>
        </w:rPr>
        <w:t>, meaningful pieces of data were labelled systematically across the dataset. These codes represented recurring observations such as reduced travel burden, improved appointment flexibility, continuity of care, digital literacy problems and infrastructure limitations. Coding was conducted manually to ensure close engagement with the material, and attention was given to both explicit findings and implicit insights that appeared across multiple studies.</w:t>
      </w:r>
    </w:p>
    <w:p w14:paraId="001D8717" w14:textId="77777777" w:rsidR="002C36B8" w:rsidRPr="002C36B8" w:rsidRDefault="002C36B8" w:rsidP="002C36B8">
      <w:pPr>
        <w:pStyle w:val="NormalWeb"/>
        <w:rPr>
          <w:rFonts w:ascii="Arial" w:hAnsi="Arial" w:cs="Arial"/>
          <w:sz w:val="22"/>
          <w:szCs w:val="22"/>
        </w:rPr>
      </w:pPr>
      <w:r w:rsidRPr="002C36B8">
        <w:rPr>
          <w:rFonts w:ascii="Arial" w:hAnsi="Arial" w:cs="Arial"/>
          <w:sz w:val="22"/>
          <w:szCs w:val="22"/>
        </w:rPr>
        <w:t>The third stage involved searching for potential themes. Here, the codes were grouped into broader categories that reflected shared concepts, enabling the reviewer to begin constructing an initial thematic framework. This included clustering codes relating to travel reduction, timely access, specialist availability, and digital exclusion. These preliminary themes served as a working structure for deeper exploration.</w:t>
      </w:r>
    </w:p>
    <w:p w14:paraId="07D4401F" w14:textId="213EE645" w:rsidR="002C36B8" w:rsidRPr="002C36B8" w:rsidRDefault="002C36B8" w:rsidP="002C36B8">
      <w:pPr>
        <w:pStyle w:val="NormalWeb"/>
        <w:rPr>
          <w:rFonts w:ascii="Arial" w:hAnsi="Arial" w:cs="Arial"/>
          <w:sz w:val="22"/>
          <w:szCs w:val="22"/>
        </w:rPr>
      </w:pPr>
      <w:r w:rsidRPr="002C36B8">
        <w:rPr>
          <w:rFonts w:ascii="Arial" w:hAnsi="Arial" w:cs="Arial"/>
          <w:sz w:val="22"/>
          <w:szCs w:val="22"/>
        </w:rPr>
        <w:t>The fourth stage, reviewing candidate themes, required examining the coherence of each theme in relation to both the coded extracts and the overall dataset. Some themes were refined, merged or separated to ensure they accurately represented the evidence. For example, access-related benefits were divided into two distinct themes</w:t>
      </w:r>
      <w:r w:rsidR="00AD38CE" w:rsidRPr="00EA5438">
        <w:rPr>
          <w:rFonts w:ascii="Arial" w:hAnsi="Arial" w:cs="Arial"/>
          <w:sz w:val="22"/>
          <w:szCs w:val="22"/>
        </w:rPr>
        <w:t xml:space="preserve"> </w:t>
      </w:r>
      <w:r w:rsidRPr="002C36B8">
        <w:rPr>
          <w:rFonts w:ascii="Arial" w:hAnsi="Arial" w:cs="Arial"/>
          <w:sz w:val="22"/>
          <w:szCs w:val="22"/>
        </w:rPr>
        <w:t>“reduced travel barriers” and “improved timeliness and convenience”</w:t>
      </w:r>
      <w:r w:rsidR="00AD38CE" w:rsidRPr="00EA5438">
        <w:rPr>
          <w:rFonts w:ascii="Arial" w:hAnsi="Arial" w:cs="Arial"/>
          <w:sz w:val="22"/>
          <w:szCs w:val="22"/>
        </w:rPr>
        <w:t xml:space="preserve"> </w:t>
      </w:r>
      <w:r w:rsidRPr="002C36B8">
        <w:rPr>
          <w:rFonts w:ascii="Arial" w:hAnsi="Arial" w:cs="Arial"/>
          <w:sz w:val="22"/>
          <w:szCs w:val="22"/>
        </w:rPr>
        <w:t>to better reflect the nuances within the data.</w:t>
      </w:r>
    </w:p>
    <w:p w14:paraId="74AC92AB" w14:textId="77777777" w:rsidR="002C36B8" w:rsidRPr="002C36B8" w:rsidRDefault="002C36B8" w:rsidP="002C36B8">
      <w:pPr>
        <w:pStyle w:val="NormalWeb"/>
        <w:rPr>
          <w:rFonts w:ascii="Arial" w:hAnsi="Arial" w:cs="Arial"/>
          <w:sz w:val="22"/>
          <w:szCs w:val="22"/>
        </w:rPr>
      </w:pPr>
      <w:r w:rsidRPr="002C36B8">
        <w:rPr>
          <w:rFonts w:ascii="Arial" w:hAnsi="Arial" w:cs="Arial"/>
          <w:sz w:val="22"/>
          <w:szCs w:val="22"/>
        </w:rPr>
        <w:t>During the fifth stage, defining and naming themes, each theme was clearly articulated, with its scope, boundaries and core message specified. This process ensured that the final themes captured the essence of the findings while remaining analytically distinct. Definitions were revised until they provided a coherent and meaningful representation of the patterns observed across rural telemedicine studies.</w:t>
      </w:r>
    </w:p>
    <w:p w14:paraId="1B839530" w14:textId="77777777" w:rsidR="002C36B8" w:rsidRPr="002C36B8" w:rsidRDefault="002C36B8" w:rsidP="002C36B8">
      <w:pPr>
        <w:pStyle w:val="NormalWeb"/>
        <w:rPr>
          <w:rFonts w:ascii="Arial" w:hAnsi="Arial" w:cs="Arial"/>
          <w:sz w:val="22"/>
          <w:szCs w:val="22"/>
        </w:rPr>
      </w:pPr>
      <w:r w:rsidRPr="002C36B8">
        <w:rPr>
          <w:rFonts w:ascii="Arial" w:hAnsi="Arial" w:cs="Arial"/>
          <w:sz w:val="22"/>
          <w:szCs w:val="22"/>
        </w:rPr>
        <w:t>The final stage involved producing the narrative synthesis, in which the themes were woven together to create a structured, logical account of how telemedicine influences healthcare access in rural UK settings. The synthesis drew connections between themes, highlighted contradictions and gaps in the literature, and situated the findings within wider policy and practice contexts.</w:t>
      </w:r>
    </w:p>
    <w:p w14:paraId="778F9316" w14:textId="572CA4C0" w:rsidR="004C2E9E" w:rsidRPr="00D01784" w:rsidRDefault="002C36B8" w:rsidP="00D01784">
      <w:pPr>
        <w:pStyle w:val="NormalWeb"/>
        <w:rPr>
          <w:rStyle w:val="Strong"/>
          <w:rFonts w:ascii="Arial" w:hAnsi="Arial" w:cs="Arial"/>
          <w:b w:val="0"/>
          <w:bCs w:val="0"/>
          <w:sz w:val="22"/>
          <w:szCs w:val="22"/>
        </w:rPr>
      </w:pPr>
      <w:r w:rsidRPr="002C36B8">
        <w:rPr>
          <w:rFonts w:ascii="Arial" w:hAnsi="Arial" w:cs="Arial"/>
          <w:sz w:val="22"/>
          <w:szCs w:val="22"/>
        </w:rPr>
        <w:t>Themes were developed inductively, meaning they emerged from the data rather than being shaped by predetermined theoretical frameworks. This inductive approach was especially suitable for capturing the rich diversity of rural telemedicine experiences across different regions, patient populations and clinical environments. It also supported the exploratory aim of the scoping review, allowing the analysis to remain grounded in the evidence while accommodating the complexity of real-world telemedicine use.</w:t>
      </w:r>
    </w:p>
    <w:p w14:paraId="71C87ECA" w14:textId="6E7E1F9C" w:rsidR="00D82E3D" w:rsidRPr="002C7A8F" w:rsidRDefault="00D82E3D" w:rsidP="002C7A8F">
      <w:r w:rsidRPr="002C7A8F">
        <w:rPr>
          <w:rStyle w:val="Strong"/>
          <w:rFonts w:cs="Arial"/>
          <w:color w:val="000000" w:themeColor="text1"/>
        </w:rPr>
        <w:lastRenderedPageBreak/>
        <w:t>3.6 Ethical Considerations</w:t>
      </w:r>
    </w:p>
    <w:p w14:paraId="33B4F02A" w14:textId="77777777" w:rsidR="00D82E3D" w:rsidRPr="00D82E3D" w:rsidRDefault="00D82E3D" w:rsidP="00D82E3D">
      <w:pPr>
        <w:pStyle w:val="NormalWeb"/>
        <w:rPr>
          <w:rFonts w:ascii="Arial" w:hAnsi="Arial" w:cs="Arial"/>
          <w:sz w:val="22"/>
          <w:szCs w:val="22"/>
        </w:rPr>
      </w:pPr>
      <w:r w:rsidRPr="00D82E3D">
        <w:rPr>
          <w:rFonts w:ascii="Arial" w:hAnsi="Arial" w:cs="Arial"/>
          <w:sz w:val="22"/>
          <w:szCs w:val="22"/>
        </w:rPr>
        <w:t>This study involved secondary analysis of published literature and therefore did not require ethical approval. Nevertheless, ethical principles were upheld by ensuring transparent reporting, accurate citation of all sources, critical evaluation of evidence quality and avoidance of plagiarism through paraphrasing and original synthesis.</w:t>
      </w:r>
    </w:p>
    <w:p w14:paraId="73B9D680" w14:textId="43FBEF9A" w:rsidR="0058262F" w:rsidRPr="0058262F" w:rsidRDefault="00000000" w:rsidP="0058262F">
      <w:pPr>
        <w:spacing w:after="160" w:line="259" w:lineRule="auto"/>
        <w:rPr>
          <w:rFonts w:eastAsia="Calibri" w:cs="Arial"/>
          <w:kern w:val="2"/>
          <w:lang w:val="en-GB"/>
          <w14:ligatures w14:val="standardContextual"/>
        </w:rPr>
      </w:pPr>
      <w:r>
        <w:rPr>
          <w:rFonts w:eastAsia="Calibri" w:cs="Arial"/>
          <w:kern w:val="2"/>
          <w:lang w:val="en-GB"/>
          <w14:ligatures w14:val="standardContextual"/>
        </w:rPr>
        <w:pict w14:anchorId="19F09965">
          <v:rect id="_x0000_i1025" style="width:0;height:1.5pt" o:hralign="center" o:hrstd="t" o:hr="t" fillcolor="#a0a0a0" stroked="f"/>
        </w:pict>
      </w:r>
    </w:p>
    <w:p w14:paraId="3B66F432"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4. Results</w:t>
      </w:r>
    </w:p>
    <w:p w14:paraId="77B2FA34"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 xml:space="preserve">A total of six studies met the inclusion criteria. They explored telemedicine use across rural Scotland, Wales and other remote areas of the UK. The studies included </w:t>
      </w:r>
      <w:proofErr w:type="gramStart"/>
      <w:r w:rsidRPr="0058262F">
        <w:rPr>
          <w:rFonts w:eastAsia="Calibri" w:cs="Arial"/>
          <w:kern w:val="2"/>
          <w:lang w:val="en-GB"/>
          <w14:ligatures w14:val="standardContextual"/>
        </w:rPr>
        <w:t>mixed-methods</w:t>
      </w:r>
      <w:proofErr w:type="gramEnd"/>
      <w:r w:rsidRPr="0058262F">
        <w:rPr>
          <w:rFonts w:eastAsia="Calibri" w:cs="Arial"/>
          <w:kern w:val="2"/>
          <w:lang w:val="en-GB"/>
          <w14:ligatures w14:val="standardContextual"/>
        </w:rPr>
        <w:t xml:space="preserve"> designs, qualitative case studies, observational cohorts and cross-sectional surveys. Despite different methods, several consistent patterns emerged.</w:t>
      </w:r>
    </w:p>
    <w:p w14:paraId="28358724"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4.1 Theme 1: Reduced Travel and Geographical Barriers</w:t>
      </w:r>
    </w:p>
    <w:p w14:paraId="288E396F"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Every study reported that telemedicine significantly reduced travel requirements. For people living in rural Scotland and Wales, remote consultations removed the need for long car journeys, ferry travel or reliance on family for transport (Donaghy et al., 2019; Johnston et al., 2022). This was particularly beneficial for older adults and those with long-term conditions.</w:t>
      </w:r>
    </w:p>
    <w:p w14:paraId="733E2A7E"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4.2 Theme 2: Improved Timeliness and Convenience</w:t>
      </w:r>
    </w:p>
    <w:p w14:paraId="32F11571"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Telemedicine enabled quicker, more flexible access to clinicians. Several studies found that telephone and video consultations could be scheduled sooner than face-to-face appointments (Reilly et al., 2022). Remote monitoring supported timely interventions by alerting clinicians to early signs of deterioration (</w:t>
      </w:r>
      <w:proofErr w:type="spellStart"/>
      <w:r w:rsidRPr="0058262F">
        <w:rPr>
          <w:rFonts w:eastAsia="Calibri" w:cs="Arial"/>
          <w:kern w:val="2"/>
          <w:lang w:val="en-GB"/>
          <w14:ligatures w14:val="standardContextual"/>
        </w:rPr>
        <w:t>Snoswell</w:t>
      </w:r>
      <w:proofErr w:type="spellEnd"/>
      <w:r w:rsidRPr="0058262F">
        <w:rPr>
          <w:rFonts w:eastAsia="Calibri" w:cs="Arial"/>
          <w:kern w:val="2"/>
          <w:lang w:val="en-GB"/>
          <w14:ligatures w14:val="standardContextual"/>
        </w:rPr>
        <w:t xml:space="preserve"> et al., 2021).</w:t>
      </w:r>
    </w:p>
    <w:p w14:paraId="65D058A8"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4.3 Theme 3: Strengthened Continuity of Care and Specialist Reach</w:t>
      </w:r>
    </w:p>
    <w:p w14:paraId="04E5FF40"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Remote options allowed more frequent contact between patients and clinicians, which supported ongoing engagement. Teletherapy widened access to psychological support in places where local mental health provision was limited (Collins et al., 2023). Telemedicine also enabled rural GPs to obtain prompt specialist input, improving clinical decision-making.</w:t>
      </w:r>
    </w:p>
    <w:p w14:paraId="067DE20A"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4.4 Theme 4: Persistent Digital Exclusion</w:t>
      </w:r>
    </w:p>
    <w:p w14:paraId="26555E6B" w14:textId="758FD320"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All studies from rural settings highlighted digital barriers. These included unreliable broadband, limited mobile coverage, lack of devices and low digital literacy</w:t>
      </w:r>
      <w:r w:rsidR="00C053C5">
        <w:rPr>
          <w:rFonts w:eastAsia="Calibri" w:cs="Arial"/>
          <w:kern w:val="2"/>
          <w:lang w:val="en-GB"/>
          <w14:ligatures w14:val="standardContextual"/>
        </w:rPr>
        <w:t xml:space="preserve"> </w:t>
      </w:r>
      <w:r w:rsidRPr="0058262F">
        <w:rPr>
          <w:rFonts w:eastAsia="Calibri" w:cs="Arial"/>
          <w:kern w:val="2"/>
          <w:lang w:val="en-GB"/>
          <w14:ligatures w14:val="standardContextual"/>
        </w:rPr>
        <w:t>particularly among older adults and low-income groups (Temple and Russell, 2022). In some cases, these issues disrupted appointments or made remote care impossible.</w:t>
      </w:r>
    </w:p>
    <w:p w14:paraId="3413FEF8" w14:textId="77777777" w:rsidR="0058262F" w:rsidRPr="0058262F" w:rsidRDefault="00000000" w:rsidP="0058262F">
      <w:pPr>
        <w:spacing w:after="160" w:line="259" w:lineRule="auto"/>
        <w:rPr>
          <w:rFonts w:eastAsia="Calibri" w:cs="Arial"/>
          <w:kern w:val="2"/>
          <w:lang w:val="en-GB"/>
          <w14:ligatures w14:val="standardContextual"/>
        </w:rPr>
      </w:pPr>
      <w:r>
        <w:rPr>
          <w:rFonts w:eastAsia="Calibri" w:cs="Arial"/>
          <w:kern w:val="2"/>
          <w:lang w:val="en-GB"/>
          <w14:ligatures w14:val="standardContextual"/>
        </w:rPr>
        <w:pict w14:anchorId="3E397702">
          <v:rect id="_x0000_i1026" style="width:0;height:1.5pt" o:hralign="center" o:hrstd="t" o:hr="t" fillcolor="#a0a0a0" stroked="f"/>
        </w:pict>
      </w:r>
    </w:p>
    <w:p w14:paraId="7E295099"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5. Discussion</w:t>
      </w:r>
    </w:p>
    <w:p w14:paraId="1205FBFD"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 xml:space="preserve">The findings indicate that telemedicine can meaningfully improve healthcare access for rural populations across the UK. The most consistent benefit is the reduction in travel burden. Long journeys to GP surgeries and hospitals have historically limited </w:t>
      </w:r>
      <w:r w:rsidRPr="0058262F">
        <w:rPr>
          <w:rFonts w:eastAsia="Calibri" w:cs="Arial"/>
          <w:kern w:val="2"/>
          <w:lang w:val="en-GB"/>
          <w14:ligatures w14:val="standardContextual"/>
        </w:rPr>
        <w:lastRenderedPageBreak/>
        <w:t>engagement among rural communities, especially during winter or in areas with limited public transport. Telemedicine directly addresses this issue and supports more equitable access to care.</w:t>
      </w:r>
    </w:p>
    <w:p w14:paraId="0AA0DCE0"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Improved timeliness of care was another notable advantage. Remote consultations allow patients to speak to clinicians sooner, reducing waiting times and enabling early intervention. Remote monitoring for chronic conditions offers additional safety benefits by allowing clinicians to detect deterioration before it becomes serious.</w:t>
      </w:r>
    </w:p>
    <w:p w14:paraId="5846272F" w14:textId="7C70B83E"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Continuity of care also improved through remote options. Regular contact supports patient engagement, and teletherapy increases access to mental health services</w:t>
      </w:r>
      <w:r w:rsidR="00C053C5">
        <w:rPr>
          <w:rFonts w:eastAsia="Calibri" w:cs="Arial"/>
          <w:kern w:val="2"/>
          <w:lang w:val="en-GB"/>
          <w14:ligatures w14:val="standardContextual"/>
        </w:rPr>
        <w:t xml:space="preserve"> </w:t>
      </w:r>
      <w:r w:rsidRPr="0058262F">
        <w:rPr>
          <w:rFonts w:eastAsia="Calibri" w:cs="Arial"/>
          <w:kern w:val="2"/>
          <w:lang w:val="en-GB"/>
          <w14:ligatures w14:val="standardContextual"/>
        </w:rPr>
        <w:t>an important consideration in rural areas where stigma or workforce shortages create barriers to psychological support.</w:t>
      </w:r>
    </w:p>
    <w:p w14:paraId="165A1D8E"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However, digital exclusion remains a major challenge. Telemedicine has the potential to reduce inequalities, but only if patients have suitable devices, adequate internet access and the confidence to use digital platforms. Without targeted action, telemedicine can unintentionally widen disparities, contradicting national strategies aimed at reducing inequality (UK Government, 2020).</w:t>
      </w:r>
    </w:p>
    <w:p w14:paraId="1A2C7E25" w14:textId="77777777" w:rsidR="0058262F" w:rsidRPr="0058262F" w:rsidRDefault="0058262F" w:rsidP="0058262F">
      <w:pPr>
        <w:spacing w:after="160" w:line="259" w:lineRule="auto"/>
        <w:rPr>
          <w:rFonts w:eastAsia="Calibri" w:cs="Arial"/>
          <w:kern w:val="2"/>
          <w:lang w:val="en-GB"/>
          <w14:ligatures w14:val="standardContextual"/>
        </w:rPr>
      </w:pPr>
      <w:r w:rsidRPr="0058262F">
        <w:rPr>
          <w:rFonts w:eastAsia="Calibri" w:cs="Arial"/>
          <w:kern w:val="2"/>
          <w:lang w:val="en-GB"/>
          <w14:ligatures w14:val="standardContextual"/>
        </w:rPr>
        <w:t>The evidence base itself has limitations. Samples were often small, region-specific and reliant on self-reported experiences. Few studies evaluated long-term outcomes, cost-effectiveness or the impact of telemedicine on different demographic groups. Further research is therefore needed to build a stronger evidence base.</w:t>
      </w:r>
    </w:p>
    <w:p w14:paraId="37F015B4" w14:textId="77777777" w:rsidR="0058262F" w:rsidRPr="0058262F" w:rsidRDefault="00000000" w:rsidP="0058262F">
      <w:pPr>
        <w:spacing w:after="160" w:line="259" w:lineRule="auto"/>
        <w:rPr>
          <w:rFonts w:eastAsia="Calibri" w:cs="Arial"/>
          <w:kern w:val="2"/>
          <w:lang w:val="en-GB"/>
          <w14:ligatures w14:val="standardContextual"/>
        </w:rPr>
      </w:pPr>
      <w:r>
        <w:rPr>
          <w:rFonts w:eastAsia="Calibri" w:cs="Arial"/>
          <w:kern w:val="2"/>
          <w:lang w:val="en-GB"/>
          <w14:ligatures w14:val="standardContextual"/>
        </w:rPr>
        <w:pict w14:anchorId="3D974DDC">
          <v:rect id="_x0000_i1027" style="width:0;height:1.5pt" o:hralign="center" o:hrstd="t" o:hr="t" fillcolor="#a0a0a0" stroked="f"/>
        </w:pict>
      </w:r>
    </w:p>
    <w:p w14:paraId="107D6014" w14:textId="77777777" w:rsidR="0058262F" w:rsidRPr="0058262F" w:rsidRDefault="0058262F" w:rsidP="0058262F">
      <w:pPr>
        <w:spacing w:after="160" w:line="259" w:lineRule="auto"/>
        <w:rPr>
          <w:rFonts w:eastAsia="Calibri" w:cs="Arial"/>
          <w:b/>
          <w:bCs/>
          <w:kern w:val="2"/>
          <w:lang w:val="en-GB"/>
          <w14:ligatures w14:val="standardContextual"/>
        </w:rPr>
      </w:pPr>
      <w:r w:rsidRPr="0058262F">
        <w:rPr>
          <w:rFonts w:eastAsia="Calibri" w:cs="Arial"/>
          <w:b/>
          <w:bCs/>
          <w:kern w:val="2"/>
          <w:lang w:val="en-GB"/>
          <w14:ligatures w14:val="standardContextual"/>
        </w:rPr>
        <w:t>6. Conclusion and Recommendations</w:t>
      </w:r>
    </w:p>
    <w:p w14:paraId="0CA5B146" w14:textId="77777777" w:rsidR="00A73E45" w:rsidRPr="00A73E45" w:rsidRDefault="00A73E45" w:rsidP="00A73E45">
      <w:pPr>
        <w:pStyle w:val="NormalWeb"/>
        <w:rPr>
          <w:rFonts w:ascii="Arial" w:hAnsi="Arial" w:cs="Arial"/>
          <w:color w:val="000000" w:themeColor="text1"/>
          <w:sz w:val="22"/>
          <w:szCs w:val="22"/>
        </w:rPr>
      </w:pPr>
      <w:r w:rsidRPr="00A73E45">
        <w:rPr>
          <w:rStyle w:val="Strong"/>
          <w:rFonts w:ascii="Arial" w:hAnsi="Arial" w:cs="Arial"/>
          <w:color w:val="000000" w:themeColor="text1"/>
          <w:sz w:val="22"/>
          <w:szCs w:val="22"/>
        </w:rPr>
        <w:t>Conclusion</w:t>
      </w:r>
      <w:r w:rsidRPr="00A73E45">
        <w:rPr>
          <w:rFonts w:ascii="Arial" w:hAnsi="Arial" w:cs="Arial"/>
          <w:color w:val="000000" w:themeColor="text1"/>
          <w:sz w:val="22"/>
          <w:szCs w:val="22"/>
        </w:rPr>
        <w:br/>
        <w:t xml:space="preserve">Telemedicine has clear and growing potential to improve healthcare access for rural communities across the United Kingdom, where patients often face long-standing barriers such as distance, limited transport and shortages of local services. The evidence from this scoping review indicates that remote consultations can significantly reduce the need for travel, easing the physical, financial and emotional strain often associated with accessing healthcare in isolated areas. Telemedicine also increases convenience by offering quicker and more flexible appointment options, which can support earlier intervention, more efficient follow-up and better management of chronic conditions. In addition, it strengthens continuity of care by enabling regular contact between patients and </w:t>
      </w:r>
      <w:proofErr w:type="gramStart"/>
      <w:r w:rsidRPr="00A73E45">
        <w:rPr>
          <w:rFonts w:ascii="Arial" w:hAnsi="Arial" w:cs="Arial"/>
          <w:color w:val="000000" w:themeColor="text1"/>
          <w:sz w:val="22"/>
          <w:szCs w:val="22"/>
        </w:rPr>
        <w:t>clinicians, and</w:t>
      </w:r>
      <w:proofErr w:type="gramEnd"/>
      <w:r w:rsidRPr="00A73E45">
        <w:rPr>
          <w:rFonts w:ascii="Arial" w:hAnsi="Arial" w:cs="Arial"/>
          <w:color w:val="000000" w:themeColor="text1"/>
          <w:sz w:val="22"/>
          <w:szCs w:val="22"/>
        </w:rPr>
        <w:t xml:space="preserve"> widens access to specialist and mental health support that might otherwise be unavailable locally.</w:t>
      </w:r>
    </w:p>
    <w:p w14:paraId="4B8E8FF6" w14:textId="77777777" w:rsidR="00A73E45" w:rsidRPr="00A73E45" w:rsidRDefault="00A73E45" w:rsidP="00A73E45">
      <w:pPr>
        <w:pStyle w:val="NormalWeb"/>
        <w:rPr>
          <w:rFonts w:ascii="Arial" w:hAnsi="Arial" w:cs="Arial"/>
          <w:color w:val="000000" w:themeColor="text1"/>
          <w:sz w:val="22"/>
          <w:szCs w:val="22"/>
        </w:rPr>
      </w:pPr>
      <w:r w:rsidRPr="00A73E45">
        <w:rPr>
          <w:rFonts w:ascii="Arial" w:hAnsi="Arial" w:cs="Arial"/>
          <w:color w:val="000000" w:themeColor="text1"/>
          <w:sz w:val="22"/>
          <w:szCs w:val="22"/>
        </w:rPr>
        <w:t>Despite these benefits, the findings also show that telemedicine is not universally accessible. Digital exclusion, unreliable broadband, limited device ownership and low digital confidence continue to affect many rural residents, particularly older adults and those on lower incomes. These inequalities restrict who can realistically engage with remote services, and if not addressed, telemedicine could unintentionally widen existing health disparities. Furthermore, some clinical assessments still require physical examination, safeguarding reviews or hands-on procedures that cannot be replicated remotely.</w:t>
      </w:r>
    </w:p>
    <w:p w14:paraId="3735BFC9" w14:textId="21516FF7" w:rsidR="00A73E45" w:rsidRPr="00A73E45" w:rsidRDefault="00A73E45" w:rsidP="00A73E45">
      <w:pPr>
        <w:pStyle w:val="NormalWeb"/>
        <w:rPr>
          <w:rFonts w:ascii="Arial" w:hAnsi="Arial" w:cs="Arial"/>
          <w:color w:val="000000" w:themeColor="text1"/>
          <w:sz w:val="22"/>
          <w:szCs w:val="22"/>
        </w:rPr>
      </w:pPr>
      <w:r w:rsidRPr="00A73E45">
        <w:rPr>
          <w:rFonts w:ascii="Arial" w:hAnsi="Arial" w:cs="Arial"/>
          <w:color w:val="000000" w:themeColor="text1"/>
          <w:sz w:val="22"/>
          <w:szCs w:val="22"/>
        </w:rPr>
        <w:lastRenderedPageBreak/>
        <w:t>For these reasons, telemedicine should not be viewed as a standalone solution, but rather as an important component of a balanced hybrid care model. Such a model combines the flexibility and reach of digital services with the reassurance, relational continuity and clinical safety of in-person care. Ensuring that rural patients can choose the most appropriate format for their needs</w:t>
      </w:r>
      <w:r>
        <w:rPr>
          <w:rFonts w:ascii="Arial" w:hAnsi="Arial" w:cs="Arial"/>
          <w:color w:val="000000" w:themeColor="text1"/>
          <w:sz w:val="22"/>
          <w:szCs w:val="22"/>
        </w:rPr>
        <w:t xml:space="preserve"> </w:t>
      </w:r>
      <w:r w:rsidRPr="00A73E45">
        <w:rPr>
          <w:rFonts w:ascii="Arial" w:hAnsi="Arial" w:cs="Arial"/>
          <w:color w:val="000000" w:themeColor="text1"/>
          <w:sz w:val="22"/>
          <w:szCs w:val="22"/>
        </w:rPr>
        <w:t>supported by investment in digital infrastructure, training and inclusion programmes</w:t>
      </w:r>
      <w:r>
        <w:rPr>
          <w:rFonts w:ascii="Arial" w:hAnsi="Arial" w:cs="Arial"/>
          <w:color w:val="000000" w:themeColor="text1"/>
          <w:sz w:val="22"/>
          <w:szCs w:val="22"/>
        </w:rPr>
        <w:t xml:space="preserve"> </w:t>
      </w:r>
      <w:r w:rsidRPr="00A73E45">
        <w:rPr>
          <w:rFonts w:ascii="Arial" w:hAnsi="Arial" w:cs="Arial"/>
          <w:color w:val="000000" w:themeColor="text1"/>
          <w:sz w:val="22"/>
          <w:szCs w:val="22"/>
        </w:rPr>
        <w:t>will be essential for delivering fair and person-centred healthcare. With these supports in place, telemedicine can play a major role in reducing rural health inequalities and enhancing access across the UK.</w:t>
      </w:r>
    </w:p>
    <w:p w14:paraId="44DF5235" w14:textId="77777777" w:rsidR="0058262F" w:rsidRPr="0058262F" w:rsidRDefault="00000000" w:rsidP="0058262F">
      <w:pPr>
        <w:spacing w:after="160" w:line="259" w:lineRule="auto"/>
        <w:rPr>
          <w:rFonts w:eastAsia="Calibri" w:cs="Arial"/>
          <w:kern w:val="2"/>
          <w:lang w:val="en-GB"/>
          <w14:ligatures w14:val="standardContextual"/>
        </w:rPr>
      </w:pPr>
      <w:r>
        <w:rPr>
          <w:rFonts w:eastAsia="Calibri" w:cs="Arial"/>
          <w:kern w:val="2"/>
          <w:lang w:val="en-GB"/>
          <w14:ligatures w14:val="standardContextual"/>
        </w:rPr>
        <w:pict w14:anchorId="7092CB5C">
          <v:rect id="_x0000_i1028" style="width:0;height:1.5pt" o:hralign="center" o:hrstd="t" o:hr="t" fillcolor="#a0a0a0" stroked="f"/>
        </w:pict>
      </w:r>
    </w:p>
    <w:p w14:paraId="043EF551" w14:textId="77777777" w:rsidR="00D11BCD" w:rsidRPr="00D11BCD" w:rsidRDefault="00D11BCD" w:rsidP="00D11BCD">
      <w:pPr>
        <w:spacing w:after="160" w:line="259" w:lineRule="auto"/>
        <w:rPr>
          <w:rFonts w:eastAsia="Calibri" w:cs="Arial"/>
          <w:kern w:val="2"/>
          <w:lang w:val="en-GB"/>
          <w14:ligatures w14:val="standardContextual"/>
        </w:rPr>
      </w:pPr>
      <w:r w:rsidRPr="00D11BCD">
        <w:rPr>
          <w:rFonts w:eastAsia="Calibri" w:cs="Arial"/>
          <w:b/>
          <w:bCs/>
          <w:kern w:val="2"/>
          <w:lang w:val="en-GB"/>
          <w14:ligatures w14:val="standardContextual"/>
        </w:rPr>
        <w:t>Recommendations</w:t>
      </w:r>
    </w:p>
    <w:p w14:paraId="7E55C65D" w14:textId="0B9A27E1" w:rsidR="00D11BCD" w:rsidRPr="00D11BCD" w:rsidRDefault="00D11BCD" w:rsidP="00D11BCD">
      <w:pPr>
        <w:spacing w:after="160" w:line="259" w:lineRule="auto"/>
        <w:rPr>
          <w:rFonts w:eastAsia="Calibri" w:cs="Arial"/>
          <w:kern w:val="2"/>
          <w:lang w:val="en-GB"/>
          <w14:ligatures w14:val="standardContextual"/>
        </w:rPr>
      </w:pPr>
      <w:r w:rsidRPr="00D11BCD">
        <w:rPr>
          <w:rFonts w:eastAsia="Calibri" w:cs="Arial"/>
          <w:kern w:val="2"/>
          <w:lang w:val="en-GB"/>
          <w14:ligatures w14:val="standardContextual"/>
        </w:rPr>
        <w:t>Based on the findings of this review, several recommendations can support the effective and fair implementation of telemedicine in rural UK healthcare. From a practice perspective, it is essential that services continue to offer hybrid models of care that combine remote and traditional face-to-face appointments. Telemedicine should be available as a flexible option rather than a compulsory replacement for in-person visits, ensuring that clinical judgement guides when physical examination or direct interaction is required. To strengthen patient engagement, healthcare teams should provide straightforward digital support for individuals who lack confidence using technology. This may include step-by-step guides, short demonstrations, telephone coaching or community-based digital help sessions. Maintaining telephone consultations as a standard alternative is also vital, as many patients</w:t>
      </w:r>
      <w:r w:rsidR="00C053C5">
        <w:rPr>
          <w:rFonts w:eastAsia="Calibri" w:cs="Arial"/>
          <w:kern w:val="2"/>
          <w:lang w:val="en-GB"/>
          <w14:ligatures w14:val="standardContextual"/>
        </w:rPr>
        <w:t xml:space="preserve"> </w:t>
      </w:r>
      <w:r w:rsidRPr="00D11BCD">
        <w:rPr>
          <w:rFonts w:eastAsia="Calibri" w:cs="Arial"/>
          <w:kern w:val="2"/>
          <w:lang w:val="en-GB"/>
          <w14:ligatures w14:val="standardContextual"/>
        </w:rPr>
        <w:t>particularly older adults or those with limited connectivity</w:t>
      </w:r>
      <w:r w:rsidR="00C053C5">
        <w:rPr>
          <w:rFonts w:eastAsia="Calibri" w:cs="Arial"/>
          <w:kern w:val="2"/>
          <w:lang w:val="en-GB"/>
          <w14:ligatures w14:val="standardContextual"/>
        </w:rPr>
        <w:t xml:space="preserve"> </w:t>
      </w:r>
      <w:r w:rsidRPr="00D11BCD">
        <w:rPr>
          <w:rFonts w:eastAsia="Calibri" w:cs="Arial"/>
          <w:kern w:val="2"/>
          <w:lang w:val="en-GB"/>
          <w14:ligatures w14:val="standardContextual"/>
        </w:rPr>
        <w:t>find telephone communication more accessible than video platforms.</w:t>
      </w:r>
    </w:p>
    <w:p w14:paraId="3BA7E8DA" w14:textId="77777777" w:rsidR="00D11BCD" w:rsidRPr="00D11BCD" w:rsidRDefault="00D11BCD" w:rsidP="00D11BCD">
      <w:pPr>
        <w:spacing w:after="160" w:line="259" w:lineRule="auto"/>
        <w:rPr>
          <w:rFonts w:eastAsia="Calibri" w:cs="Arial"/>
          <w:kern w:val="2"/>
          <w:lang w:val="en-GB"/>
          <w14:ligatures w14:val="standardContextual"/>
        </w:rPr>
      </w:pPr>
      <w:r w:rsidRPr="00D11BCD">
        <w:rPr>
          <w:rFonts w:eastAsia="Calibri" w:cs="Arial"/>
          <w:kern w:val="2"/>
          <w:lang w:val="en-GB"/>
          <w14:ligatures w14:val="standardContextual"/>
        </w:rPr>
        <w:t>In terms of policy, further national investment in digital infrastructure remains crucial. Rural areas continue to experience slower broadband speeds and weaker mobile network coverage, which directly limits the reach of telemedicine. Continued financial support for upgrading rural connectivity, alongside targeted funding for health and social care digital projects, would help ensure that remote services are reliable and safe. Digital inclusion initiatives should also be expanded to provide devices, affordable data packages and tailored training for people at risk of digital exclusion. Furthermore, Integrated Care Systems should develop clear and locally relevant digital access plans that reflect the specific needs of rural communities and ensure that telemedicine is embedded in a coordinated, equitable manner across regions.</w:t>
      </w:r>
    </w:p>
    <w:p w14:paraId="339CD1D5" w14:textId="77777777" w:rsidR="00D11BCD" w:rsidRPr="00D11BCD" w:rsidRDefault="00D11BCD" w:rsidP="00D11BCD">
      <w:pPr>
        <w:spacing w:after="160" w:line="259" w:lineRule="auto"/>
        <w:rPr>
          <w:rFonts w:eastAsia="Calibri" w:cs="Arial"/>
          <w:kern w:val="2"/>
          <w:lang w:val="en-GB"/>
          <w14:ligatures w14:val="standardContextual"/>
        </w:rPr>
      </w:pPr>
      <w:r w:rsidRPr="00D11BCD">
        <w:rPr>
          <w:rFonts w:eastAsia="Calibri" w:cs="Arial"/>
          <w:kern w:val="2"/>
          <w:lang w:val="en-GB"/>
          <w14:ligatures w14:val="standardContextual"/>
        </w:rPr>
        <w:t>Future research should focus on building a stronger and more comprehensive evidence base. There is a clear need for large, multi-site UK studies that assess long-term clinical outcomes, cost-effectiveness and the sustainability of telemedicine in routine practice. Research should also prioritise groups who are currently under-represented in the literature, including digitally excluded individuals, people with disabilities, those with language barriers and residents of extremely remote areas. Finally, there is an ongoing need to evaluate patient safety, quality of care and outcomes within hybrid care pathways, ensuring that remote care models maintain high standards and do not inadvertently widen health inequalities.</w:t>
      </w:r>
    </w:p>
    <w:p w14:paraId="33F899F7" w14:textId="77777777" w:rsidR="0058262F" w:rsidRPr="0058262F" w:rsidRDefault="0058262F" w:rsidP="0058262F">
      <w:pPr>
        <w:spacing w:after="160" w:line="259" w:lineRule="auto"/>
        <w:rPr>
          <w:rFonts w:eastAsia="Calibri" w:cs="Arial"/>
          <w:kern w:val="2"/>
          <w:lang w:val="en-GB"/>
          <w14:ligatures w14:val="standardContextual"/>
        </w:rPr>
      </w:pPr>
    </w:p>
    <w:p w14:paraId="5DD27923" w14:textId="77777777" w:rsidR="004C2E9E" w:rsidRDefault="004C2E9E" w:rsidP="001A44FA">
      <w:pPr>
        <w:pStyle w:val="NormalWeb"/>
        <w:spacing w:line="276" w:lineRule="auto"/>
        <w:rPr>
          <w:rFonts w:ascii="Arial" w:hAnsi="Arial" w:cs="Arial"/>
          <w:sz w:val="22"/>
          <w:szCs w:val="22"/>
        </w:rPr>
      </w:pPr>
    </w:p>
    <w:p w14:paraId="14773F72" w14:textId="3AC97677" w:rsidR="005F2AC2" w:rsidRPr="001A44FA" w:rsidRDefault="00C053C5" w:rsidP="001A44FA">
      <w:pPr>
        <w:pStyle w:val="NormalWeb"/>
        <w:spacing w:line="276" w:lineRule="auto"/>
        <w:rPr>
          <w:rFonts w:ascii="Arial" w:hAnsi="Arial" w:cs="Arial"/>
          <w:sz w:val="22"/>
          <w:szCs w:val="22"/>
        </w:rPr>
      </w:pPr>
      <w:r w:rsidRPr="001A44FA">
        <w:rPr>
          <w:rFonts w:ascii="Arial" w:hAnsi="Arial" w:cs="Arial"/>
          <w:sz w:val="22"/>
          <w:szCs w:val="22"/>
        </w:rPr>
        <w:lastRenderedPageBreak/>
        <w:t xml:space="preserve"> Refe</w:t>
      </w:r>
      <w:r w:rsidR="001A44FA" w:rsidRPr="001A44FA">
        <w:rPr>
          <w:rFonts w:ascii="Arial" w:hAnsi="Arial" w:cs="Arial"/>
          <w:sz w:val="22"/>
          <w:szCs w:val="22"/>
        </w:rPr>
        <w:t>rence list</w:t>
      </w:r>
    </w:p>
    <w:p w14:paraId="5341075B" w14:textId="32FFA55A"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Arksey, H. and O’Malley, L. (2005) ‘Scoping studies: towards a methodological framework’, </w:t>
      </w:r>
      <w:r w:rsidRPr="001A44FA">
        <w:rPr>
          <w:rStyle w:val="Emphasis"/>
          <w:rFonts w:ascii="Arial" w:hAnsi="Arial" w:cs="Arial"/>
          <w:sz w:val="22"/>
          <w:szCs w:val="22"/>
        </w:rPr>
        <w:t>International Journal of Social Research Methodology</w:t>
      </w:r>
      <w:r w:rsidRPr="001A44FA">
        <w:rPr>
          <w:rFonts w:ascii="Arial" w:hAnsi="Arial" w:cs="Arial"/>
          <w:sz w:val="22"/>
          <w:szCs w:val="22"/>
        </w:rPr>
        <w:t>, 8(1), pp. 19–32.</w:t>
      </w:r>
    </w:p>
    <w:p w14:paraId="00C40E92"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Baird, B. and Wright, M. (2022) </w:t>
      </w:r>
      <w:r w:rsidRPr="001A44FA">
        <w:rPr>
          <w:rStyle w:val="Emphasis"/>
          <w:rFonts w:ascii="Arial" w:hAnsi="Arial" w:cs="Arial"/>
          <w:sz w:val="22"/>
          <w:szCs w:val="22"/>
        </w:rPr>
        <w:t>Untapped potential: Investing in health in rural communities</w:t>
      </w:r>
      <w:r w:rsidRPr="001A44FA">
        <w:rPr>
          <w:rFonts w:ascii="Arial" w:hAnsi="Arial" w:cs="Arial"/>
          <w:sz w:val="22"/>
          <w:szCs w:val="22"/>
        </w:rPr>
        <w:t>. London: The King’s Fund.</w:t>
      </w:r>
    </w:p>
    <w:p w14:paraId="7C6FA8B7"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Braun, V. and Clarke, V. (2006) ‘Using thematic analysis in psychology’, </w:t>
      </w:r>
      <w:r w:rsidRPr="001A44FA">
        <w:rPr>
          <w:rStyle w:val="Emphasis"/>
          <w:rFonts w:ascii="Arial" w:hAnsi="Arial" w:cs="Arial"/>
          <w:sz w:val="22"/>
          <w:szCs w:val="22"/>
        </w:rPr>
        <w:t>Qualitative Research in Psychology</w:t>
      </w:r>
      <w:r w:rsidRPr="001A44FA">
        <w:rPr>
          <w:rFonts w:ascii="Arial" w:hAnsi="Arial" w:cs="Arial"/>
          <w:sz w:val="22"/>
          <w:szCs w:val="22"/>
        </w:rPr>
        <w:t>, 3(2), pp. 77–101.</w:t>
      </w:r>
    </w:p>
    <w:p w14:paraId="62A85EBA"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Care Act 2014. (2014) UK Public General Acts. London: The Stationery Office.</w:t>
      </w:r>
    </w:p>
    <w:p w14:paraId="704700AD"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Collins, R., McBain, H. and Reed, C. (2023) ‘Remote psychological therapy for underserved rural populations’, </w:t>
      </w:r>
      <w:r w:rsidRPr="001A44FA">
        <w:rPr>
          <w:rStyle w:val="Emphasis"/>
          <w:rFonts w:ascii="Arial" w:hAnsi="Arial" w:cs="Arial"/>
          <w:sz w:val="22"/>
          <w:szCs w:val="22"/>
        </w:rPr>
        <w:t>BMC Health Services Research</w:t>
      </w:r>
      <w:r w:rsidRPr="001A44FA">
        <w:rPr>
          <w:rFonts w:ascii="Arial" w:hAnsi="Arial" w:cs="Arial"/>
          <w:sz w:val="22"/>
          <w:szCs w:val="22"/>
        </w:rPr>
        <w:t>, 23(1), 455.</w:t>
      </w:r>
    </w:p>
    <w:p w14:paraId="6EF1D765"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Department of Health and Social Care (2021) </w:t>
      </w:r>
      <w:r w:rsidRPr="001A44FA">
        <w:rPr>
          <w:rStyle w:val="Emphasis"/>
          <w:rFonts w:ascii="Arial" w:hAnsi="Arial" w:cs="Arial"/>
          <w:sz w:val="22"/>
          <w:szCs w:val="22"/>
        </w:rPr>
        <w:t>Data Saves Lives: reshaping health and social care with data</w:t>
      </w:r>
      <w:r w:rsidRPr="001A44FA">
        <w:rPr>
          <w:rFonts w:ascii="Arial" w:hAnsi="Arial" w:cs="Arial"/>
          <w:sz w:val="22"/>
          <w:szCs w:val="22"/>
        </w:rPr>
        <w:t>. London: DHSC.</w:t>
      </w:r>
    </w:p>
    <w:p w14:paraId="4EE122EB"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Donaghy, E. et al. (2019) ‘Acceptability, benefits and challenges of video consulting in general practice’, </w:t>
      </w:r>
      <w:r w:rsidRPr="001A44FA">
        <w:rPr>
          <w:rStyle w:val="Emphasis"/>
          <w:rFonts w:ascii="Arial" w:hAnsi="Arial" w:cs="Arial"/>
          <w:sz w:val="22"/>
          <w:szCs w:val="22"/>
        </w:rPr>
        <w:t>British Journal of General Practice</w:t>
      </w:r>
      <w:r w:rsidRPr="001A44FA">
        <w:rPr>
          <w:rFonts w:ascii="Arial" w:hAnsi="Arial" w:cs="Arial"/>
          <w:sz w:val="22"/>
          <w:szCs w:val="22"/>
        </w:rPr>
        <w:t>, 69(686), pp. e586–e594.</w:t>
      </w:r>
    </w:p>
    <w:p w14:paraId="2E057A7F"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Greenhalgh, T. et al. (2020) ‘Video consultations at scale: lessons for general practice’, </w:t>
      </w:r>
      <w:r w:rsidRPr="001A44FA">
        <w:rPr>
          <w:rStyle w:val="Emphasis"/>
          <w:rFonts w:ascii="Arial" w:hAnsi="Arial" w:cs="Arial"/>
          <w:sz w:val="22"/>
          <w:szCs w:val="22"/>
        </w:rPr>
        <w:t>BMJ</w:t>
      </w:r>
      <w:r w:rsidRPr="001A44FA">
        <w:rPr>
          <w:rFonts w:ascii="Arial" w:hAnsi="Arial" w:cs="Arial"/>
          <w:sz w:val="22"/>
          <w:szCs w:val="22"/>
        </w:rPr>
        <w:t>, 368, m998.</w:t>
      </w:r>
    </w:p>
    <w:p w14:paraId="23392DE9"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Health and Care Act 2022. (2022) UK Public General Acts. London: The Stationery Office.</w:t>
      </w:r>
    </w:p>
    <w:p w14:paraId="63A2F9F7"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Johnston, L., Black, C. and Macdonald, S. (2022) ‘Older adults’ experiences of telemedicine in rural Scotland: a qualitative study’, </w:t>
      </w:r>
      <w:r w:rsidRPr="001A44FA">
        <w:rPr>
          <w:rStyle w:val="Emphasis"/>
          <w:rFonts w:ascii="Arial" w:hAnsi="Arial" w:cs="Arial"/>
          <w:sz w:val="22"/>
          <w:szCs w:val="22"/>
        </w:rPr>
        <w:t>Age and Ageing</w:t>
      </w:r>
      <w:r w:rsidRPr="001A44FA">
        <w:rPr>
          <w:rFonts w:ascii="Arial" w:hAnsi="Arial" w:cs="Arial"/>
          <w:sz w:val="22"/>
          <w:szCs w:val="22"/>
        </w:rPr>
        <w:t>, 51(5), afac086.</w:t>
      </w:r>
    </w:p>
    <w:p w14:paraId="7E5C6D04"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NHS Digital (2021) </w:t>
      </w:r>
      <w:r w:rsidRPr="001A44FA">
        <w:rPr>
          <w:rStyle w:val="Emphasis"/>
          <w:rFonts w:ascii="Arial" w:hAnsi="Arial" w:cs="Arial"/>
          <w:sz w:val="22"/>
          <w:szCs w:val="22"/>
        </w:rPr>
        <w:t>What Good Looks Like: Digital guidance for health and care leaders</w:t>
      </w:r>
      <w:r w:rsidRPr="001A44FA">
        <w:rPr>
          <w:rFonts w:ascii="Arial" w:hAnsi="Arial" w:cs="Arial"/>
          <w:sz w:val="22"/>
          <w:szCs w:val="22"/>
        </w:rPr>
        <w:t>. Leeds: NHS Digital.</w:t>
      </w:r>
    </w:p>
    <w:p w14:paraId="3ACF2F0F"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NHS England (2019) </w:t>
      </w:r>
      <w:r w:rsidRPr="001A44FA">
        <w:rPr>
          <w:rStyle w:val="Emphasis"/>
          <w:rFonts w:ascii="Arial" w:hAnsi="Arial" w:cs="Arial"/>
          <w:sz w:val="22"/>
          <w:szCs w:val="22"/>
        </w:rPr>
        <w:t>The NHS Long Term Plan</w:t>
      </w:r>
      <w:r w:rsidRPr="001A44FA">
        <w:rPr>
          <w:rFonts w:ascii="Arial" w:hAnsi="Arial" w:cs="Arial"/>
          <w:sz w:val="22"/>
          <w:szCs w:val="22"/>
        </w:rPr>
        <w:t>. London: NHS England.</w:t>
      </w:r>
    </w:p>
    <w:p w14:paraId="394D2EFD"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NHS England (2020) </w:t>
      </w:r>
      <w:r w:rsidRPr="001A44FA">
        <w:rPr>
          <w:rStyle w:val="Emphasis"/>
          <w:rFonts w:ascii="Arial" w:hAnsi="Arial" w:cs="Arial"/>
          <w:sz w:val="22"/>
          <w:szCs w:val="22"/>
        </w:rPr>
        <w:t>Digital First Primary Care: Guidance for commissioners and practices</w:t>
      </w:r>
      <w:r w:rsidRPr="001A44FA">
        <w:rPr>
          <w:rFonts w:ascii="Arial" w:hAnsi="Arial" w:cs="Arial"/>
          <w:sz w:val="22"/>
          <w:szCs w:val="22"/>
        </w:rPr>
        <w:t>. London: NHS England.</w:t>
      </w:r>
    </w:p>
    <w:p w14:paraId="61105FE6"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Ofcom (2021) </w:t>
      </w:r>
      <w:r w:rsidRPr="001A44FA">
        <w:rPr>
          <w:rStyle w:val="Emphasis"/>
          <w:rFonts w:ascii="Arial" w:hAnsi="Arial" w:cs="Arial"/>
          <w:sz w:val="22"/>
          <w:szCs w:val="22"/>
        </w:rPr>
        <w:t>Connected Nations Report 2021</w:t>
      </w:r>
      <w:r w:rsidRPr="001A44FA">
        <w:rPr>
          <w:rFonts w:ascii="Arial" w:hAnsi="Arial" w:cs="Arial"/>
          <w:sz w:val="22"/>
          <w:szCs w:val="22"/>
        </w:rPr>
        <w:t>. London: Ofcom.</w:t>
      </w:r>
    </w:p>
    <w:p w14:paraId="4C3BD90A"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Office for National Statistics (2021) </w:t>
      </w:r>
      <w:r w:rsidRPr="001A44FA">
        <w:rPr>
          <w:rStyle w:val="Emphasis"/>
          <w:rFonts w:ascii="Arial" w:hAnsi="Arial" w:cs="Arial"/>
          <w:sz w:val="22"/>
          <w:szCs w:val="22"/>
        </w:rPr>
        <w:t>Overview of the UK population: January 2021</w:t>
      </w:r>
      <w:r w:rsidRPr="001A44FA">
        <w:rPr>
          <w:rFonts w:ascii="Arial" w:hAnsi="Arial" w:cs="Arial"/>
          <w:sz w:val="22"/>
          <w:szCs w:val="22"/>
        </w:rPr>
        <w:t>. London: ONS.</w:t>
      </w:r>
    </w:p>
    <w:p w14:paraId="2F023059"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lastRenderedPageBreak/>
        <w:t xml:space="preserve">RCGP (Royal College of General Practitioners) (2020) </w:t>
      </w:r>
      <w:r w:rsidRPr="001A44FA">
        <w:rPr>
          <w:rStyle w:val="Emphasis"/>
          <w:rFonts w:ascii="Arial" w:hAnsi="Arial" w:cs="Arial"/>
          <w:sz w:val="22"/>
          <w:szCs w:val="22"/>
        </w:rPr>
        <w:t>General practice in the post-COVID world</w:t>
      </w:r>
      <w:r w:rsidRPr="001A44FA">
        <w:rPr>
          <w:rFonts w:ascii="Arial" w:hAnsi="Arial" w:cs="Arial"/>
          <w:sz w:val="22"/>
          <w:szCs w:val="22"/>
        </w:rPr>
        <w:t>. London: RCGP.</w:t>
      </w:r>
    </w:p>
    <w:p w14:paraId="02058666"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Reilly, P., Griffiths, L. and Jones, E. (2022) ‘Experiences of remote general practice in rural Wales’, </w:t>
      </w:r>
      <w:r w:rsidRPr="001A44FA">
        <w:rPr>
          <w:rStyle w:val="Emphasis"/>
          <w:rFonts w:ascii="Arial" w:hAnsi="Arial" w:cs="Arial"/>
          <w:sz w:val="22"/>
          <w:szCs w:val="22"/>
        </w:rPr>
        <w:t>Rural and Remote Health</w:t>
      </w:r>
      <w:r w:rsidRPr="001A44FA">
        <w:rPr>
          <w:rFonts w:ascii="Arial" w:hAnsi="Arial" w:cs="Arial"/>
          <w:sz w:val="22"/>
          <w:szCs w:val="22"/>
        </w:rPr>
        <w:t>, 22(2), 7048.</w:t>
      </w:r>
    </w:p>
    <w:p w14:paraId="2901B625"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Scottish Government (2020) </w:t>
      </w:r>
      <w:r w:rsidRPr="001A44FA">
        <w:rPr>
          <w:rStyle w:val="Emphasis"/>
          <w:rFonts w:ascii="Arial" w:hAnsi="Arial" w:cs="Arial"/>
          <w:sz w:val="22"/>
          <w:szCs w:val="22"/>
        </w:rPr>
        <w:t>Connecting Scotland: tackling digital exclusion</w:t>
      </w:r>
      <w:r w:rsidRPr="001A44FA">
        <w:rPr>
          <w:rFonts w:ascii="Arial" w:hAnsi="Arial" w:cs="Arial"/>
          <w:sz w:val="22"/>
          <w:szCs w:val="22"/>
        </w:rPr>
        <w:t>. Edinburgh: Scottish Government.</w:t>
      </w:r>
    </w:p>
    <w:p w14:paraId="41B58109" w14:textId="77777777" w:rsidR="005F2AC2" w:rsidRPr="001A44FA" w:rsidRDefault="005F2AC2" w:rsidP="001A44FA">
      <w:pPr>
        <w:pStyle w:val="NormalWeb"/>
        <w:spacing w:line="276" w:lineRule="auto"/>
        <w:rPr>
          <w:rFonts w:ascii="Arial" w:hAnsi="Arial" w:cs="Arial"/>
          <w:sz w:val="22"/>
          <w:szCs w:val="22"/>
        </w:rPr>
      </w:pPr>
      <w:proofErr w:type="spellStart"/>
      <w:r w:rsidRPr="001A44FA">
        <w:rPr>
          <w:rFonts w:ascii="Arial" w:hAnsi="Arial" w:cs="Arial"/>
          <w:sz w:val="22"/>
          <w:szCs w:val="22"/>
        </w:rPr>
        <w:t>Snoswell</w:t>
      </w:r>
      <w:proofErr w:type="spellEnd"/>
      <w:r w:rsidRPr="001A44FA">
        <w:rPr>
          <w:rFonts w:ascii="Arial" w:hAnsi="Arial" w:cs="Arial"/>
          <w:sz w:val="22"/>
          <w:szCs w:val="22"/>
        </w:rPr>
        <w:t xml:space="preserve">, C.L. et al. (2021) ‘Clinical effectiveness of telehealth for chronic disease management in rural areas’, </w:t>
      </w:r>
      <w:r w:rsidRPr="001A44FA">
        <w:rPr>
          <w:rStyle w:val="Emphasis"/>
          <w:rFonts w:ascii="Arial" w:hAnsi="Arial" w:cs="Arial"/>
          <w:sz w:val="22"/>
          <w:szCs w:val="22"/>
        </w:rPr>
        <w:t>Journal of Telemedicine and Telecare</w:t>
      </w:r>
      <w:r w:rsidRPr="001A44FA">
        <w:rPr>
          <w:rFonts w:ascii="Arial" w:hAnsi="Arial" w:cs="Arial"/>
          <w:sz w:val="22"/>
          <w:szCs w:val="22"/>
        </w:rPr>
        <w:t>, 27(9), pp. 585–593.</w:t>
      </w:r>
    </w:p>
    <w:p w14:paraId="6B240DB5"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Temple, L. and Russell, S. (2022) ‘Digital literacy challenges in older rural communities’, </w:t>
      </w:r>
      <w:r w:rsidRPr="001A44FA">
        <w:rPr>
          <w:rStyle w:val="Emphasis"/>
          <w:rFonts w:ascii="Arial" w:hAnsi="Arial" w:cs="Arial"/>
          <w:sz w:val="22"/>
          <w:szCs w:val="22"/>
        </w:rPr>
        <w:t>Ageing &amp; Society</w:t>
      </w:r>
      <w:r w:rsidRPr="001A44FA">
        <w:rPr>
          <w:rFonts w:ascii="Arial" w:hAnsi="Arial" w:cs="Arial"/>
          <w:sz w:val="22"/>
          <w:szCs w:val="22"/>
        </w:rPr>
        <w:t>, 42(9), pp. 2031–2050.</w:t>
      </w:r>
    </w:p>
    <w:p w14:paraId="612ED7FB"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UK Government (2020) </w:t>
      </w:r>
      <w:r w:rsidRPr="001A44FA">
        <w:rPr>
          <w:rStyle w:val="Emphasis"/>
          <w:rFonts w:ascii="Arial" w:hAnsi="Arial" w:cs="Arial"/>
          <w:sz w:val="22"/>
          <w:szCs w:val="22"/>
        </w:rPr>
        <w:t>Future Telecoms Infrastructure Review</w:t>
      </w:r>
      <w:r w:rsidRPr="001A44FA">
        <w:rPr>
          <w:rFonts w:ascii="Arial" w:hAnsi="Arial" w:cs="Arial"/>
          <w:sz w:val="22"/>
          <w:szCs w:val="22"/>
        </w:rPr>
        <w:t>. London: Department for Digital, Culture, Media &amp; Sport.</w:t>
      </w:r>
    </w:p>
    <w:p w14:paraId="5D20A281"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Wootton, R. (2020) ‘Telemedicine in the time of COVID-19’, </w:t>
      </w:r>
      <w:r w:rsidRPr="001A44FA">
        <w:rPr>
          <w:rStyle w:val="Emphasis"/>
          <w:rFonts w:ascii="Arial" w:hAnsi="Arial" w:cs="Arial"/>
          <w:sz w:val="22"/>
          <w:szCs w:val="22"/>
        </w:rPr>
        <w:t>Journal of the Royal Society of Medicine</w:t>
      </w:r>
      <w:r w:rsidRPr="001A44FA">
        <w:rPr>
          <w:rFonts w:ascii="Arial" w:hAnsi="Arial" w:cs="Arial"/>
          <w:sz w:val="22"/>
          <w:szCs w:val="22"/>
        </w:rPr>
        <w:t>, 113(3), pp. 113–116.</w:t>
      </w:r>
    </w:p>
    <w:p w14:paraId="48072566" w14:textId="77777777" w:rsidR="005F2AC2" w:rsidRPr="001A44FA" w:rsidRDefault="005F2AC2" w:rsidP="001A44FA">
      <w:pPr>
        <w:pStyle w:val="NormalWeb"/>
        <w:spacing w:line="276" w:lineRule="auto"/>
        <w:rPr>
          <w:rFonts w:ascii="Arial" w:hAnsi="Arial" w:cs="Arial"/>
          <w:sz w:val="22"/>
          <w:szCs w:val="22"/>
        </w:rPr>
      </w:pPr>
      <w:proofErr w:type="spellStart"/>
      <w:r w:rsidRPr="001A44FA">
        <w:rPr>
          <w:rFonts w:ascii="Arial" w:hAnsi="Arial" w:cs="Arial"/>
          <w:sz w:val="22"/>
          <w:szCs w:val="22"/>
        </w:rPr>
        <w:t>Zanaboni</w:t>
      </w:r>
      <w:proofErr w:type="spellEnd"/>
      <w:r w:rsidRPr="001A44FA">
        <w:rPr>
          <w:rFonts w:ascii="Arial" w:hAnsi="Arial" w:cs="Arial"/>
          <w:sz w:val="22"/>
          <w:szCs w:val="22"/>
        </w:rPr>
        <w:t xml:space="preserve">, P. and Wootton, R. (2021) ‘Adoption of telemedicine in the UK: barriers and opportunities’, </w:t>
      </w:r>
      <w:r w:rsidRPr="001A44FA">
        <w:rPr>
          <w:rStyle w:val="Emphasis"/>
          <w:rFonts w:ascii="Arial" w:hAnsi="Arial" w:cs="Arial"/>
          <w:sz w:val="22"/>
          <w:szCs w:val="22"/>
        </w:rPr>
        <w:t>Journal of Medical Systems</w:t>
      </w:r>
      <w:r w:rsidRPr="001A44FA">
        <w:rPr>
          <w:rFonts w:ascii="Arial" w:hAnsi="Arial" w:cs="Arial"/>
          <w:sz w:val="22"/>
          <w:szCs w:val="22"/>
        </w:rPr>
        <w:t>, 45(9), 88.</w:t>
      </w:r>
    </w:p>
    <w:p w14:paraId="5532A188" w14:textId="77777777" w:rsidR="005F2AC2" w:rsidRPr="001A44FA" w:rsidRDefault="005F2AC2" w:rsidP="001A44FA">
      <w:pPr>
        <w:pStyle w:val="NormalWeb"/>
        <w:spacing w:line="276" w:lineRule="auto"/>
        <w:rPr>
          <w:rFonts w:ascii="Arial" w:hAnsi="Arial" w:cs="Arial"/>
          <w:sz w:val="22"/>
          <w:szCs w:val="22"/>
        </w:rPr>
      </w:pPr>
      <w:r w:rsidRPr="001A44FA">
        <w:rPr>
          <w:rFonts w:ascii="Arial" w:hAnsi="Arial" w:cs="Arial"/>
          <w:sz w:val="22"/>
          <w:szCs w:val="22"/>
        </w:rPr>
        <w:t xml:space="preserve">Zhang, X. and Taylor, J. (2023) ‘Telemedicine access challenges in UK rural healthcare’, </w:t>
      </w:r>
      <w:r w:rsidRPr="001A44FA">
        <w:rPr>
          <w:rStyle w:val="Emphasis"/>
          <w:rFonts w:ascii="Arial" w:hAnsi="Arial" w:cs="Arial"/>
          <w:sz w:val="22"/>
          <w:szCs w:val="22"/>
        </w:rPr>
        <w:t>Health Policy</w:t>
      </w:r>
      <w:r w:rsidRPr="001A44FA">
        <w:rPr>
          <w:rFonts w:ascii="Arial" w:hAnsi="Arial" w:cs="Arial"/>
          <w:sz w:val="22"/>
          <w:szCs w:val="22"/>
        </w:rPr>
        <w:t>, 127(1), pp. 12–20.</w:t>
      </w:r>
    </w:p>
    <w:p w14:paraId="2EC3EBFD" w14:textId="77777777" w:rsidR="005F2AC2" w:rsidRPr="001A44FA" w:rsidRDefault="005F2AC2" w:rsidP="001A44FA">
      <w:pPr>
        <w:rPr>
          <w:rFonts w:cs="Arial"/>
        </w:rPr>
      </w:pPr>
    </w:p>
    <w:sectPr w:rsidR="005F2AC2" w:rsidRPr="001A44FA" w:rsidSect="00A5730A">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5927A" w14:textId="77777777" w:rsidR="00A5730A" w:rsidRDefault="00A5730A" w:rsidP="00834875">
      <w:pPr>
        <w:spacing w:after="0" w:line="240" w:lineRule="auto"/>
      </w:pPr>
      <w:r>
        <w:separator/>
      </w:r>
    </w:p>
  </w:endnote>
  <w:endnote w:type="continuationSeparator" w:id="0">
    <w:p w14:paraId="37B0F39A" w14:textId="77777777" w:rsidR="00A5730A" w:rsidRDefault="00A5730A" w:rsidP="00834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76B87" w14:textId="77777777" w:rsidR="00834875" w:rsidRDefault="008348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611900"/>
      <w:docPartObj>
        <w:docPartGallery w:val="Page Numbers (Bottom of Page)"/>
        <w:docPartUnique/>
      </w:docPartObj>
    </w:sdtPr>
    <w:sdtContent>
      <w:p w14:paraId="72BA40C4" w14:textId="322D67EF" w:rsidR="00834875" w:rsidRDefault="00834875">
        <w:pPr>
          <w:pStyle w:val="Footer"/>
          <w:jc w:val="center"/>
        </w:pPr>
        <w:r>
          <w:fldChar w:fldCharType="begin"/>
        </w:r>
        <w:r>
          <w:instrText>PAGE   \* MERGEFORMAT</w:instrText>
        </w:r>
        <w:r>
          <w:fldChar w:fldCharType="separate"/>
        </w:r>
        <w:r>
          <w:rPr>
            <w:lang w:val="en-GB"/>
          </w:rPr>
          <w:t>2</w:t>
        </w:r>
        <w:r>
          <w:fldChar w:fldCharType="end"/>
        </w:r>
      </w:p>
    </w:sdtContent>
  </w:sdt>
  <w:p w14:paraId="26F8E215" w14:textId="77777777" w:rsidR="00834875" w:rsidRDefault="008348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A26AA" w14:textId="77777777" w:rsidR="00834875" w:rsidRDefault="00834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D9258" w14:textId="77777777" w:rsidR="00A5730A" w:rsidRDefault="00A5730A" w:rsidP="00834875">
      <w:pPr>
        <w:spacing w:after="0" w:line="240" w:lineRule="auto"/>
      </w:pPr>
      <w:r>
        <w:separator/>
      </w:r>
    </w:p>
  </w:footnote>
  <w:footnote w:type="continuationSeparator" w:id="0">
    <w:p w14:paraId="478CBDC2" w14:textId="77777777" w:rsidR="00A5730A" w:rsidRDefault="00A5730A" w:rsidP="008348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FB000" w14:textId="77777777" w:rsidR="00834875" w:rsidRDefault="008348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2416C" w14:textId="77777777" w:rsidR="00834875" w:rsidRDefault="008348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C6F33" w14:textId="77777777" w:rsidR="00834875" w:rsidRDefault="008348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9EC54FA"/>
    <w:multiLevelType w:val="multilevel"/>
    <w:tmpl w:val="8656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4D4BCD"/>
    <w:multiLevelType w:val="multilevel"/>
    <w:tmpl w:val="7A407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B6018B0"/>
    <w:multiLevelType w:val="multilevel"/>
    <w:tmpl w:val="98BE4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464782"/>
    <w:multiLevelType w:val="multilevel"/>
    <w:tmpl w:val="2F24F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060AFF"/>
    <w:multiLevelType w:val="multilevel"/>
    <w:tmpl w:val="F744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AC3611"/>
    <w:multiLevelType w:val="multilevel"/>
    <w:tmpl w:val="D1BA7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213F9"/>
    <w:multiLevelType w:val="hybridMultilevel"/>
    <w:tmpl w:val="EDA0D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196968"/>
    <w:multiLevelType w:val="multilevel"/>
    <w:tmpl w:val="340C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4B04FB"/>
    <w:multiLevelType w:val="multilevel"/>
    <w:tmpl w:val="61046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2B6065"/>
    <w:multiLevelType w:val="multilevel"/>
    <w:tmpl w:val="A31A8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B0B283C"/>
    <w:multiLevelType w:val="multilevel"/>
    <w:tmpl w:val="7E76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3231762">
    <w:abstractNumId w:val="8"/>
  </w:num>
  <w:num w:numId="2" w16cid:durableId="7679723">
    <w:abstractNumId w:val="6"/>
  </w:num>
  <w:num w:numId="3" w16cid:durableId="638146633">
    <w:abstractNumId w:val="5"/>
  </w:num>
  <w:num w:numId="4" w16cid:durableId="66877580">
    <w:abstractNumId w:val="4"/>
  </w:num>
  <w:num w:numId="5" w16cid:durableId="1549949121">
    <w:abstractNumId w:val="7"/>
  </w:num>
  <w:num w:numId="6" w16cid:durableId="1776486167">
    <w:abstractNumId w:val="3"/>
  </w:num>
  <w:num w:numId="7" w16cid:durableId="1194150069">
    <w:abstractNumId w:val="2"/>
  </w:num>
  <w:num w:numId="8" w16cid:durableId="251165385">
    <w:abstractNumId w:val="1"/>
  </w:num>
  <w:num w:numId="9" w16cid:durableId="727729036">
    <w:abstractNumId w:val="0"/>
  </w:num>
  <w:num w:numId="10" w16cid:durableId="1624926379">
    <w:abstractNumId w:val="15"/>
  </w:num>
  <w:num w:numId="11" w16cid:durableId="777485217">
    <w:abstractNumId w:val="13"/>
  </w:num>
  <w:num w:numId="12" w16cid:durableId="584386873">
    <w:abstractNumId w:val="14"/>
  </w:num>
  <w:num w:numId="13" w16cid:durableId="1461610676">
    <w:abstractNumId w:val="10"/>
  </w:num>
  <w:num w:numId="14" w16cid:durableId="36514977">
    <w:abstractNumId w:val="9"/>
  </w:num>
  <w:num w:numId="15" w16cid:durableId="1707564674">
    <w:abstractNumId w:val="18"/>
  </w:num>
  <w:num w:numId="16" w16cid:durableId="2102140100">
    <w:abstractNumId w:val="19"/>
  </w:num>
  <w:num w:numId="17" w16cid:durableId="453641837">
    <w:abstractNumId w:val="11"/>
  </w:num>
  <w:num w:numId="18" w16cid:durableId="609238832">
    <w:abstractNumId w:val="16"/>
  </w:num>
  <w:num w:numId="19" w16cid:durableId="1657294783">
    <w:abstractNumId w:val="17"/>
  </w:num>
  <w:num w:numId="20" w16cid:durableId="79626246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CC6"/>
    <w:rsid w:val="00026A33"/>
    <w:rsid w:val="00034616"/>
    <w:rsid w:val="0006063C"/>
    <w:rsid w:val="000B1008"/>
    <w:rsid w:val="00125D78"/>
    <w:rsid w:val="0015074B"/>
    <w:rsid w:val="00171B5E"/>
    <w:rsid w:val="001A44FA"/>
    <w:rsid w:val="001D7830"/>
    <w:rsid w:val="001F0BC6"/>
    <w:rsid w:val="002265F1"/>
    <w:rsid w:val="002665EE"/>
    <w:rsid w:val="0027748F"/>
    <w:rsid w:val="0029639D"/>
    <w:rsid w:val="002A3D83"/>
    <w:rsid w:val="002C36B8"/>
    <w:rsid w:val="002C7A8F"/>
    <w:rsid w:val="00326F90"/>
    <w:rsid w:val="0033720F"/>
    <w:rsid w:val="003C3977"/>
    <w:rsid w:val="0041656B"/>
    <w:rsid w:val="004254F9"/>
    <w:rsid w:val="004A74BA"/>
    <w:rsid w:val="004C2E9E"/>
    <w:rsid w:val="00507B1C"/>
    <w:rsid w:val="00523C4D"/>
    <w:rsid w:val="0058262F"/>
    <w:rsid w:val="005B6795"/>
    <w:rsid w:val="005F2AC2"/>
    <w:rsid w:val="00622BCA"/>
    <w:rsid w:val="006E2E9A"/>
    <w:rsid w:val="00773745"/>
    <w:rsid w:val="00787A32"/>
    <w:rsid w:val="00834875"/>
    <w:rsid w:val="00877B04"/>
    <w:rsid w:val="009009A9"/>
    <w:rsid w:val="00900A4E"/>
    <w:rsid w:val="0093000C"/>
    <w:rsid w:val="009F5801"/>
    <w:rsid w:val="00A40140"/>
    <w:rsid w:val="00A5730A"/>
    <w:rsid w:val="00A73E45"/>
    <w:rsid w:val="00AA1D8D"/>
    <w:rsid w:val="00AD38CE"/>
    <w:rsid w:val="00AF40C1"/>
    <w:rsid w:val="00B10D31"/>
    <w:rsid w:val="00B12A99"/>
    <w:rsid w:val="00B47730"/>
    <w:rsid w:val="00B5787E"/>
    <w:rsid w:val="00BC7C48"/>
    <w:rsid w:val="00C053C5"/>
    <w:rsid w:val="00CB0664"/>
    <w:rsid w:val="00D01784"/>
    <w:rsid w:val="00D11BCD"/>
    <w:rsid w:val="00D82E3D"/>
    <w:rsid w:val="00E13393"/>
    <w:rsid w:val="00E306B5"/>
    <w:rsid w:val="00E317B9"/>
    <w:rsid w:val="00E53232"/>
    <w:rsid w:val="00E96D86"/>
    <w:rsid w:val="00EA5438"/>
    <w:rsid w:val="00FB3356"/>
    <w:rsid w:val="00FC693F"/>
    <w:rsid w:val="00FE40F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70DFF6"/>
  <w14:defaultImageDpi w14:val="300"/>
  <w15:docId w15:val="{C9DBA514-1C0A-47A9-A8C7-D6935531F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5F2AC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92203">
      <w:bodyDiv w:val="1"/>
      <w:marLeft w:val="0"/>
      <w:marRight w:val="0"/>
      <w:marTop w:val="0"/>
      <w:marBottom w:val="0"/>
      <w:divBdr>
        <w:top w:val="none" w:sz="0" w:space="0" w:color="auto"/>
        <w:left w:val="none" w:sz="0" w:space="0" w:color="auto"/>
        <w:bottom w:val="none" w:sz="0" w:space="0" w:color="auto"/>
        <w:right w:val="none" w:sz="0" w:space="0" w:color="auto"/>
      </w:divBdr>
    </w:div>
    <w:div w:id="132991578">
      <w:bodyDiv w:val="1"/>
      <w:marLeft w:val="0"/>
      <w:marRight w:val="0"/>
      <w:marTop w:val="0"/>
      <w:marBottom w:val="0"/>
      <w:divBdr>
        <w:top w:val="none" w:sz="0" w:space="0" w:color="auto"/>
        <w:left w:val="none" w:sz="0" w:space="0" w:color="auto"/>
        <w:bottom w:val="none" w:sz="0" w:space="0" w:color="auto"/>
        <w:right w:val="none" w:sz="0" w:space="0" w:color="auto"/>
      </w:divBdr>
    </w:div>
    <w:div w:id="181361618">
      <w:bodyDiv w:val="1"/>
      <w:marLeft w:val="0"/>
      <w:marRight w:val="0"/>
      <w:marTop w:val="0"/>
      <w:marBottom w:val="0"/>
      <w:divBdr>
        <w:top w:val="none" w:sz="0" w:space="0" w:color="auto"/>
        <w:left w:val="none" w:sz="0" w:space="0" w:color="auto"/>
        <w:bottom w:val="none" w:sz="0" w:space="0" w:color="auto"/>
        <w:right w:val="none" w:sz="0" w:space="0" w:color="auto"/>
      </w:divBdr>
    </w:div>
    <w:div w:id="474835507">
      <w:bodyDiv w:val="1"/>
      <w:marLeft w:val="0"/>
      <w:marRight w:val="0"/>
      <w:marTop w:val="0"/>
      <w:marBottom w:val="0"/>
      <w:divBdr>
        <w:top w:val="none" w:sz="0" w:space="0" w:color="auto"/>
        <w:left w:val="none" w:sz="0" w:space="0" w:color="auto"/>
        <w:bottom w:val="none" w:sz="0" w:space="0" w:color="auto"/>
        <w:right w:val="none" w:sz="0" w:space="0" w:color="auto"/>
      </w:divBdr>
    </w:div>
    <w:div w:id="555705027">
      <w:bodyDiv w:val="1"/>
      <w:marLeft w:val="0"/>
      <w:marRight w:val="0"/>
      <w:marTop w:val="0"/>
      <w:marBottom w:val="0"/>
      <w:divBdr>
        <w:top w:val="none" w:sz="0" w:space="0" w:color="auto"/>
        <w:left w:val="none" w:sz="0" w:space="0" w:color="auto"/>
        <w:bottom w:val="none" w:sz="0" w:space="0" w:color="auto"/>
        <w:right w:val="none" w:sz="0" w:space="0" w:color="auto"/>
      </w:divBdr>
    </w:div>
    <w:div w:id="689067303">
      <w:bodyDiv w:val="1"/>
      <w:marLeft w:val="0"/>
      <w:marRight w:val="0"/>
      <w:marTop w:val="0"/>
      <w:marBottom w:val="0"/>
      <w:divBdr>
        <w:top w:val="none" w:sz="0" w:space="0" w:color="auto"/>
        <w:left w:val="none" w:sz="0" w:space="0" w:color="auto"/>
        <w:bottom w:val="none" w:sz="0" w:space="0" w:color="auto"/>
        <w:right w:val="none" w:sz="0" w:space="0" w:color="auto"/>
      </w:divBdr>
    </w:div>
    <w:div w:id="911696576">
      <w:bodyDiv w:val="1"/>
      <w:marLeft w:val="0"/>
      <w:marRight w:val="0"/>
      <w:marTop w:val="0"/>
      <w:marBottom w:val="0"/>
      <w:divBdr>
        <w:top w:val="none" w:sz="0" w:space="0" w:color="auto"/>
        <w:left w:val="none" w:sz="0" w:space="0" w:color="auto"/>
        <w:bottom w:val="none" w:sz="0" w:space="0" w:color="auto"/>
        <w:right w:val="none" w:sz="0" w:space="0" w:color="auto"/>
      </w:divBdr>
    </w:div>
    <w:div w:id="1000697046">
      <w:bodyDiv w:val="1"/>
      <w:marLeft w:val="0"/>
      <w:marRight w:val="0"/>
      <w:marTop w:val="0"/>
      <w:marBottom w:val="0"/>
      <w:divBdr>
        <w:top w:val="none" w:sz="0" w:space="0" w:color="auto"/>
        <w:left w:val="none" w:sz="0" w:space="0" w:color="auto"/>
        <w:bottom w:val="none" w:sz="0" w:space="0" w:color="auto"/>
        <w:right w:val="none" w:sz="0" w:space="0" w:color="auto"/>
      </w:divBdr>
    </w:div>
    <w:div w:id="1176455075">
      <w:bodyDiv w:val="1"/>
      <w:marLeft w:val="0"/>
      <w:marRight w:val="0"/>
      <w:marTop w:val="0"/>
      <w:marBottom w:val="0"/>
      <w:divBdr>
        <w:top w:val="none" w:sz="0" w:space="0" w:color="auto"/>
        <w:left w:val="none" w:sz="0" w:space="0" w:color="auto"/>
        <w:bottom w:val="none" w:sz="0" w:space="0" w:color="auto"/>
        <w:right w:val="none" w:sz="0" w:space="0" w:color="auto"/>
      </w:divBdr>
    </w:div>
    <w:div w:id="1496145213">
      <w:bodyDiv w:val="1"/>
      <w:marLeft w:val="0"/>
      <w:marRight w:val="0"/>
      <w:marTop w:val="0"/>
      <w:marBottom w:val="0"/>
      <w:divBdr>
        <w:top w:val="none" w:sz="0" w:space="0" w:color="auto"/>
        <w:left w:val="none" w:sz="0" w:space="0" w:color="auto"/>
        <w:bottom w:val="none" w:sz="0" w:space="0" w:color="auto"/>
        <w:right w:val="none" w:sz="0" w:space="0" w:color="auto"/>
      </w:divBdr>
    </w:div>
    <w:div w:id="1509054153">
      <w:bodyDiv w:val="1"/>
      <w:marLeft w:val="0"/>
      <w:marRight w:val="0"/>
      <w:marTop w:val="0"/>
      <w:marBottom w:val="0"/>
      <w:divBdr>
        <w:top w:val="none" w:sz="0" w:space="0" w:color="auto"/>
        <w:left w:val="none" w:sz="0" w:space="0" w:color="auto"/>
        <w:bottom w:val="none" w:sz="0" w:space="0" w:color="auto"/>
        <w:right w:val="none" w:sz="0" w:space="0" w:color="auto"/>
      </w:divBdr>
    </w:div>
    <w:div w:id="1559898754">
      <w:bodyDiv w:val="1"/>
      <w:marLeft w:val="0"/>
      <w:marRight w:val="0"/>
      <w:marTop w:val="0"/>
      <w:marBottom w:val="0"/>
      <w:divBdr>
        <w:top w:val="none" w:sz="0" w:space="0" w:color="auto"/>
        <w:left w:val="none" w:sz="0" w:space="0" w:color="auto"/>
        <w:bottom w:val="none" w:sz="0" w:space="0" w:color="auto"/>
        <w:right w:val="none" w:sz="0" w:space="0" w:color="auto"/>
      </w:divBdr>
    </w:div>
    <w:div w:id="1628120192">
      <w:bodyDiv w:val="1"/>
      <w:marLeft w:val="0"/>
      <w:marRight w:val="0"/>
      <w:marTop w:val="0"/>
      <w:marBottom w:val="0"/>
      <w:divBdr>
        <w:top w:val="none" w:sz="0" w:space="0" w:color="auto"/>
        <w:left w:val="none" w:sz="0" w:space="0" w:color="auto"/>
        <w:bottom w:val="none" w:sz="0" w:space="0" w:color="auto"/>
        <w:right w:val="none" w:sz="0" w:space="0" w:color="auto"/>
      </w:divBdr>
    </w:div>
    <w:div w:id="19024760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13</Pages>
  <Words>4146</Words>
  <Characters>25961</Characters>
  <Application>Microsoft Office Word</Application>
  <DocSecurity>0</DocSecurity>
  <Lines>564</Lines>
  <Paragraphs>202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29905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Shabnam</cp:lastModifiedBy>
  <cp:revision>47</cp:revision>
  <dcterms:created xsi:type="dcterms:W3CDTF">2025-11-16T00:26:00Z</dcterms:created>
  <dcterms:modified xsi:type="dcterms:W3CDTF">2025-11-16T01:42:00Z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ff082e1b-7ad9-4265-980e-4e1f3f4f9e56</vt:lpwstr>
  </property>
</Properties>
</file>