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4D27DE" w:rsidR="0056789E" w:rsidRDefault="00941D9A" w14:paraId="6DCB8818" w14:textId="77777777">
      <w:bookmarkStart w:name="_Hlk234326525" w:id="0"/>
      <w:r w:rsidRPr="004D27DE">
        <w:rPr>
          <w:noProof/>
          <w:lang w:val="en-IN" w:eastAsia="en-IN"/>
        </w:rPr>
        <w:drawing>
          <wp:inline distT="0" distB="0" distL="0" distR="0" wp14:anchorId="421000D0" wp14:editId="7AFC08FF">
            <wp:extent cx="1502797" cy="640080"/>
            <wp:effectExtent l="0" t="0" r="2540" b="7620"/>
            <wp:docPr id="1938046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046042" name=""/>
                    <pic:cNvPicPr/>
                  </pic:nvPicPr>
                  <pic:blipFill>
                    <a:blip r:embed="rId6"/>
                    <a:stretch>
                      <a:fillRect/>
                    </a:stretch>
                  </pic:blipFill>
                  <pic:spPr>
                    <a:xfrm>
                      <a:off x="0" y="0"/>
                      <a:ext cx="1509393" cy="642889"/>
                    </a:xfrm>
                    <a:prstGeom prst="rect">
                      <a:avLst/>
                    </a:prstGeom>
                  </pic:spPr>
                </pic:pic>
              </a:graphicData>
            </a:graphic>
          </wp:inline>
        </w:drawing>
      </w:r>
    </w:p>
    <w:p w:rsidRPr="00AD1A16" w:rsidR="00941D9A" w:rsidRDefault="00E30DAC" w14:paraId="212AE1C6" w14:textId="429342B1">
      <w:pPr>
        <w:rPr>
          <w:rFonts w:cs="Arial"/>
          <w:b/>
          <w:bCs/>
          <w:color w:val="4472C4" w:themeColor="accent1"/>
          <w:sz w:val="36"/>
          <w:szCs w:val="36"/>
        </w:rPr>
      </w:pPr>
      <w:r w:rsidRPr="00E30DAC">
        <w:rPr>
          <w:rFonts w:cs="Arial"/>
          <w:b/>
          <w:bCs/>
          <w:color w:val="4472C4" w:themeColor="accent1"/>
          <w:sz w:val="28"/>
          <w:szCs w:val="28"/>
        </w:rPr>
        <w:t xml:space="preserve">                       </w:t>
      </w:r>
      <w:r w:rsidRPr="00AD1A16">
        <w:rPr>
          <w:rFonts w:cs="Arial"/>
          <w:b/>
          <w:bCs/>
          <w:color w:val="4472C4" w:themeColor="accent1"/>
          <w:sz w:val="36"/>
          <w:szCs w:val="36"/>
        </w:rPr>
        <w:t>Introduction to Health and Social Care</w:t>
      </w:r>
    </w:p>
    <w:p w:rsidR="00E30DAC" w:rsidRDefault="00E30DAC" w14:paraId="0E7FABA8" w14:textId="0DDC3B4C">
      <w:pPr>
        <w:rPr>
          <w:rFonts w:cs="Arial"/>
          <w:b/>
          <w:bCs/>
          <w:sz w:val="28"/>
          <w:szCs w:val="28"/>
        </w:rPr>
      </w:pPr>
      <w:r>
        <w:rPr>
          <w:rFonts w:cs="Arial"/>
          <w:b/>
          <w:bCs/>
          <w:sz w:val="28"/>
          <w:szCs w:val="28"/>
        </w:rPr>
        <w:t xml:space="preserve">                                   </w:t>
      </w:r>
      <w:r w:rsidR="00AD1A16">
        <w:rPr>
          <w:rFonts w:cs="Arial"/>
          <w:b/>
          <w:bCs/>
          <w:sz w:val="28"/>
          <w:szCs w:val="28"/>
        </w:rPr>
        <w:t xml:space="preserve">      </w:t>
      </w:r>
      <w:r>
        <w:rPr>
          <w:rFonts w:cs="Arial"/>
          <w:b/>
          <w:bCs/>
          <w:sz w:val="28"/>
          <w:szCs w:val="28"/>
        </w:rPr>
        <w:t xml:space="preserve">  (LCHS4003)</w:t>
      </w:r>
    </w:p>
    <w:p w:rsidR="00E30DAC" w:rsidRDefault="00E30DAC" w14:paraId="6352A551" w14:textId="77777777">
      <w:pPr>
        <w:rPr>
          <w:rFonts w:cs="Arial"/>
          <w:b/>
          <w:bCs/>
          <w:sz w:val="28"/>
          <w:szCs w:val="28"/>
        </w:rPr>
      </w:pPr>
    </w:p>
    <w:p w:rsidR="00E30DAC" w:rsidRDefault="00E30DAC" w14:paraId="1EF43DFC" w14:textId="088C58DF">
      <w:pPr>
        <w:rPr>
          <w:rFonts w:cs="Arial"/>
          <w:b/>
          <w:bCs/>
          <w:sz w:val="28"/>
          <w:szCs w:val="28"/>
        </w:rPr>
      </w:pPr>
      <w:r>
        <w:rPr>
          <w:rFonts w:cs="Arial"/>
          <w:b/>
          <w:bCs/>
          <w:sz w:val="28"/>
          <w:szCs w:val="28"/>
        </w:rPr>
        <w:t xml:space="preserve">              </w:t>
      </w:r>
      <w:r w:rsidRPr="00E30DAC">
        <w:rPr>
          <w:rFonts w:cs="Arial"/>
          <w:b/>
          <w:bCs/>
          <w:color w:val="4472C4" w:themeColor="accent1"/>
          <w:sz w:val="28"/>
          <w:szCs w:val="28"/>
        </w:rPr>
        <w:t xml:space="preserve"> Lecturer</w:t>
      </w:r>
      <w:r>
        <w:rPr>
          <w:rFonts w:cs="Arial"/>
          <w:b/>
          <w:bCs/>
          <w:sz w:val="28"/>
          <w:szCs w:val="28"/>
        </w:rPr>
        <w:t>: Farah Islam</w:t>
      </w:r>
    </w:p>
    <w:p w:rsidR="00E30DAC" w:rsidRDefault="00E30DAC" w14:paraId="584922E7" w14:textId="25A82C62">
      <w:pPr>
        <w:rPr>
          <w:rFonts w:cs="Arial"/>
          <w:b/>
          <w:bCs/>
          <w:sz w:val="28"/>
          <w:szCs w:val="28"/>
        </w:rPr>
      </w:pPr>
      <w:r>
        <w:rPr>
          <w:rFonts w:cs="Arial"/>
          <w:b/>
          <w:bCs/>
          <w:sz w:val="28"/>
          <w:szCs w:val="28"/>
        </w:rPr>
        <w:t xml:space="preserve">              </w:t>
      </w:r>
      <w:r w:rsidRPr="00E30DAC">
        <w:rPr>
          <w:rFonts w:cs="Arial"/>
          <w:b/>
          <w:bCs/>
          <w:color w:val="4472C4" w:themeColor="accent1"/>
          <w:sz w:val="28"/>
          <w:szCs w:val="28"/>
        </w:rPr>
        <w:t>Student Name</w:t>
      </w:r>
      <w:r>
        <w:rPr>
          <w:rFonts w:cs="Arial"/>
          <w:b/>
          <w:bCs/>
          <w:sz w:val="28"/>
          <w:szCs w:val="28"/>
        </w:rPr>
        <w:t>: Rajnit Kaur</w:t>
      </w:r>
    </w:p>
    <w:p w:rsidRPr="00E30DAC" w:rsidR="00E30DAC" w:rsidRDefault="00E30DAC" w14:paraId="1734BAA6" w14:textId="6BB79035">
      <w:pPr>
        <w:rPr>
          <w:rFonts w:cs="Arial"/>
          <w:b/>
          <w:bCs/>
          <w:sz w:val="28"/>
          <w:szCs w:val="28"/>
        </w:rPr>
      </w:pPr>
      <w:r w:rsidRPr="00E30DAC">
        <w:rPr>
          <w:rFonts w:cs="Arial"/>
          <w:b/>
          <w:bCs/>
          <w:color w:val="4472C4" w:themeColor="accent1"/>
          <w:sz w:val="28"/>
          <w:szCs w:val="28"/>
        </w:rPr>
        <w:t xml:space="preserve">              Student ID</w:t>
      </w:r>
      <w:r>
        <w:rPr>
          <w:rFonts w:cs="Arial"/>
          <w:b/>
          <w:bCs/>
          <w:sz w:val="28"/>
          <w:szCs w:val="28"/>
        </w:rPr>
        <w:t>:2527844</w:t>
      </w:r>
    </w:p>
    <w:p w:rsidR="0002053C" w:rsidRDefault="0002053C" w14:paraId="3EF46B72" w14:textId="77777777"/>
    <w:p w:rsidR="0002053C" w:rsidRDefault="0002053C" w14:paraId="18EAACBB" w14:textId="77777777"/>
    <w:p w:rsidR="0002053C" w:rsidRDefault="0002053C" w14:paraId="2DED7D07" w14:textId="77777777"/>
    <w:p w:rsidR="0002053C" w:rsidRDefault="0002053C" w14:paraId="24EFCC97" w14:textId="77777777"/>
    <w:p w:rsidR="0002053C" w:rsidRDefault="0002053C" w14:paraId="74587264" w14:textId="77777777"/>
    <w:p w:rsidR="0002053C" w:rsidRDefault="0002053C" w14:paraId="4EAE4865" w14:textId="77777777"/>
    <w:p w:rsidR="0002053C" w:rsidRDefault="0002053C" w14:paraId="46C3692E" w14:textId="77777777"/>
    <w:p w:rsidRPr="004D27DE" w:rsidR="0002053C" w:rsidRDefault="0002053C" w14:paraId="087D6088" w14:textId="77777777"/>
    <w:p w:rsidRPr="004D27DE" w:rsidR="00941D9A" w:rsidP="4FE8055E" w:rsidRDefault="00F64213" w14:paraId="05241A76" w14:textId="19E939E0">
      <w:pPr>
        <w:spacing w:line="278" w:lineRule="auto"/>
        <w:jc w:val="center"/>
        <w:rPr>
          <w:b w:val="1"/>
          <w:bCs w:val="1"/>
          <w:sz w:val="36"/>
          <w:szCs w:val="36"/>
        </w:rPr>
      </w:pPr>
      <w:r w:rsidRPr="4FE8055E" w:rsidR="00F64213">
        <w:rPr>
          <w:b w:val="1"/>
          <w:bCs w:val="1"/>
          <w:sz w:val="36"/>
          <w:szCs w:val="36"/>
        </w:rPr>
        <w:t xml:space="preserve">Title: Analysing the case study of Mrs </w:t>
      </w:r>
      <w:r w:rsidRPr="4FE8055E" w:rsidR="54977D2A">
        <w:rPr>
          <w:b w:val="1"/>
          <w:bCs w:val="1"/>
          <w:sz w:val="36"/>
          <w:szCs w:val="36"/>
        </w:rPr>
        <w:t xml:space="preserve">Thompson </w:t>
      </w:r>
    </w:p>
    <w:sdt>
      <w:sdtPr>
        <w:id w:val="-1255043112"/>
        <w:docPartObj>
          <w:docPartGallery w:val="Table of Contents"/>
          <w:docPartUnique/>
        </w:docPartObj>
        <w:rPr>
          <w:rFonts w:ascii="Arial" w:hAnsi="Arial" w:eastAsia="Calibri" w:cs="" w:eastAsiaTheme="minorAscii" w:cstheme="minorBidi"/>
          <w:color w:val="000000" w:themeColor="text1"/>
          <w:kern w:val="2"/>
          <w:sz w:val="22"/>
          <w:szCs w:val="22"/>
          <w:lang w:val="en-GB"/>
        </w:rPr>
      </w:sdtPr>
      <w:sdtEndPr>
        <w:rPr>
          <w:rFonts w:ascii="Arial" w:hAnsi="Arial" w:eastAsia="Calibri" w:cs="" w:eastAsiaTheme="minorAscii" w:cstheme="minorBidi"/>
          <w:b w:val="1"/>
          <w:bCs w:val="1"/>
          <w:noProof/>
          <w:color w:val="000000" w:themeColor="text1" w:themeTint="FF" w:themeShade="FF"/>
          <w:sz w:val="22"/>
          <w:szCs w:val="22"/>
          <w:lang w:val="en-GB"/>
        </w:rPr>
      </w:sdtEndPr>
      <w:sdtContent>
        <w:p w:rsidRPr="004D27DE" w:rsidR="00BF7F56" w:rsidP="00BF7F56" w:rsidRDefault="00BF7F56" w14:paraId="5517D6D1" w14:textId="77777777">
          <w:pPr>
            <w:pStyle w:val="TOCHeading"/>
            <w:jc w:val="center"/>
            <w:rPr>
              <w:rFonts w:ascii="Arial" w:hAnsi="Arial" w:cs="Arial"/>
              <w:b/>
              <w:bCs/>
              <w:color w:val="000000" w:themeColor="text1"/>
              <w:sz w:val="22"/>
              <w:szCs w:val="22"/>
              <w:lang w:val="en-GB"/>
            </w:rPr>
          </w:pPr>
          <w:r w:rsidRPr="004D27DE">
            <w:rPr>
              <w:rFonts w:ascii="Arial" w:hAnsi="Arial" w:cs="Arial"/>
              <w:b/>
              <w:bCs/>
              <w:color w:val="000000" w:themeColor="text1"/>
              <w:sz w:val="22"/>
              <w:szCs w:val="22"/>
              <w:lang w:val="en-GB"/>
            </w:rPr>
            <w:t>Table of Contents</w:t>
          </w:r>
        </w:p>
        <w:p w:rsidR="00CB20A1" w:rsidRDefault="00FA6231" w14:paraId="1C9A3114" w14:textId="45FEF285">
          <w:pPr>
            <w:pStyle w:val="TOC1"/>
            <w:tabs>
              <w:tab w:val="right" w:leader="dot" w:pos="9016"/>
            </w:tabs>
            <w:rPr>
              <w:rFonts w:asciiTheme="minorHAnsi" w:hAnsiTheme="minorHAnsi" w:eastAsiaTheme="minorEastAsia"/>
              <w:noProof/>
              <w:color w:val="auto"/>
              <w:kern w:val="0"/>
              <w:szCs w:val="22"/>
              <w:lang w:val="en-IN" w:eastAsia="en-IN"/>
            </w:rPr>
          </w:pPr>
          <w:r w:rsidRPr="004D27DE">
            <w:fldChar w:fldCharType="begin"/>
          </w:r>
          <w:r w:rsidRPr="004D27DE" w:rsidR="00BF7F56">
            <w:instrText xml:space="preserve"> TOC \o "1-3" \h \z \u </w:instrText>
          </w:r>
          <w:r w:rsidRPr="004D27DE">
            <w:fldChar w:fldCharType="separate"/>
          </w:r>
          <w:hyperlink w:history="1" w:anchor="_Toc235113133">
            <w:r w:rsidRPr="00211308" w:rsidR="00CB20A1">
              <w:rPr>
                <w:rStyle w:val="Hyperlink"/>
                <w:noProof/>
              </w:rPr>
              <w:t>Introduction</w:t>
            </w:r>
            <w:r w:rsidR="00CB20A1">
              <w:rPr>
                <w:noProof/>
                <w:webHidden/>
              </w:rPr>
              <w:tab/>
            </w:r>
            <w:r w:rsidR="00CB20A1">
              <w:rPr>
                <w:noProof/>
                <w:webHidden/>
              </w:rPr>
              <w:fldChar w:fldCharType="begin"/>
            </w:r>
            <w:r w:rsidR="00CB20A1">
              <w:rPr>
                <w:noProof/>
                <w:webHidden/>
              </w:rPr>
              <w:instrText xml:space="preserve"> PAGEREF _Toc235113133 \h </w:instrText>
            </w:r>
            <w:r w:rsidR="00CB20A1">
              <w:rPr>
                <w:noProof/>
                <w:webHidden/>
              </w:rPr>
            </w:r>
            <w:r w:rsidR="00CB20A1">
              <w:rPr>
                <w:noProof/>
                <w:webHidden/>
              </w:rPr>
              <w:fldChar w:fldCharType="separate"/>
            </w:r>
            <w:r w:rsidR="00CB20A1">
              <w:rPr>
                <w:noProof/>
                <w:webHidden/>
              </w:rPr>
              <w:t>3</w:t>
            </w:r>
            <w:r w:rsidR="00CB20A1">
              <w:rPr>
                <w:noProof/>
                <w:webHidden/>
              </w:rPr>
              <w:fldChar w:fldCharType="end"/>
            </w:r>
          </w:hyperlink>
        </w:p>
        <w:p w:rsidR="00CB20A1" w:rsidRDefault="00CB20A1" w14:paraId="62597F37" w14:textId="487E90CF">
          <w:pPr>
            <w:pStyle w:val="TOC1"/>
            <w:tabs>
              <w:tab w:val="right" w:leader="dot" w:pos="9016"/>
            </w:tabs>
            <w:rPr>
              <w:rFonts w:asciiTheme="minorHAnsi" w:hAnsiTheme="minorHAnsi" w:eastAsiaTheme="minorEastAsia"/>
              <w:noProof/>
              <w:color w:val="auto"/>
              <w:kern w:val="0"/>
              <w:szCs w:val="22"/>
              <w:lang w:val="en-IN" w:eastAsia="en-IN"/>
            </w:rPr>
          </w:pPr>
          <w:hyperlink w:history="1" w:anchor="_Toc235113134">
            <w:r w:rsidRPr="00211308">
              <w:rPr>
                <w:rStyle w:val="Hyperlink"/>
                <w:noProof/>
              </w:rPr>
              <w:t>Section 1: Effective Communication</w:t>
            </w:r>
            <w:r>
              <w:rPr>
                <w:noProof/>
                <w:webHidden/>
              </w:rPr>
              <w:tab/>
            </w:r>
            <w:r>
              <w:rPr>
                <w:noProof/>
                <w:webHidden/>
              </w:rPr>
              <w:fldChar w:fldCharType="begin"/>
            </w:r>
            <w:r>
              <w:rPr>
                <w:noProof/>
                <w:webHidden/>
              </w:rPr>
              <w:instrText xml:space="preserve"> PAGEREF _Toc235113134 \h </w:instrText>
            </w:r>
            <w:r>
              <w:rPr>
                <w:noProof/>
                <w:webHidden/>
              </w:rPr>
            </w:r>
            <w:r>
              <w:rPr>
                <w:noProof/>
                <w:webHidden/>
              </w:rPr>
              <w:fldChar w:fldCharType="separate"/>
            </w:r>
            <w:r>
              <w:rPr>
                <w:noProof/>
                <w:webHidden/>
              </w:rPr>
              <w:t>4</w:t>
            </w:r>
            <w:r>
              <w:rPr>
                <w:noProof/>
                <w:webHidden/>
              </w:rPr>
              <w:fldChar w:fldCharType="end"/>
            </w:r>
          </w:hyperlink>
        </w:p>
        <w:p w:rsidR="00CB20A1" w:rsidRDefault="00CB20A1" w14:paraId="1E724E9A" w14:textId="575446F2">
          <w:pPr>
            <w:pStyle w:val="TOC1"/>
            <w:tabs>
              <w:tab w:val="right" w:leader="dot" w:pos="9016"/>
            </w:tabs>
            <w:rPr>
              <w:rFonts w:asciiTheme="minorHAnsi" w:hAnsiTheme="minorHAnsi" w:eastAsiaTheme="minorEastAsia"/>
              <w:noProof/>
              <w:color w:val="auto"/>
              <w:kern w:val="0"/>
              <w:szCs w:val="22"/>
              <w:lang w:val="en-IN" w:eastAsia="en-IN"/>
            </w:rPr>
          </w:pPr>
          <w:hyperlink w:history="1" w:anchor="_Toc235113135">
            <w:r w:rsidRPr="00211308">
              <w:rPr>
                <w:rStyle w:val="Hyperlink"/>
                <w:noProof/>
              </w:rPr>
              <w:t>Section 2: Administrative Skills &amp; Record Keeping</w:t>
            </w:r>
            <w:r>
              <w:rPr>
                <w:noProof/>
                <w:webHidden/>
              </w:rPr>
              <w:tab/>
            </w:r>
            <w:r>
              <w:rPr>
                <w:noProof/>
                <w:webHidden/>
              </w:rPr>
              <w:fldChar w:fldCharType="begin"/>
            </w:r>
            <w:r>
              <w:rPr>
                <w:noProof/>
                <w:webHidden/>
              </w:rPr>
              <w:instrText xml:space="preserve"> PAGEREF _Toc235113135 \h </w:instrText>
            </w:r>
            <w:r>
              <w:rPr>
                <w:noProof/>
                <w:webHidden/>
              </w:rPr>
            </w:r>
            <w:r>
              <w:rPr>
                <w:noProof/>
                <w:webHidden/>
              </w:rPr>
              <w:fldChar w:fldCharType="separate"/>
            </w:r>
            <w:r>
              <w:rPr>
                <w:noProof/>
                <w:webHidden/>
              </w:rPr>
              <w:t>6</w:t>
            </w:r>
            <w:r>
              <w:rPr>
                <w:noProof/>
                <w:webHidden/>
              </w:rPr>
              <w:fldChar w:fldCharType="end"/>
            </w:r>
          </w:hyperlink>
        </w:p>
        <w:p w:rsidR="00CB20A1" w:rsidRDefault="00CB20A1" w14:paraId="223E39D2" w14:textId="031FBCC2">
          <w:pPr>
            <w:pStyle w:val="TOC1"/>
            <w:tabs>
              <w:tab w:val="right" w:leader="dot" w:pos="9016"/>
            </w:tabs>
            <w:rPr>
              <w:rFonts w:asciiTheme="minorHAnsi" w:hAnsiTheme="minorHAnsi" w:eastAsiaTheme="minorEastAsia"/>
              <w:noProof/>
              <w:color w:val="auto"/>
              <w:kern w:val="0"/>
              <w:szCs w:val="22"/>
              <w:lang w:val="en-IN" w:eastAsia="en-IN"/>
            </w:rPr>
          </w:pPr>
          <w:hyperlink w:history="1" w:anchor="_Toc235113136">
            <w:r w:rsidRPr="00211308">
              <w:rPr>
                <w:rStyle w:val="Hyperlink"/>
                <w:noProof/>
              </w:rPr>
              <w:t>Section 3: Collaborative Working</w:t>
            </w:r>
            <w:r>
              <w:rPr>
                <w:noProof/>
                <w:webHidden/>
              </w:rPr>
              <w:tab/>
            </w:r>
            <w:r>
              <w:rPr>
                <w:noProof/>
                <w:webHidden/>
              </w:rPr>
              <w:fldChar w:fldCharType="begin"/>
            </w:r>
            <w:r>
              <w:rPr>
                <w:noProof/>
                <w:webHidden/>
              </w:rPr>
              <w:instrText xml:space="preserve"> PAGEREF _Toc235113136 \h </w:instrText>
            </w:r>
            <w:r>
              <w:rPr>
                <w:noProof/>
                <w:webHidden/>
              </w:rPr>
            </w:r>
            <w:r>
              <w:rPr>
                <w:noProof/>
                <w:webHidden/>
              </w:rPr>
              <w:fldChar w:fldCharType="separate"/>
            </w:r>
            <w:r>
              <w:rPr>
                <w:noProof/>
                <w:webHidden/>
              </w:rPr>
              <w:t>8</w:t>
            </w:r>
            <w:r>
              <w:rPr>
                <w:noProof/>
                <w:webHidden/>
              </w:rPr>
              <w:fldChar w:fldCharType="end"/>
            </w:r>
          </w:hyperlink>
        </w:p>
        <w:p w:rsidR="00CB20A1" w:rsidRDefault="00CB20A1" w14:paraId="483CF8E4" w14:textId="3E6B85FA">
          <w:pPr>
            <w:pStyle w:val="TOC1"/>
            <w:tabs>
              <w:tab w:val="right" w:leader="dot" w:pos="9016"/>
            </w:tabs>
            <w:rPr>
              <w:rFonts w:asciiTheme="minorHAnsi" w:hAnsiTheme="minorHAnsi" w:eastAsiaTheme="minorEastAsia"/>
              <w:noProof/>
              <w:color w:val="auto"/>
              <w:kern w:val="0"/>
              <w:szCs w:val="22"/>
              <w:lang w:val="en-IN" w:eastAsia="en-IN"/>
            </w:rPr>
          </w:pPr>
          <w:hyperlink w:history="1" w:anchor="_Toc235113137">
            <w:r w:rsidRPr="00211308">
              <w:rPr>
                <w:rStyle w:val="Hyperlink"/>
                <w:noProof/>
                <w:lang w:val="en-IN"/>
              </w:rPr>
              <w:t>Conclusion</w:t>
            </w:r>
            <w:r>
              <w:rPr>
                <w:noProof/>
                <w:webHidden/>
              </w:rPr>
              <w:tab/>
            </w:r>
            <w:r>
              <w:rPr>
                <w:noProof/>
                <w:webHidden/>
              </w:rPr>
              <w:fldChar w:fldCharType="begin"/>
            </w:r>
            <w:r>
              <w:rPr>
                <w:noProof/>
                <w:webHidden/>
              </w:rPr>
              <w:instrText xml:space="preserve"> PAGEREF _Toc235113137 \h </w:instrText>
            </w:r>
            <w:r>
              <w:rPr>
                <w:noProof/>
                <w:webHidden/>
              </w:rPr>
            </w:r>
            <w:r>
              <w:rPr>
                <w:noProof/>
                <w:webHidden/>
              </w:rPr>
              <w:fldChar w:fldCharType="separate"/>
            </w:r>
            <w:r>
              <w:rPr>
                <w:noProof/>
                <w:webHidden/>
              </w:rPr>
              <w:t>10</w:t>
            </w:r>
            <w:r>
              <w:rPr>
                <w:noProof/>
                <w:webHidden/>
              </w:rPr>
              <w:fldChar w:fldCharType="end"/>
            </w:r>
          </w:hyperlink>
        </w:p>
        <w:p w:rsidR="00CB20A1" w:rsidRDefault="00CB20A1" w14:paraId="6625273B" w14:textId="04732806">
          <w:pPr>
            <w:pStyle w:val="TOC1"/>
            <w:tabs>
              <w:tab w:val="right" w:leader="dot" w:pos="9016"/>
            </w:tabs>
            <w:rPr>
              <w:rFonts w:asciiTheme="minorHAnsi" w:hAnsiTheme="minorHAnsi" w:eastAsiaTheme="minorEastAsia"/>
              <w:noProof/>
              <w:color w:val="auto"/>
              <w:kern w:val="0"/>
              <w:szCs w:val="22"/>
              <w:lang w:val="en-IN" w:eastAsia="en-IN"/>
            </w:rPr>
          </w:pPr>
          <w:hyperlink w:history="1" w:anchor="_Toc235113138">
            <w:r w:rsidRPr="00211308">
              <w:rPr>
                <w:rStyle w:val="Hyperlink"/>
                <w:noProof/>
              </w:rPr>
              <w:t>References</w:t>
            </w:r>
            <w:r>
              <w:rPr>
                <w:noProof/>
                <w:webHidden/>
              </w:rPr>
              <w:tab/>
            </w:r>
            <w:r>
              <w:rPr>
                <w:noProof/>
                <w:webHidden/>
              </w:rPr>
              <w:fldChar w:fldCharType="begin"/>
            </w:r>
            <w:r>
              <w:rPr>
                <w:noProof/>
                <w:webHidden/>
              </w:rPr>
              <w:instrText xml:space="preserve"> PAGEREF _Toc235113138 \h </w:instrText>
            </w:r>
            <w:r>
              <w:rPr>
                <w:noProof/>
                <w:webHidden/>
              </w:rPr>
            </w:r>
            <w:r>
              <w:rPr>
                <w:noProof/>
                <w:webHidden/>
              </w:rPr>
              <w:fldChar w:fldCharType="separate"/>
            </w:r>
            <w:r>
              <w:rPr>
                <w:noProof/>
                <w:webHidden/>
              </w:rPr>
              <w:t>11</w:t>
            </w:r>
            <w:r>
              <w:rPr>
                <w:noProof/>
                <w:webHidden/>
              </w:rPr>
              <w:fldChar w:fldCharType="end"/>
            </w:r>
          </w:hyperlink>
        </w:p>
        <w:p w:rsidRPr="004D27DE" w:rsidR="00BF7F56" w:rsidRDefault="00FA6231" w14:paraId="255ACA63" w14:textId="230547A4">
          <w:r w:rsidRPr="004D27DE">
            <w:rPr>
              <w:b/>
              <w:bCs/>
              <w:noProof/>
            </w:rPr>
            <w:fldChar w:fldCharType="end"/>
          </w:r>
        </w:p>
      </w:sdtContent>
    </w:sdt>
    <w:p w:rsidRPr="004D27DE" w:rsidR="00BF7F56" w:rsidRDefault="00BF7F56" w14:paraId="271309F0" w14:textId="77777777">
      <w:pPr>
        <w:spacing w:before="0" w:after="160" w:line="278" w:lineRule="auto"/>
        <w:jc w:val="left"/>
        <w:rPr>
          <w:rFonts w:eastAsiaTheme="majorEastAsia" w:cstheme="majorBidi"/>
          <w:b/>
          <w:szCs w:val="40"/>
        </w:rPr>
      </w:pPr>
      <w:r w:rsidRPr="004D27DE">
        <w:br w:type="page"/>
      </w:r>
    </w:p>
    <w:p w:rsidRPr="00E30DAC" w:rsidR="00941D9A" w:rsidP="00941D9A" w:rsidRDefault="00941D9A" w14:paraId="20711697" w14:textId="6D5C194E">
      <w:pPr>
        <w:pStyle w:val="Heading1"/>
        <w:rPr>
          <w:color w:val="4472C4" w:themeColor="accent1"/>
          <w:sz w:val="32"/>
          <w:szCs w:val="32"/>
        </w:rPr>
      </w:pPr>
      <w:bookmarkStart w:name="_Toc235113133" w:id="1"/>
      <w:r w:rsidRPr="00E30DAC">
        <w:rPr>
          <w:color w:val="4472C4" w:themeColor="accent1"/>
          <w:sz w:val="32"/>
          <w:szCs w:val="32"/>
        </w:rPr>
        <w:lastRenderedPageBreak/>
        <w:t>Introduction</w:t>
      </w:r>
      <w:bookmarkEnd w:id="1"/>
      <w:r w:rsidRPr="00E30DAC" w:rsidR="001C09BC">
        <w:rPr>
          <w:color w:val="4472C4" w:themeColor="accent1"/>
          <w:sz w:val="32"/>
          <w:szCs w:val="32"/>
        </w:rPr>
        <w:t xml:space="preserve"> </w:t>
      </w:r>
      <w:r w:rsidRPr="00E30DAC" w:rsidR="003F3344">
        <w:rPr>
          <w:color w:val="4472C4" w:themeColor="accent1"/>
          <w:sz w:val="32"/>
          <w:szCs w:val="32"/>
        </w:rPr>
        <w:t xml:space="preserve"> </w:t>
      </w:r>
    </w:p>
    <w:p w:rsidRPr="0002053C" w:rsidR="00941D9A" w:rsidP="0002053C" w:rsidRDefault="0002053C" w14:paraId="2D7C6B3F" w14:textId="688A6939">
      <w:r w:rsidRPr="001C09BC">
        <w:rPr>
          <w:color w:val="EE0000"/>
        </w:rPr>
        <w:t>Home healthcare refers to the wide range of healthcare services that can be given at home for an injury or illness. The services are comparatively less expensive as well as convenient and efficient than hospital services (Fortune Business Insights, 2026).</w:t>
      </w:r>
      <w:r>
        <w:t xml:space="preserve"> The </w:t>
      </w:r>
      <w:r w:rsidRPr="004D27DE" w:rsidR="00E95FA2">
        <w:t xml:space="preserve">following report </w:t>
      </w:r>
      <w:r w:rsidRPr="004D27DE" w:rsidR="00D648E6">
        <w:t xml:space="preserve">shall </w:t>
      </w:r>
      <w:r w:rsidRPr="004D27DE" w:rsidR="00E95FA2">
        <w:t>investigate the care of Mrs Thompson,</w:t>
      </w:r>
      <w:r w:rsidR="004D27DE">
        <w:t xml:space="preserve"> </w:t>
      </w:r>
      <w:r w:rsidRPr="004D27DE" w:rsidR="00E95FA2">
        <w:t xml:space="preserve">an 84-year-old woman who </w:t>
      </w:r>
      <w:r>
        <w:t>was</w:t>
      </w:r>
      <w:r w:rsidRPr="004D27DE" w:rsidR="00E95FA2">
        <w:t xml:space="preserve"> recently discharged from the hospital </w:t>
      </w:r>
      <w:r w:rsidRPr="004D27DE" w:rsidR="00927471">
        <w:t>after being</w:t>
      </w:r>
      <w:r w:rsidRPr="004D27DE" w:rsidR="00E95FA2">
        <w:t xml:space="preserve"> diagnosed with pneumonia. The primary concern is her compromised executive functioning, which has resulted in missing of the medication doses. As a </w:t>
      </w:r>
      <w:r w:rsidRPr="004D27DE" w:rsidR="00D648E6">
        <w:t>result of</w:t>
      </w:r>
      <w:r w:rsidRPr="004D27DE" w:rsidR="00E95FA2">
        <w:t xml:space="preserve"> this, it has </w:t>
      </w:r>
      <w:r w:rsidRPr="004D27DE" w:rsidR="00D648E6">
        <w:t>led</w:t>
      </w:r>
      <w:r w:rsidRPr="004D27DE" w:rsidR="00E95FA2">
        <w:t xml:space="preserve"> to the subsequent </w:t>
      </w:r>
      <w:r w:rsidRPr="004D27DE" w:rsidR="00D648E6">
        <w:t>increase</w:t>
      </w:r>
      <w:r w:rsidR="004D27DE">
        <w:t xml:space="preserve"> </w:t>
      </w:r>
      <w:r w:rsidRPr="004D27DE" w:rsidR="00D648E6">
        <w:t xml:space="preserve">in the </w:t>
      </w:r>
      <w:r w:rsidRPr="004D27DE" w:rsidR="00E95FA2">
        <w:t>confusion</w:t>
      </w:r>
      <w:r w:rsidRPr="004D27DE" w:rsidR="00D648E6">
        <w:t xml:space="preserve"> as well as a concerning</w:t>
      </w:r>
      <w:r w:rsidRPr="004D27DE" w:rsidR="00E95FA2">
        <w:t xml:space="preserve"> incident where she was found outdoors in cold weather without appropriate clothing. </w:t>
      </w:r>
      <w:r w:rsidRPr="004D27DE" w:rsidR="00D648E6">
        <w:t>Thus, t</w:t>
      </w:r>
      <w:r w:rsidRPr="004D27DE" w:rsidR="00E95FA2">
        <w:t xml:space="preserve">hese issues </w:t>
      </w:r>
      <w:r w:rsidRPr="004D27DE" w:rsidR="00D648E6">
        <w:t>highlight a significant</w:t>
      </w:r>
      <w:r w:rsidRPr="004D27DE" w:rsidR="00E95FA2">
        <w:t xml:space="preserve"> vulnerability that threatens her continued independent living. The purpose of this report is to analyse and critically evaluate three core pillars of professional health </w:t>
      </w:r>
      <w:r w:rsidRPr="004D27DE" w:rsidR="00D648E6">
        <w:t>with the</w:t>
      </w:r>
      <w:r w:rsidRPr="004D27DE" w:rsidR="00E95FA2">
        <w:t xml:space="preserve"> social care practice as they apply to Mrs Thompson's case</w:t>
      </w:r>
      <w:r w:rsidRPr="004D27DE" w:rsidR="00D648E6">
        <w:t xml:space="preserve">. For the effective communication, the caregivers must follow the guidelines of the Equality Act 2010. Alternatively, for administrative skill, they must ensure compliance with the Data Protection Act 2018 along with effective collaborative working. </w:t>
      </w:r>
      <w:r w:rsidRPr="004D27DE" w:rsidR="00941D9A">
        <w:br w:type="page"/>
      </w:r>
    </w:p>
    <w:p w:rsidRPr="00406568" w:rsidR="00BF6800" w:rsidP="00BF6800" w:rsidRDefault="00BF6800" w14:paraId="72841272" w14:textId="77777777">
      <w:pPr>
        <w:pStyle w:val="Heading1"/>
        <w:rPr>
          <w:color w:val="4472C4" w:themeColor="accent1"/>
          <w:sz w:val="28"/>
          <w:szCs w:val="28"/>
        </w:rPr>
      </w:pPr>
      <w:bookmarkStart w:name="_Toc235113134" w:id="2"/>
      <w:r w:rsidRPr="00406568">
        <w:rPr>
          <w:color w:val="4472C4" w:themeColor="accent1"/>
          <w:sz w:val="28"/>
          <w:szCs w:val="28"/>
        </w:rPr>
        <w:lastRenderedPageBreak/>
        <w:t>Section 1: Effective Communication</w:t>
      </w:r>
      <w:bookmarkEnd w:id="2"/>
      <w:r w:rsidRPr="00406568">
        <w:rPr>
          <w:color w:val="4472C4" w:themeColor="accent1"/>
          <w:sz w:val="28"/>
          <w:szCs w:val="28"/>
        </w:rPr>
        <w:t xml:space="preserve"> </w:t>
      </w:r>
    </w:p>
    <w:p w:rsidRPr="004D27DE" w:rsidR="00E90537" w:rsidP="00360028" w:rsidRDefault="00574C1D" w14:paraId="26197B42" w14:textId="5CF1F4A6">
      <w:r w:rsidRPr="004D27DE">
        <w:t xml:space="preserve">As stated by </w:t>
      </w:r>
      <w:r w:rsidRPr="004D27DE" w:rsidR="00AD1A16">
        <w:t>Basu (</w:t>
      </w:r>
      <w:r w:rsidRPr="004D27DE">
        <w:t>2025), e</w:t>
      </w:r>
      <w:r w:rsidRPr="004D27DE" w:rsidR="00360028">
        <w:t>ffective communication can be defined as the cornerstone of quality care that</w:t>
      </w:r>
      <w:r w:rsidR="004D27DE">
        <w:t xml:space="preserve"> </w:t>
      </w:r>
      <w:r w:rsidRPr="004D27DE" w:rsidR="00360028">
        <w:t>enables</w:t>
      </w:r>
      <w:r w:rsidR="004D27DE">
        <w:t xml:space="preserve"> </w:t>
      </w:r>
      <w:r w:rsidRPr="004D27DE" w:rsidR="00360028">
        <w:t xml:space="preserve">the different practitioners to analyse the various needs while building trust and </w:t>
      </w:r>
      <w:r w:rsidRPr="004D27DE" w:rsidR="00A424C4">
        <w:t xml:space="preserve">also </w:t>
      </w:r>
      <w:r w:rsidRPr="004D27DE" w:rsidR="00360028">
        <w:t xml:space="preserve">ensuring patient dignity. However, </w:t>
      </w:r>
      <w:r w:rsidRPr="004D27DE" w:rsidR="005F3E4D">
        <w:t>as described by Moreno</w:t>
      </w:r>
      <w:r w:rsidR="004D27DE">
        <w:t xml:space="preserve"> </w:t>
      </w:r>
      <w:r w:rsidRPr="004D27DE" w:rsidR="005F3E4D">
        <w:rPr>
          <w:i/>
          <w:iCs/>
        </w:rPr>
        <w:t>et al</w:t>
      </w:r>
      <w:r w:rsidRPr="004D27DE" w:rsidR="005F3E4D">
        <w:t xml:space="preserve">. (2024), </w:t>
      </w:r>
      <w:r w:rsidRPr="004D27DE" w:rsidR="00360028">
        <w:t>there are several semantic barriers, such as language differences or cognitive impairments. As a result of this, it can lead to</w:t>
      </w:r>
      <w:r w:rsidRPr="004D27DE" w:rsidR="00C778D1">
        <w:t xml:space="preserve"> the</w:t>
      </w:r>
      <w:r w:rsidRPr="004D27DE" w:rsidR="00360028">
        <w:t xml:space="preserve"> frequent</w:t>
      </w:r>
      <w:r w:rsidR="004D27DE">
        <w:t xml:space="preserve"> </w:t>
      </w:r>
      <w:r w:rsidRPr="004D27DE" w:rsidR="00360028">
        <w:t xml:space="preserve">disruption of the message transmission. </w:t>
      </w:r>
      <w:r w:rsidR="00AD1A16">
        <w:t xml:space="preserve">In order </w:t>
      </w:r>
      <w:r w:rsidRPr="004D27DE" w:rsidR="00AD1A16">
        <w:t>To</w:t>
      </w:r>
      <w:r w:rsidRPr="004D27DE" w:rsidR="00C778D1">
        <w:t xml:space="preserve"> </w:t>
      </w:r>
      <w:r w:rsidRPr="004D27DE" w:rsidR="00A424C4">
        <w:t>address these issues and challenges, the hospitality and health sector can implement several processes. Moreover, a</w:t>
      </w:r>
      <w:r w:rsidRPr="004D27DE" w:rsidR="00360028">
        <w:t xml:space="preserve">ddressing these hurdles </w:t>
      </w:r>
      <w:r w:rsidRPr="004D27DE" w:rsidR="00A424C4">
        <w:t xml:space="preserve">can </w:t>
      </w:r>
      <w:r w:rsidRPr="004D27DE" w:rsidR="00360028">
        <w:t xml:space="preserve">not only </w:t>
      </w:r>
      <w:r w:rsidRPr="004D27DE" w:rsidR="00A424C4">
        <w:t xml:space="preserve">be regarded as the </w:t>
      </w:r>
      <w:r w:rsidRPr="004D27DE" w:rsidR="00360028">
        <w:t>best practice but a legal obligation under the Equality Act 2010</w:t>
      </w:r>
      <w:r w:rsidRPr="004D27DE" w:rsidR="00A424C4">
        <w:t>. Conversely, the culturally sensitive care respects diverse backgrounds, beliefs, as well as the communication styles. Thus, when the practitioners encounter language barriers,</w:t>
      </w:r>
      <w:r w:rsidRPr="004D27DE" w:rsidR="00EA3027">
        <w:t xml:space="preserve"> they can effectively </w:t>
      </w:r>
      <w:r w:rsidRPr="004D27DE" w:rsidR="00A424C4">
        <w:t>u</w:t>
      </w:r>
      <w:r w:rsidRPr="004D27DE" w:rsidR="00EA3027">
        <w:t xml:space="preserve">se the </w:t>
      </w:r>
      <w:r w:rsidRPr="004D27DE" w:rsidR="00A424C4">
        <w:t>professional interpreters</w:t>
      </w:r>
      <w:r w:rsidRPr="004D27DE" w:rsidR="00EA3027">
        <w:t xml:space="preserve">. It plays a crucial role in </w:t>
      </w:r>
      <w:r w:rsidRPr="004D27DE" w:rsidR="00A424C4">
        <w:t>accurately translat</w:t>
      </w:r>
      <w:r w:rsidRPr="004D27DE" w:rsidR="00EA3027">
        <w:t>ing the</w:t>
      </w:r>
      <w:r w:rsidRPr="004D27DE" w:rsidR="00A424C4">
        <w:t xml:space="preserve"> medical instructions a</w:t>
      </w:r>
      <w:r w:rsidRPr="004D27DE" w:rsidR="00EA3027">
        <w:t>s well as the</w:t>
      </w:r>
      <w:r w:rsidRPr="004D27DE" w:rsidR="00A424C4">
        <w:t xml:space="preserve"> emotional needs. </w:t>
      </w:r>
    </w:p>
    <w:p w:rsidRPr="004D27DE" w:rsidR="00E90537" w:rsidP="00360028" w:rsidRDefault="00A35E38" w14:paraId="3A9A6AAE" w14:textId="25C7CE09">
      <w:r w:rsidRPr="004D27DE">
        <w:t xml:space="preserve">As described by </w:t>
      </w:r>
      <w:proofErr w:type="spellStart"/>
      <w:r w:rsidRPr="004D27DE">
        <w:t>Milte</w:t>
      </w:r>
      <w:proofErr w:type="spellEnd"/>
      <w:r w:rsidR="004D27DE">
        <w:t xml:space="preserve"> </w:t>
      </w:r>
      <w:r w:rsidRPr="004D27DE">
        <w:rPr>
          <w:i/>
          <w:iCs/>
        </w:rPr>
        <w:t>et al</w:t>
      </w:r>
      <w:r w:rsidRPr="004D27DE">
        <w:t>. (2023), f</w:t>
      </w:r>
      <w:r w:rsidRPr="004D27DE" w:rsidR="00A424C4">
        <w:t xml:space="preserve">or individuals with cognitive </w:t>
      </w:r>
      <w:r w:rsidRPr="004D27DE" w:rsidR="00EA3027">
        <w:t xml:space="preserve">and </w:t>
      </w:r>
      <w:r w:rsidRPr="004D27DE" w:rsidR="00A424C4">
        <w:t>sensory impairments, visual aids</w:t>
      </w:r>
      <w:r w:rsidR="004D27DE">
        <w:t xml:space="preserve"> </w:t>
      </w:r>
      <w:r w:rsidRPr="004D27DE" w:rsidR="00A424C4">
        <w:t>such as picture charts, body language, or technological translation tools</w:t>
      </w:r>
      <w:r w:rsidR="004D27DE">
        <w:t xml:space="preserve"> </w:t>
      </w:r>
      <w:r w:rsidRPr="004D27DE" w:rsidR="00A424C4">
        <w:t xml:space="preserve">serve as alternative </w:t>
      </w:r>
      <w:r w:rsidRPr="004D27DE" w:rsidR="00EA3027">
        <w:t xml:space="preserve">ways for the </w:t>
      </w:r>
      <w:r w:rsidRPr="004D27DE" w:rsidR="00A424C4">
        <w:t xml:space="preserve">communication </w:t>
      </w:r>
      <w:r w:rsidRPr="004D27DE" w:rsidR="00EA3027">
        <w:t>process</w:t>
      </w:r>
      <w:r w:rsidRPr="004D27DE" w:rsidR="00A424C4">
        <w:t>.</w:t>
      </w:r>
      <w:r w:rsidR="004D27DE">
        <w:t xml:space="preserve"> </w:t>
      </w:r>
      <w:r w:rsidRPr="004D27DE" w:rsidR="000F0C31">
        <w:t xml:space="preserve">In the context of the case study of Mrs Thompson, </w:t>
      </w:r>
      <w:r w:rsidRPr="004D27DE" w:rsidR="00360028">
        <w:t>wh</w:t>
      </w:r>
      <w:r w:rsidRPr="004D27DE" w:rsidR="000F0C31">
        <w:t xml:space="preserve">o </w:t>
      </w:r>
      <w:r w:rsidRPr="004D27DE" w:rsidR="00360028">
        <w:t>requires care providers to implement</w:t>
      </w:r>
      <w:r w:rsidRPr="004D27DE" w:rsidR="000F0C31">
        <w:t xml:space="preserve"> regular checks on the medication and </w:t>
      </w:r>
      <w:r w:rsidRPr="004D27DE" w:rsidR="001C5A09">
        <w:t>ensure that proper support is provided to her. The Equality Act 2010 is one of the UK le</w:t>
      </w:r>
      <w:r w:rsidRPr="004D27DE" w:rsidR="00F9424C">
        <w:t>gislative</w:t>
      </w:r>
      <w:r w:rsidR="004D27DE">
        <w:t xml:space="preserve"> </w:t>
      </w:r>
      <w:r w:rsidRPr="004D27DE" w:rsidR="00F9424C">
        <w:t>laws</w:t>
      </w:r>
      <w:r w:rsidRPr="004D27DE" w:rsidR="001C5A09">
        <w:t xml:space="preserve"> that legally protects</w:t>
      </w:r>
      <w:r w:rsidRPr="004D27DE" w:rsidR="00F9424C">
        <w:t xml:space="preserve"> the</w:t>
      </w:r>
      <w:r w:rsidRPr="004D27DE" w:rsidR="001C5A09">
        <w:t xml:space="preserve"> individuals from discrimination, harassment, and victimisation across the workplace a</w:t>
      </w:r>
      <w:r w:rsidRPr="004D27DE" w:rsidR="00F9424C">
        <w:t xml:space="preserve">s well as </w:t>
      </w:r>
      <w:r w:rsidRPr="004D27DE" w:rsidR="001C5A09">
        <w:t xml:space="preserve">in wider </w:t>
      </w:r>
      <w:r w:rsidRPr="004D27DE" w:rsidR="00F9424C">
        <w:t>society</w:t>
      </w:r>
      <w:r w:rsidRPr="004D27DE" w:rsidR="00927471">
        <w:t xml:space="preserve"> (Legislation.gov.uk, 2026)</w:t>
      </w:r>
      <w:r w:rsidRPr="004D27DE" w:rsidR="00F9424C">
        <w:t>. Thus, for Mr</w:t>
      </w:r>
      <w:r w:rsidRPr="004D27DE" w:rsidR="00E90537">
        <w:t xml:space="preserve">s Thompson, the caregivers must ensure to follow the guidelines of the Equality Act 2010to maintain transparency. </w:t>
      </w:r>
    </w:p>
    <w:p w:rsidRPr="004D27DE" w:rsidR="00941D9A" w:rsidP="00360028" w:rsidRDefault="00E90537" w14:paraId="50FB7348" w14:textId="77777777">
      <w:pPr>
        <w:rPr>
          <w:rFonts w:eastAsiaTheme="majorEastAsia" w:cstheme="majorBidi"/>
          <w:b/>
          <w:szCs w:val="40"/>
        </w:rPr>
      </w:pPr>
      <w:r w:rsidRPr="004D27DE">
        <w:t>Apart from that, t</w:t>
      </w:r>
      <w:r w:rsidRPr="004D27DE" w:rsidR="00360028">
        <w:t>hese practices are perfectly demonstrated through the Shannon-Weaver model of communication</w:t>
      </w:r>
      <w:r w:rsidRPr="004D27DE">
        <w:t xml:space="preserve">. </w:t>
      </w:r>
      <w:r w:rsidRPr="004D27DE" w:rsidR="006C64F4">
        <w:t>According to Kusumalatha</w:t>
      </w:r>
      <w:r w:rsidR="004D27DE">
        <w:t xml:space="preserve"> </w:t>
      </w:r>
      <w:r w:rsidRPr="004D27DE" w:rsidR="006C64F4">
        <w:t>(2023), t</w:t>
      </w:r>
      <w:r w:rsidRPr="004D27DE">
        <w:t xml:space="preserve">he </w:t>
      </w:r>
      <w:bookmarkStart w:name="_Hlk234323131" w:id="3"/>
      <w:r w:rsidRPr="004D27DE">
        <w:t xml:space="preserve">Shannon-Weaver </w:t>
      </w:r>
      <w:bookmarkEnd w:id="3"/>
      <w:r w:rsidRPr="004D27DE">
        <w:t xml:space="preserve">model of communication can be referred to as the </w:t>
      </w:r>
      <w:r w:rsidRPr="004D27DE" w:rsidR="00360028">
        <w:t xml:space="preserve">foundational framework </w:t>
      </w:r>
      <w:r w:rsidRPr="004D27DE">
        <w:t>that details</w:t>
      </w:r>
      <w:r w:rsidR="004D27DE">
        <w:t xml:space="preserve"> </w:t>
      </w:r>
      <w:r w:rsidRPr="004D27DE">
        <w:t xml:space="preserve">and analyses the process through which the </w:t>
      </w:r>
      <w:r w:rsidRPr="004D27DE" w:rsidR="00360028">
        <w:t xml:space="preserve">source </w:t>
      </w:r>
      <w:r w:rsidRPr="004D27DE">
        <w:t>converts</w:t>
      </w:r>
      <w:r w:rsidRPr="004D27DE" w:rsidR="00360028">
        <w:t xml:space="preserve"> and transmits a message to a receiver through a specific channel.</w:t>
      </w:r>
      <w:r w:rsidR="004D27DE">
        <w:t xml:space="preserve"> </w:t>
      </w:r>
      <w:r w:rsidRPr="004D27DE">
        <w:t xml:space="preserve">In the reference for the </w:t>
      </w:r>
      <w:r w:rsidRPr="004D27DE" w:rsidR="00360028">
        <w:t>caregiving</w:t>
      </w:r>
      <w:r w:rsidRPr="004D27DE">
        <w:t xml:space="preserve"> sector and as per the context of the Shannon-Weaver communication model, </w:t>
      </w:r>
      <w:r w:rsidRPr="004D27DE" w:rsidR="00360028">
        <w:t xml:space="preserve">the healthcare professional is the information source, while the care recipient </w:t>
      </w:r>
      <w:r w:rsidRPr="004D27DE">
        <w:t>can be referred to as</w:t>
      </w:r>
      <w:r w:rsidRPr="004D27DE" w:rsidR="00360028">
        <w:t xml:space="preserve"> the destination. </w:t>
      </w:r>
      <w:r w:rsidRPr="004D27DE">
        <w:t>On the other hand, the c</w:t>
      </w:r>
      <w:r w:rsidRPr="004D27DE" w:rsidR="00360028">
        <w:t xml:space="preserve">are barriers such as language differences </w:t>
      </w:r>
      <w:r w:rsidRPr="004D27DE">
        <w:t xml:space="preserve">can </w:t>
      </w:r>
      <w:r w:rsidRPr="004D27DE" w:rsidR="00360028">
        <w:t>act as semantic</w:t>
      </w:r>
      <w:r w:rsidRPr="004D27DE">
        <w:t xml:space="preserve"> barriers and obstacles that leads to the poor delivery of the</w:t>
      </w:r>
      <w:r w:rsidRPr="004D27DE" w:rsidR="00360028">
        <w:t xml:space="preserve"> message </w:t>
      </w:r>
      <w:r w:rsidRPr="004D27DE">
        <w:t>to the</w:t>
      </w:r>
      <w:r w:rsidRPr="004D27DE" w:rsidR="00360028">
        <w:t xml:space="preserve"> patient.</w:t>
      </w:r>
      <w:r w:rsidRPr="004D27DE">
        <w:t xml:space="preserve"> As a consequence of this, it leads to the communication gap between the </w:t>
      </w:r>
      <w:r w:rsidRPr="004D27DE" w:rsidR="00FC68DB">
        <w:t>caregiver</w:t>
      </w:r>
      <w:r w:rsidRPr="004D27DE">
        <w:t xml:space="preserve"> and </w:t>
      </w:r>
      <w:r w:rsidRPr="004D27DE" w:rsidR="00BF7F56">
        <w:t xml:space="preserve">the </w:t>
      </w:r>
      <w:r w:rsidRPr="004D27DE">
        <w:t>patients. In order t</w:t>
      </w:r>
      <w:r w:rsidRPr="004D27DE" w:rsidR="00360028">
        <w:t xml:space="preserve">o overcome </w:t>
      </w:r>
      <w:r w:rsidRPr="004D27DE" w:rsidR="00FC68DB">
        <w:t>these</w:t>
      </w:r>
      <w:r w:rsidR="004D27DE">
        <w:t xml:space="preserve"> </w:t>
      </w:r>
      <w:r w:rsidRPr="004D27DE" w:rsidR="00FC68DB">
        <w:t>challenges</w:t>
      </w:r>
      <w:r w:rsidRPr="004D27DE" w:rsidR="00360028">
        <w:t xml:space="preserve"> and avoid misunderstandings, </w:t>
      </w:r>
      <w:r w:rsidRPr="004D27DE" w:rsidR="00FC68DB">
        <w:t xml:space="preserve">the </w:t>
      </w:r>
      <w:r w:rsidRPr="004D27DE" w:rsidR="00360028">
        <w:t xml:space="preserve">care workers must modify their </w:t>
      </w:r>
      <w:r w:rsidRPr="004D27DE" w:rsidR="00FC68DB">
        <w:t>communication</w:t>
      </w:r>
      <w:r w:rsidRPr="004D27DE" w:rsidR="00360028">
        <w:t xml:space="preserve"> process. </w:t>
      </w:r>
      <w:r w:rsidRPr="004D27DE" w:rsidR="00FC68DB">
        <w:t>Thus, they can use several different</w:t>
      </w:r>
      <w:r w:rsidRPr="004D27DE" w:rsidR="00360028">
        <w:t xml:space="preserve"> channels</w:t>
      </w:r>
      <w:r w:rsidRPr="004D27DE" w:rsidR="00FC68DB">
        <w:t xml:space="preserve">, such as </w:t>
      </w:r>
      <w:r w:rsidRPr="004D27DE" w:rsidR="00360028">
        <w:t>interpreters or visual aids</w:t>
      </w:r>
      <w:r w:rsidRPr="004D27DE" w:rsidR="00FC68DB">
        <w:t xml:space="preserve">. This can help to </w:t>
      </w:r>
      <w:r w:rsidRPr="004D27DE" w:rsidR="00360028">
        <w:t xml:space="preserve">ensure the </w:t>
      </w:r>
      <w:r w:rsidRPr="004D27DE" w:rsidR="00FC68DB">
        <w:t>messages are</w:t>
      </w:r>
      <w:r w:rsidRPr="004D27DE" w:rsidR="00360028">
        <w:t xml:space="preserve"> properly decoded and understood</w:t>
      </w:r>
      <w:r w:rsidRPr="004D27DE" w:rsidR="00FC68DB">
        <w:t xml:space="preserve"> by the patients.</w:t>
      </w:r>
      <w:r w:rsidR="004D27DE">
        <w:t xml:space="preserve"> </w:t>
      </w:r>
      <w:r w:rsidRPr="004D27DE" w:rsidR="00FC68DB">
        <w:lastRenderedPageBreak/>
        <w:t>Eventually</w:t>
      </w:r>
      <w:r w:rsidRPr="004D27DE" w:rsidR="00360028">
        <w:t>,</w:t>
      </w:r>
      <w:r w:rsidRPr="004D27DE" w:rsidR="00FC68DB">
        <w:t xml:space="preserve"> by</w:t>
      </w:r>
      <w:r w:rsidRPr="004D27DE" w:rsidR="00360028">
        <w:t xml:space="preserve"> applying this model</w:t>
      </w:r>
      <w:r w:rsidRPr="004D27DE" w:rsidR="00FC68DB">
        <w:t xml:space="preserve"> and following the law, it</w:t>
      </w:r>
      <w:r w:rsidRPr="004D27DE" w:rsidR="00360028">
        <w:t xml:space="preserve"> highlights the importance of adapting the message</w:t>
      </w:r>
      <w:r w:rsidRPr="004D27DE" w:rsidR="00FC68DB">
        <w:t xml:space="preserve"> while ensuring that the practices of the caregivers</w:t>
      </w:r>
      <w:r w:rsidRPr="004D27DE" w:rsidR="00360028">
        <w:t xml:space="preserve"> directly </w:t>
      </w:r>
      <w:r w:rsidRPr="004D27DE" w:rsidR="00FC68DB">
        <w:t>align</w:t>
      </w:r>
      <w:r w:rsidRPr="004D27DE" w:rsidR="00360028">
        <w:t xml:space="preserve"> with successful</w:t>
      </w:r>
      <w:r w:rsidRPr="004D27DE" w:rsidR="00FC68DB">
        <w:t xml:space="preserve"> and</w:t>
      </w:r>
      <w:r w:rsidRPr="004D27DE" w:rsidR="00360028">
        <w:t xml:space="preserve"> compassionate care</w:t>
      </w:r>
      <w:r w:rsidRPr="004D27DE" w:rsidR="00FC68DB">
        <w:t xml:space="preserve">. </w:t>
      </w:r>
      <w:r w:rsidRPr="004D27DE" w:rsidR="00941D9A">
        <w:br w:type="page"/>
      </w:r>
    </w:p>
    <w:p w:rsidRPr="00406568" w:rsidR="00BF6800" w:rsidP="00BF6800" w:rsidRDefault="00BF6800" w14:paraId="19091B6A" w14:textId="77777777">
      <w:pPr>
        <w:pStyle w:val="Heading1"/>
        <w:rPr>
          <w:color w:val="4472C4" w:themeColor="accent1"/>
          <w:sz w:val="28"/>
          <w:szCs w:val="28"/>
        </w:rPr>
      </w:pPr>
      <w:bookmarkStart w:name="_Toc235113135" w:id="4"/>
      <w:r w:rsidRPr="00406568">
        <w:rPr>
          <w:color w:val="4472C4" w:themeColor="accent1"/>
          <w:sz w:val="28"/>
          <w:szCs w:val="28"/>
        </w:rPr>
        <w:lastRenderedPageBreak/>
        <w:t>Section 2: Administrative Skills &amp; Record Keeping</w:t>
      </w:r>
      <w:bookmarkEnd w:id="4"/>
      <w:r w:rsidRPr="00406568">
        <w:rPr>
          <w:color w:val="4472C4" w:themeColor="accent1"/>
          <w:sz w:val="28"/>
          <w:szCs w:val="28"/>
        </w:rPr>
        <w:t xml:space="preserve">  </w:t>
      </w:r>
    </w:p>
    <w:p w:rsidRPr="004D27DE" w:rsidR="006C1D44" w:rsidP="006C1D44" w:rsidRDefault="00BE6840" w14:paraId="7E7745F7" w14:textId="208F5F09">
      <w:r w:rsidRPr="004D27DE">
        <w:t>As mentioned by Devi</w:t>
      </w:r>
      <w:r w:rsidR="0002053C">
        <w:t xml:space="preserve"> </w:t>
      </w:r>
      <w:r w:rsidRPr="004D27DE">
        <w:t>(2025), a</w:t>
      </w:r>
      <w:r w:rsidRPr="004D27DE" w:rsidR="0065107B">
        <w:t xml:space="preserve">ccurate documentation plays a critical role </w:t>
      </w:r>
      <w:r w:rsidRPr="004D27DE" w:rsidR="000769C8">
        <w:t>in</w:t>
      </w:r>
      <w:r w:rsidRPr="004D27DE" w:rsidR="0065107B">
        <w:t xml:space="preserve"> ensuring clarity as well as safety, and accountability across all industries. In the context </w:t>
      </w:r>
      <w:r w:rsidRPr="004D27DE" w:rsidR="000769C8">
        <w:t>of the health</w:t>
      </w:r>
      <w:r w:rsidRPr="004D27DE" w:rsidR="0065107B">
        <w:t xml:space="preserve"> care sector, it </w:t>
      </w:r>
      <w:r w:rsidRPr="004D27DE" w:rsidR="00AD1A16">
        <w:t>can be</w:t>
      </w:r>
      <w:r w:rsidRPr="004D27DE" w:rsidR="000769C8">
        <w:t xml:space="preserve"> beneficial for fostering a more effective and</w:t>
      </w:r>
      <w:r w:rsidRPr="004D27DE" w:rsidR="0065107B">
        <w:t xml:space="preserve"> seamless communication and continuity</w:t>
      </w:r>
      <w:r w:rsidRPr="004D27DE" w:rsidR="000769C8">
        <w:t>. Apart from that, it can also help to</w:t>
      </w:r>
      <w:r w:rsidR="004D27DE">
        <w:t xml:space="preserve"> </w:t>
      </w:r>
      <w:r w:rsidRPr="004D27DE" w:rsidR="000769C8">
        <w:t>allow the</w:t>
      </w:r>
      <w:r w:rsidRPr="004D27DE" w:rsidR="0065107B">
        <w:t xml:space="preserve"> teams to collaborate </w:t>
      </w:r>
      <w:r w:rsidRPr="004D27DE" w:rsidR="000769C8">
        <w:t xml:space="preserve">more </w:t>
      </w:r>
      <w:r w:rsidRPr="004D27DE" w:rsidR="0065107B">
        <w:t>effectively</w:t>
      </w:r>
      <w:r w:rsidRPr="004D27DE" w:rsidR="000769C8">
        <w:t xml:space="preserve"> and structurally</w:t>
      </w:r>
      <w:r w:rsidRPr="004D27DE" w:rsidR="0065107B">
        <w:t xml:space="preserve">. </w:t>
      </w:r>
      <w:r w:rsidRPr="004D27DE" w:rsidR="000769C8">
        <w:t>The p</w:t>
      </w:r>
      <w:r w:rsidRPr="004D27DE" w:rsidR="0065107B">
        <w:t xml:space="preserve">recise records </w:t>
      </w:r>
      <w:r w:rsidRPr="004D27DE" w:rsidR="000769C8">
        <w:t xml:space="preserve">can </w:t>
      </w:r>
      <w:r w:rsidRPr="004D27DE" w:rsidR="003F09B8">
        <w:t>efficiently</w:t>
      </w:r>
      <w:r w:rsidR="004D27DE">
        <w:t xml:space="preserve"> </w:t>
      </w:r>
      <w:r w:rsidRPr="004D27DE" w:rsidR="0065107B">
        <w:t xml:space="preserve">empower </w:t>
      </w:r>
      <w:r w:rsidRPr="004D27DE" w:rsidR="00AC4C3B">
        <w:t xml:space="preserve">various </w:t>
      </w:r>
      <w:r w:rsidRPr="004D27DE" w:rsidR="0065107B">
        <w:t xml:space="preserve">informed decision-making and significantly reduce preventable errors, whether in healthcare, administration, or business. </w:t>
      </w:r>
    </w:p>
    <w:p w:rsidR="00D648E6" w:rsidP="006C1D44" w:rsidRDefault="00781720" w14:paraId="40C40D5E" w14:textId="77777777">
      <w:r w:rsidRPr="004D27DE">
        <w:t>Besides</w:t>
      </w:r>
      <w:r w:rsidRPr="004D27DE" w:rsidR="003F09B8">
        <w:t xml:space="preserve"> this</w:t>
      </w:r>
      <w:r w:rsidRPr="004D27DE" w:rsidR="0065107B">
        <w:t>, well-maintained documentation</w:t>
      </w:r>
      <w:r w:rsidRPr="004D27DE" w:rsidR="00AC4C3B">
        <w:t xml:space="preserve"> can</w:t>
      </w:r>
      <w:r w:rsidR="004D27DE">
        <w:t xml:space="preserve"> </w:t>
      </w:r>
      <w:r w:rsidRPr="004D27DE" w:rsidR="00AC4C3B">
        <w:t>help to protect</w:t>
      </w:r>
      <w:r w:rsidRPr="004D27DE" w:rsidR="0065107B">
        <w:t xml:space="preserve"> individuals and organisations from legal disputes</w:t>
      </w:r>
      <w:r w:rsidRPr="004D27DE" w:rsidR="00AC4C3B">
        <w:t xml:space="preserve">, along with the </w:t>
      </w:r>
      <w:r w:rsidRPr="004D27DE" w:rsidR="0065107B">
        <w:t xml:space="preserve">regulatory penalties, and financial </w:t>
      </w:r>
      <w:r w:rsidRPr="004D27DE" w:rsidR="00AC4C3B">
        <w:t>inconsistencies</w:t>
      </w:r>
      <w:r w:rsidRPr="004D27DE" w:rsidR="0065107B">
        <w:t xml:space="preserve"> by providing indisputable evidence of actions </w:t>
      </w:r>
      <w:r w:rsidRPr="004D27DE" w:rsidR="00AC4C3B">
        <w:t xml:space="preserve">that are </w:t>
      </w:r>
      <w:r w:rsidRPr="004D27DE" w:rsidR="0065107B">
        <w:t xml:space="preserve">taken and services </w:t>
      </w:r>
      <w:r w:rsidRPr="004D27DE" w:rsidR="00AC4C3B">
        <w:t xml:space="preserve">offered. Therefore, the health sector can follow the principles of the Data Protection Act 2018 to ensure to maintain its ethical standards and respect. The Data Protection Act 2018is one of the UK’s primary privacy </w:t>
      </w:r>
      <w:r w:rsidRPr="004D27DE" w:rsidR="00AE46AC">
        <w:t>laws</w:t>
      </w:r>
      <w:r w:rsidRPr="004D27DE" w:rsidR="00AC4C3B">
        <w:t xml:space="preserve"> that ensures to safeguards personal data a</w:t>
      </w:r>
      <w:r w:rsidRPr="004D27DE" w:rsidR="00AE46AC">
        <w:t>s well as</w:t>
      </w:r>
      <w:r w:rsidR="004D27DE">
        <w:t xml:space="preserve"> </w:t>
      </w:r>
      <w:r w:rsidRPr="004D27DE" w:rsidR="00AE46AC">
        <w:t>enforcing</w:t>
      </w:r>
      <w:r w:rsidRPr="004D27DE" w:rsidR="00AC4C3B">
        <w:t xml:space="preserve"> standards</w:t>
      </w:r>
      <w:r w:rsidRPr="004D27DE" w:rsidR="00927471">
        <w:t xml:space="preserve"> (Legislation.gov.uk, 2026)</w:t>
      </w:r>
      <w:r w:rsidRPr="004D27DE" w:rsidR="00AC4C3B">
        <w:t>.</w:t>
      </w:r>
      <w:r w:rsidRPr="004D27DE" w:rsidR="00E95FA2">
        <w:t xml:space="preserve"> Thus, it can help the healthcare sector to have the ethical ways of</w:t>
      </w:r>
      <w:r w:rsidR="004D27DE">
        <w:t xml:space="preserve"> </w:t>
      </w:r>
      <w:r w:rsidRPr="004D27DE" w:rsidR="00E95FA2">
        <w:t>collecting</w:t>
      </w:r>
      <w:r w:rsidRPr="004D27DE" w:rsidR="00AC4C3B">
        <w:t xml:space="preserve">, </w:t>
      </w:r>
      <w:r w:rsidRPr="004D27DE" w:rsidR="00E95FA2">
        <w:t>storing</w:t>
      </w:r>
      <w:r w:rsidRPr="004D27DE" w:rsidR="00AC4C3B">
        <w:t xml:space="preserve">, and </w:t>
      </w:r>
      <w:r w:rsidRPr="004D27DE" w:rsidR="00E95FA2">
        <w:t>processing</w:t>
      </w:r>
      <w:r w:rsidRPr="004D27DE" w:rsidR="00AC4C3B">
        <w:t xml:space="preserve"> information</w:t>
      </w:r>
      <w:r w:rsidRPr="004D27DE" w:rsidR="00E95FA2">
        <w:t xml:space="preserve"> about the patients. This can be beneficial for </w:t>
      </w:r>
      <w:r w:rsidRPr="004D27DE" w:rsidR="00AC4C3B">
        <w:t xml:space="preserve">ensuring fairness, transparency, and accountability. </w:t>
      </w:r>
    </w:p>
    <w:p w:rsidR="00BF6800" w:rsidP="00BF6800" w:rsidRDefault="00BF6800" w14:paraId="6101C2E3" w14:textId="77777777">
      <w:r w:rsidRPr="006A4900">
        <w:t>Poor record-keeping in healthcare fundamentally endangers patient safety and can lead to some serious damage</w:t>
      </w:r>
      <w:r>
        <w:t xml:space="preserve"> (</w:t>
      </w:r>
      <w:proofErr w:type="spellStart"/>
      <w:r w:rsidRPr="006A4900">
        <w:t>Almotairi</w:t>
      </w:r>
      <w:proofErr w:type="spellEnd"/>
      <w:r>
        <w:t xml:space="preserve"> </w:t>
      </w:r>
      <w:r w:rsidRPr="006A4900">
        <w:rPr>
          <w:i/>
          <w:iCs/>
        </w:rPr>
        <w:t>et al.,</w:t>
      </w:r>
      <w:r>
        <w:t xml:space="preserve"> 2024)</w:t>
      </w:r>
      <w:r w:rsidRPr="006A4900">
        <w:t>. It</w:t>
      </w:r>
      <w:r>
        <w:t xml:space="preserve"> is initiated by</w:t>
      </w:r>
      <w:r w:rsidRPr="004B5568">
        <w:t xml:space="preserve"> confusing </w:t>
      </w:r>
      <w:r>
        <w:t>important</w:t>
      </w:r>
      <w:r w:rsidRPr="004B5568">
        <w:t xml:space="preserve"> histories, which can trigger medication errors and misdiagnoses. In </w:t>
      </w:r>
      <w:r>
        <w:t xml:space="preserve">the context of </w:t>
      </w:r>
      <w:r w:rsidRPr="004B5568">
        <w:t xml:space="preserve">legal disputes, missing or inaccurate documentation </w:t>
      </w:r>
      <w:r>
        <w:t xml:space="preserve">can lead to a situation that </w:t>
      </w:r>
      <w:r w:rsidRPr="004B5568">
        <w:t xml:space="preserve">leaves clinicians </w:t>
      </w:r>
      <w:r>
        <w:t>defenceless</w:t>
      </w:r>
      <w:r w:rsidRPr="004B5568">
        <w:t xml:space="preserve">, as the legal standard dictates that undocumented care is equivalent to </w:t>
      </w:r>
      <w:r>
        <w:t xml:space="preserve">the </w:t>
      </w:r>
      <w:r w:rsidRPr="004B5568">
        <w:t xml:space="preserve">undone care. </w:t>
      </w:r>
      <w:r>
        <w:t>Besides this</w:t>
      </w:r>
      <w:r w:rsidRPr="004B5568">
        <w:t xml:space="preserve">, </w:t>
      </w:r>
      <w:r>
        <w:t>the disorganised</w:t>
      </w:r>
      <w:r w:rsidRPr="004B5568">
        <w:t xml:space="preserve"> records </w:t>
      </w:r>
      <w:r>
        <w:t xml:space="preserve">can </w:t>
      </w:r>
      <w:r w:rsidRPr="004B5568">
        <w:t>cause administrative inefficiencies</w:t>
      </w:r>
      <w:r>
        <w:t xml:space="preserve"> while also leading to the </w:t>
      </w:r>
      <w:r w:rsidRPr="004B5568">
        <w:t>severe financial losses through denied billing claims</w:t>
      </w:r>
      <w:r>
        <w:t xml:space="preserve">. Apart from that, it can also lead to the </w:t>
      </w:r>
      <w:r w:rsidRPr="004B5568">
        <w:t>loss of public trust.</w:t>
      </w:r>
      <w:r>
        <w:t xml:space="preserve"> Thus, m</w:t>
      </w:r>
      <w:r w:rsidRPr="004B5568">
        <w:t>aintaining comprehensive</w:t>
      </w:r>
      <w:r>
        <w:t xml:space="preserve"> and structural</w:t>
      </w:r>
      <w:r w:rsidRPr="004B5568">
        <w:t xml:space="preserve"> health documentation is </w:t>
      </w:r>
      <w:r>
        <w:t xml:space="preserve">important. </w:t>
      </w:r>
    </w:p>
    <w:p w:rsidRPr="006A4900" w:rsidR="00BF6800" w:rsidP="00BF6800" w:rsidRDefault="00BF6800" w14:paraId="1B9E5708" w14:textId="77777777">
      <w:r>
        <w:t xml:space="preserve">Thus, the healthcare industry can </w:t>
      </w:r>
      <w:r w:rsidRPr="006A4900">
        <w:t>follow the guidelines of the Caldicott Principles so as to ensure its transparency and compliance. The Caldicott Principles can be defined as the set of eight guidelines that are used to handle and share the confidential health and care information</w:t>
      </w:r>
      <w:r>
        <w:t xml:space="preserve"> (</w:t>
      </w:r>
      <w:r w:rsidRPr="006A4900">
        <w:t>Cornock,</w:t>
      </w:r>
      <w:r>
        <w:t xml:space="preserve"> </w:t>
      </w:r>
      <w:r w:rsidRPr="006A4900">
        <w:t>2023).</w:t>
      </w:r>
      <w:r w:rsidRPr="00774423">
        <w:t xml:space="preserve"> </w:t>
      </w:r>
      <w:r>
        <w:t xml:space="preserve">The function of this framework is to </w:t>
      </w:r>
      <w:r w:rsidRPr="00774423">
        <w:t>ensure</w:t>
      </w:r>
      <w:r>
        <w:t xml:space="preserve"> that the</w:t>
      </w:r>
      <w:r w:rsidRPr="00774423">
        <w:t xml:space="preserve"> </w:t>
      </w:r>
      <w:r>
        <w:t>organisations</w:t>
      </w:r>
      <w:r w:rsidRPr="00774423">
        <w:t xml:space="preserve"> </w:t>
      </w:r>
      <w:r>
        <w:t xml:space="preserve">can </w:t>
      </w:r>
      <w:r w:rsidRPr="00774423">
        <w:t>justify their purpose</w:t>
      </w:r>
      <w:r>
        <w:t xml:space="preserve"> while also minimising</w:t>
      </w:r>
      <w:r w:rsidRPr="00774423">
        <w:t xml:space="preserve"> data usage</w:t>
      </w:r>
      <w:r>
        <w:t xml:space="preserve">. It also helps to </w:t>
      </w:r>
      <w:r w:rsidRPr="00774423">
        <w:t>enforce</w:t>
      </w:r>
      <w:r>
        <w:t xml:space="preserve"> various</w:t>
      </w:r>
      <w:r w:rsidRPr="00774423">
        <w:t xml:space="preserve"> strict need-to-know access, comply with the law, and balance the duty </w:t>
      </w:r>
      <w:r>
        <w:t xml:space="preserve">in order </w:t>
      </w:r>
      <w:r w:rsidRPr="00774423">
        <w:t xml:space="preserve">to protect privacy with the </w:t>
      </w:r>
      <w:r w:rsidRPr="006A4900">
        <w:t xml:space="preserve">duty to share information for care. </w:t>
      </w:r>
    </w:p>
    <w:p w:rsidR="00BF6800" w:rsidP="00BF6800" w:rsidRDefault="00BF6800" w14:paraId="247D9C35" w14:textId="77777777">
      <w:r w:rsidRPr="006A4900">
        <w:t xml:space="preserve">In addition, the Care Quality Commission (CQC) refers to the commission that is used to regulate English health and social care services using five primary and core standards: </w:t>
      </w:r>
      <w:r w:rsidRPr="006A4900">
        <w:lastRenderedPageBreak/>
        <w:t xml:space="preserve">analysing if care is </w:t>
      </w:r>
      <w:r w:rsidRPr="006A4900">
        <w:rPr>
          <w:b/>
          <w:bCs/>
          <w:i/>
          <w:iCs/>
        </w:rPr>
        <w:t>safe, effective, caring, responsive, and well-led</w:t>
      </w:r>
      <w:r>
        <w:rPr>
          <w:b/>
          <w:bCs/>
          <w:i/>
          <w:iCs/>
        </w:rPr>
        <w:t xml:space="preserve"> </w:t>
      </w:r>
      <w:r w:rsidRPr="006A4900">
        <w:t>(Bach-Mortensen</w:t>
      </w:r>
      <w:r>
        <w:t xml:space="preserve">, </w:t>
      </w:r>
      <w:r w:rsidRPr="006A4900">
        <w:t>Goodair</w:t>
      </w:r>
      <w:r>
        <w:t xml:space="preserve"> and</w:t>
      </w:r>
      <w:r w:rsidRPr="006A4900">
        <w:t xml:space="preserve"> Degli Esposti</w:t>
      </w:r>
      <w:r>
        <w:t xml:space="preserve">, </w:t>
      </w:r>
      <w:r w:rsidRPr="006A4900">
        <w:t>2024).</w:t>
      </w:r>
      <w:r>
        <w:t xml:space="preserve"> Therefore, in the case study of </w:t>
      </w:r>
      <w:r w:rsidRPr="00C471D4">
        <w:t>Mrs Thompson</w:t>
      </w:r>
      <w:r>
        <w:t>, the care service p</w:t>
      </w:r>
      <w:r w:rsidRPr="00C471D4">
        <w:t>roviders must maintain</w:t>
      </w:r>
      <w:r>
        <w:t xml:space="preserve"> the</w:t>
      </w:r>
      <w:r w:rsidRPr="00C471D4">
        <w:t xml:space="preserve"> fundamental standards</w:t>
      </w:r>
      <w:r>
        <w:t xml:space="preserve"> that </w:t>
      </w:r>
      <w:r w:rsidRPr="00C471D4">
        <w:t>includ</w:t>
      </w:r>
      <w:r>
        <w:t>es the</w:t>
      </w:r>
      <w:r w:rsidRPr="00C471D4">
        <w:t xml:space="preserve"> person-centred care</w:t>
      </w:r>
      <w:r>
        <w:t xml:space="preserve">, along with </w:t>
      </w:r>
      <w:r w:rsidRPr="00C471D4">
        <w:t>staff transparency and safeguarding</w:t>
      </w:r>
      <w:r>
        <w:t xml:space="preserve">. The purpose of this is </w:t>
      </w:r>
      <w:r w:rsidRPr="00C471D4">
        <w:t>to ensure high-quality service user experiences</w:t>
      </w:r>
      <w:r>
        <w:t xml:space="preserve">. </w:t>
      </w:r>
    </w:p>
    <w:p w:rsidR="00BF6800" w:rsidP="00BF6800" w:rsidRDefault="00BF6800" w14:paraId="01DE6FFB" w14:textId="77777777">
      <w:pPr>
        <w:spacing w:line="278" w:lineRule="auto"/>
        <w:jc w:val="left"/>
        <w:rPr>
          <w:b/>
          <w:bCs/>
        </w:rPr>
      </w:pPr>
      <w:r>
        <w:rPr>
          <w:b/>
          <w:bCs/>
        </w:rPr>
        <w:br w:type="page"/>
      </w:r>
    </w:p>
    <w:p w:rsidRPr="00406568" w:rsidR="00BF6800" w:rsidP="00BF6800" w:rsidRDefault="00BF6800" w14:paraId="4D7A91AD" w14:textId="77777777">
      <w:pPr>
        <w:pStyle w:val="Heading1"/>
        <w:rPr>
          <w:color w:val="4472C4" w:themeColor="accent1"/>
          <w:sz w:val="28"/>
          <w:szCs w:val="28"/>
        </w:rPr>
      </w:pPr>
      <w:bookmarkStart w:name="_Toc235113136" w:id="5"/>
      <w:r w:rsidRPr="00406568">
        <w:rPr>
          <w:color w:val="4472C4" w:themeColor="accent1"/>
          <w:sz w:val="28"/>
          <w:szCs w:val="28"/>
        </w:rPr>
        <w:lastRenderedPageBreak/>
        <w:t>Section 3: Collaborative Working</w:t>
      </w:r>
      <w:bookmarkEnd w:id="5"/>
      <w:r w:rsidRPr="00406568">
        <w:rPr>
          <w:color w:val="4472C4" w:themeColor="accent1"/>
          <w:sz w:val="28"/>
          <w:szCs w:val="28"/>
        </w:rPr>
        <w:t xml:space="preserve"> </w:t>
      </w:r>
    </w:p>
    <w:p w:rsidRPr="00245E7D" w:rsidR="00BF6800" w:rsidP="00BF6800" w:rsidRDefault="00BF6800" w14:paraId="72337B1B" w14:textId="77777777">
      <w:pPr>
        <w:rPr>
          <w:lang w:val="en-IN"/>
        </w:rPr>
      </w:pPr>
      <w:r w:rsidRPr="00245E7D">
        <w:rPr>
          <w:lang w:val="en-IN"/>
        </w:rPr>
        <w:t xml:space="preserve">Multi-agency collaboration </w:t>
      </w:r>
      <w:r w:rsidRPr="005B1928">
        <w:rPr>
          <w:lang w:val="en-IN"/>
        </w:rPr>
        <w:t>plays a crucial role</w:t>
      </w:r>
      <w:r w:rsidRPr="00245E7D">
        <w:rPr>
          <w:lang w:val="en-IN"/>
        </w:rPr>
        <w:t xml:space="preserve"> </w:t>
      </w:r>
      <w:r w:rsidRPr="005B1928">
        <w:rPr>
          <w:lang w:val="en-IN"/>
        </w:rPr>
        <w:t>in</w:t>
      </w:r>
      <w:r w:rsidRPr="00245E7D">
        <w:rPr>
          <w:lang w:val="en-IN"/>
        </w:rPr>
        <w:t xml:space="preserve"> addressing complex needs in </w:t>
      </w:r>
      <w:r w:rsidRPr="005B1928">
        <w:rPr>
          <w:lang w:val="en-IN"/>
        </w:rPr>
        <w:t xml:space="preserve">the </w:t>
      </w:r>
      <w:r w:rsidRPr="00245E7D">
        <w:rPr>
          <w:lang w:val="en-IN"/>
        </w:rPr>
        <w:t>healthcare, social care, and crisis management</w:t>
      </w:r>
      <w:r>
        <w:rPr>
          <w:lang w:val="en-IN"/>
        </w:rPr>
        <w:t xml:space="preserve"> (</w:t>
      </w:r>
      <w:r w:rsidRPr="005B1928">
        <w:rPr>
          <w:lang w:val="en-IN"/>
        </w:rPr>
        <w:t>Davidson</w:t>
      </w:r>
      <w:r>
        <w:rPr>
          <w:lang w:val="en-IN"/>
        </w:rPr>
        <w:t xml:space="preserve"> </w:t>
      </w:r>
      <w:r w:rsidRPr="00EA34D6">
        <w:rPr>
          <w:i/>
          <w:iCs/>
          <w:lang w:val="en-IN"/>
        </w:rPr>
        <w:t>et al</w:t>
      </w:r>
      <w:r>
        <w:rPr>
          <w:lang w:val="en-IN"/>
        </w:rPr>
        <w:t>., 2025)</w:t>
      </w:r>
      <w:r w:rsidRPr="00245E7D">
        <w:rPr>
          <w:lang w:val="en-IN"/>
        </w:rPr>
        <w:t>. It</w:t>
      </w:r>
      <w:r>
        <w:rPr>
          <w:lang w:val="en-IN"/>
        </w:rPr>
        <w:t xml:space="preserve">s purpose is to </w:t>
      </w:r>
      <w:r w:rsidRPr="00245E7D">
        <w:rPr>
          <w:lang w:val="en-IN"/>
        </w:rPr>
        <w:t>ensure</w:t>
      </w:r>
      <w:r>
        <w:rPr>
          <w:lang w:val="en-IN"/>
        </w:rPr>
        <w:t xml:space="preserve"> more</w:t>
      </w:r>
      <w:r w:rsidRPr="00245E7D">
        <w:rPr>
          <w:lang w:val="en-IN"/>
        </w:rPr>
        <w:t xml:space="preserve"> complete support, </w:t>
      </w:r>
      <w:r>
        <w:rPr>
          <w:lang w:val="en-IN"/>
        </w:rPr>
        <w:t>reduce</w:t>
      </w:r>
      <w:r w:rsidRPr="00245E7D">
        <w:rPr>
          <w:lang w:val="en-IN"/>
        </w:rPr>
        <w:t xml:space="preserve"> service duplication, and</w:t>
      </w:r>
      <w:r>
        <w:rPr>
          <w:lang w:val="en-IN"/>
        </w:rPr>
        <w:t xml:space="preserve"> also</w:t>
      </w:r>
      <w:r w:rsidRPr="00245E7D">
        <w:rPr>
          <w:lang w:val="en-IN"/>
        </w:rPr>
        <w:t xml:space="preserve"> </w:t>
      </w:r>
      <w:r>
        <w:rPr>
          <w:lang w:val="en-IN"/>
        </w:rPr>
        <w:t xml:space="preserve">to improve the overall </w:t>
      </w:r>
      <w:r w:rsidRPr="00245E7D">
        <w:rPr>
          <w:lang w:val="en-IN"/>
        </w:rPr>
        <w:t xml:space="preserve">outcomes by uniting </w:t>
      </w:r>
      <w:r>
        <w:rPr>
          <w:lang w:val="en-IN"/>
        </w:rPr>
        <w:t xml:space="preserve">the </w:t>
      </w:r>
      <w:r w:rsidRPr="00245E7D">
        <w:rPr>
          <w:lang w:val="en-IN"/>
        </w:rPr>
        <w:t xml:space="preserve">professionals across disciplines. </w:t>
      </w:r>
    </w:p>
    <w:p w:rsidRPr="00245E7D" w:rsidR="00BF6800" w:rsidP="00BF6800" w:rsidRDefault="00BF6800" w14:paraId="3C06A2CF" w14:textId="77777777">
      <w:pPr>
        <w:rPr>
          <w:b/>
          <w:bCs/>
          <w:lang w:val="en-IN"/>
        </w:rPr>
      </w:pPr>
      <w:r>
        <w:rPr>
          <w:b/>
          <w:bCs/>
          <w:lang w:val="en-IN"/>
        </w:rPr>
        <w:t>Primary</w:t>
      </w:r>
      <w:r w:rsidRPr="00245E7D">
        <w:rPr>
          <w:b/>
          <w:bCs/>
          <w:lang w:val="en-IN"/>
        </w:rPr>
        <w:t xml:space="preserve"> Approaches</w:t>
      </w:r>
    </w:p>
    <w:p w:rsidRPr="00245E7D" w:rsidR="00BF6800" w:rsidP="00BF6800" w:rsidRDefault="00BF6800" w14:paraId="65A0BD88" w14:textId="7A0989B3">
      <w:pPr>
        <w:rPr>
          <w:lang w:val="en-IN"/>
        </w:rPr>
      </w:pPr>
      <w:r w:rsidRPr="00245E7D">
        <w:rPr>
          <w:b/>
          <w:bCs/>
          <w:i/>
          <w:iCs/>
          <w:lang w:val="en-IN"/>
        </w:rPr>
        <w:t>Shared Care Plans</w:t>
      </w:r>
      <w:r w:rsidRPr="00245E7D">
        <w:rPr>
          <w:b/>
          <w:bCs/>
          <w:lang w:val="en-IN"/>
        </w:rPr>
        <w:t>:</w:t>
      </w:r>
      <w:r w:rsidRPr="00245E7D">
        <w:rPr>
          <w:lang w:val="en-IN"/>
        </w:rPr>
        <w:t xml:space="preserve"> These </w:t>
      </w:r>
      <w:r>
        <w:rPr>
          <w:lang w:val="en-IN"/>
        </w:rPr>
        <w:t>centralised and</w:t>
      </w:r>
      <w:r w:rsidRPr="00245E7D">
        <w:rPr>
          <w:lang w:val="en-IN"/>
        </w:rPr>
        <w:t xml:space="preserve"> dynamic records</w:t>
      </w:r>
      <w:r>
        <w:rPr>
          <w:lang w:val="en-IN"/>
        </w:rPr>
        <w:t xml:space="preserve"> can be used to</w:t>
      </w:r>
      <w:r w:rsidRPr="00245E7D">
        <w:rPr>
          <w:lang w:val="en-IN"/>
        </w:rPr>
        <w:t xml:space="preserve"> outline an individual's goals</w:t>
      </w:r>
      <w:r>
        <w:rPr>
          <w:lang w:val="en-IN"/>
        </w:rPr>
        <w:t xml:space="preserve"> along with the necessary </w:t>
      </w:r>
      <w:r w:rsidRPr="00245E7D">
        <w:rPr>
          <w:lang w:val="en-IN"/>
        </w:rPr>
        <w:t xml:space="preserve">interventions, and the specific responsibilities of each agency. </w:t>
      </w:r>
      <w:r>
        <w:rPr>
          <w:lang w:val="en-IN"/>
        </w:rPr>
        <w:t xml:space="preserve">In the context </w:t>
      </w:r>
      <w:r w:rsidR="00AD1A16">
        <w:rPr>
          <w:lang w:val="en-IN"/>
        </w:rPr>
        <w:t xml:space="preserve">of </w:t>
      </w:r>
      <w:r w:rsidRPr="00245E7D" w:rsidR="00AD1A16">
        <w:rPr>
          <w:lang w:val="en-IN"/>
        </w:rPr>
        <w:t>Mrs</w:t>
      </w:r>
      <w:r w:rsidRPr="00BE17CE">
        <w:rPr>
          <w:lang w:val="en-IN"/>
        </w:rPr>
        <w:t xml:space="preserve"> Thompson’s care,</w:t>
      </w:r>
      <w:r>
        <w:rPr>
          <w:lang w:val="en-IN"/>
        </w:rPr>
        <w:t xml:space="preserve"> </w:t>
      </w:r>
      <w:r>
        <w:t>professionals</w:t>
      </w:r>
      <w:r w:rsidRPr="00BE17CE">
        <w:rPr>
          <w:lang w:val="en-IN"/>
        </w:rPr>
        <w:t xml:space="preserve"> such as the GP, community nurse, and domiciliary care </w:t>
      </w:r>
      <w:r>
        <w:rPr>
          <w:lang w:val="en-IN"/>
        </w:rPr>
        <w:t xml:space="preserve">workers can </w:t>
      </w:r>
      <w:r w:rsidRPr="00245E7D">
        <w:rPr>
          <w:lang w:val="en-IN"/>
        </w:rPr>
        <w:t xml:space="preserve">ensure a unified approach and </w:t>
      </w:r>
      <w:r>
        <w:rPr>
          <w:lang w:val="en-IN"/>
        </w:rPr>
        <w:t xml:space="preserve">also </w:t>
      </w:r>
      <w:r w:rsidRPr="00245E7D">
        <w:rPr>
          <w:lang w:val="en-IN"/>
        </w:rPr>
        <w:t xml:space="preserve">prevent conflicting treatments. </w:t>
      </w:r>
      <w:r>
        <w:rPr>
          <w:lang w:val="en-IN"/>
        </w:rPr>
        <w:t xml:space="preserve"> </w:t>
      </w:r>
    </w:p>
    <w:p w:rsidRPr="00245E7D" w:rsidR="00BF6800" w:rsidP="00BF6800" w:rsidRDefault="00BF6800" w14:paraId="6293FE8B" w14:textId="77777777">
      <w:pPr>
        <w:rPr>
          <w:lang w:val="en-IN"/>
        </w:rPr>
      </w:pPr>
      <w:r w:rsidRPr="00245E7D">
        <w:rPr>
          <w:b/>
          <w:bCs/>
          <w:i/>
          <w:iCs/>
          <w:lang w:val="en-IN"/>
        </w:rPr>
        <w:t>Regular Communication</w:t>
      </w:r>
      <w:r w:rsidRPr="00245E7D">
        <w:rPr>
          <w:b/>
          <w:bCs/>
          <w:lang w:val="en-IN"/>
        </w:rPr>
        <w:t>:</w:t>
      </w:r>
      <w:r w:rsidRPr="00245E7D">
        <w:rPr>
          <w:lang w:val="en-IN"/>
        </w:rPr>
        <w:t xml:space="preserve"> </w:t>
      </w:r>
      <w:r>
        <w:rPr>
          <w:lang w:val="en-IN"/>
        </w:rPr>
        <w:t>Creating more</w:t>
      </w:r>
      <w:r w:rsidRPr="00245E7D">
        <w:rPr>
          <w:lang w:val="en-IN"/>
        </w:rPr>
        <w:t xml:space="preserve"> consistent channels</w:t>
      </w:r>
      <w:r>
        <w:rPr>
          <w:lang w:val="en-IN"/>
        </w:rPr>
        <w:t xml:space="preserve">, </w:t>
      </w:r>
      <w:r w:rsidRPr="00245E7D">
        <w:rPr>
          <w:lang w:val="en-IN"/>
        </w:rPr>
        <w:t>such as multidisciplinary team (MDT) meetings</w:t>
      </w:r>
      <w:r>
        <w:rPr>
          <w:lang w:val="en-IN"/>
        </w:rPr>
        <w:t xml:space="preserve"> with </w:t>
      </w:r>
      <w:r w:rsidRPr="00245E7D">
        <w:rPr>
          <w:lang w:val="en-IN"/>
        </w:rPr>
        <w:t>secure digital messaging platforms and inter-agency case conferences</w:t>
      </w:r>
      <w:r>
        <w:rPr>
          <w:lang w:val="en-IN"/>
        </w:rPr>
        <w:t xml:space="preserve"> can be beneficial for ensuring</w:t>
      </w:r>
      <w:r w:rsidRPr="00245E7D">
        <w:rPr>
          <w:lang w:val="en-IN"/>
        </w:rPr>
        <w:t xml:space="preserve"> </w:t>
      </w:r>
      <w:r>
        <w:rPr>
          <w:lang w:val="en-IN"/>
        </w:rPr>
        <w:t xml:space="preserve">that </w:t>
      </w:r>
      <w:r w:rsidRPr="00245E7D">
        <w:rPr>
          <w:lang w:val="en-IN"/>
        </w:rPr>
        <w:t xml:space="preserve">all </w:t>
      </w:r>
      <w:r>
        <w:rPr>
          <w:lang w:val="en-IN"/>
        </w:rPr>
        <w:t xml:space="preserve">the </w:t>
      </w:r>
      <w:r w:rsidRPr="00245E7D">
        <w:rPr>
          <w:lang w:val="en-IN"/>
        </w:rPr>
        <w:t xml:space="preserve">stakeholders remain aligned </w:t>
      </w:r>
      <w:r>
        <w:rPr>
          <w:lang w:val="en-IN"/>
        </w:rPr>
        <w:t>in the context of the</w:t>
      </w:r>
      <w:r w:rsidRPr="00245E7D">
        <w:rPr>
          <w:lang w:val="en-IN"/>
        </w:rPr>
        <w:t xml:space="preserve"> </w:t>
      </w:r>
      <w:r>
        <w:rPr>
          <w:lang w:val="en-IN"/>
        </w:rPr>
        <w:t>client's</w:t>
      </w:r>
      <w:r w:rsidRPr="00245E7D">
        <w:rPr>
          <w:lang w:val="en-IN"/>
        </w:rPr>
        <w:t xml:space="preserve"> progress </w:t>
      </w:r>
      <w:r>
        <w:rPr>
          <w:lang w:val="en-IN"/>
        </w:rPr>
        <w:t xml:space="preserve">as well as the </w:t>
      </w:r>
      <w:r w:rsidRPr="00245E7D">
        <w:rPr>
          <w:lang w:val="en-IN"/>
        </w:rPr>
        <w:t>chan</w:t>
      </w:r>
      <w:r>
        <w:rPr>
          <w:lang w:val="en-IN"/>
        </w:rPr>
        <w:t>ge in the</w:t>
      </w:r>
      <w:r w:rsidRPr="00245E7D">
        <w:rPr>
          <w:lang w:val="en-IN"/>
        </w:rPr>
        <w:t xml:space="preserve"> circumstances</w:t>
      </w:r>
      <w:r>
        <w:rPr>
          <w:lang w:val="en-IN"/>
        </w:rPr>
        <w:t xml:space="preserve">. </w:t>
      </w:r>
    </w:p>
    <w:p w:rsidRPr="00245E7D" w:rsidR="00BF6800" w:rsidP="00BF6800" w:rsidRDefault="00BF6800" w14:paraId="6299092A" w14:textId="77777777">
      <w:pPr>
        <w:rPr>
          <w:b/>
          <w:bCs/>
          <w:lang w:val="en-IN"/>
        </w:rPr>
      </w:pPr>
      <w:r w:rsidRPr="00245E7D">
        <w:rPr>
          <w:b/>
          <w:bCs/>
          <w:lang w:val="en-IN"/>
        </w:rPr>
        <w:t>Challenges and Strategies</w:t>
      </w:r>
    </w:p>
    <w:p w:rsidRPr="00245E7D" w:rsidR="00BF6800" w:rsidP="00BF6800" w:rsidRDefault="00BF6800" w14:paraId="240174F7" w14:textId="77777777">
      <w:pPr>
        <w:rPr>
          <w:lang w:val="en-IN"/>
        </w:rPr>
      </w:pPr>
      <w:r w:rsidRPr="00245E7D">
        <w:rPr>
          <w:b/>
          <w:bCs/>
          <w:lang w:val="en-IN"/>
        </w:rPr>
        <w:t>1. Data Sharing and Privacy Concerns</w:t>
      </w:r>
    </w:p>
    <w:p w:rsidRPr="00245E7D" w:rsidR="00BF6800" w:rsidP="00BF6800" w:rsidRDefault="00BF6800" w14:paraId="66F0E000" w14:textId="77777777">
      <w:pPr>
        <w:rPr>
          <w:lang w:val="en-IN"/>
        </w:rPr>
      </w:pPr>
      <w:r w:rsidRPr="00245E7D">
        <w:rPr>
          <w:b/>
          <w:bCs/>
          <w:i/>
          <w:iCs/>
          <w:lang w:val="en-IN"/>
        </w:rPr>
        <w:t>Challenge</w:t>
      </w:r>
      <w:r w:rsidRPr="00245E7D">
        <w:rPr>
          <w:i/>
          <w:iCs/>
          <w:lang w:val="en-IN"/>
        </w:rPr>
        <w:t>:</w:t>
      </w:r>
      <w:r w:rsidRPr="00245E7D">
        <w:rPr>
          <w:lang w:val="en-IN"/>
        </w:rPr>
        <w:t xml:space="preserve"> Strict confidentiality laws a</w:t>
      </w:r>
      <w:r>
        <w:rPr>
          <w:lang w:val="en-IN"/>
        </w:rPr>
        <w:t>long with</w:t>
      </w:r>
      <w:r w:rsidRPr="00245E7D">
        <w:rPr>
          <w:lang w:val="en-IN"/>
        </w:rPr>
        <w:t xml:space="preserve"> incompatible IT systems often prevent agencies from sharing </w:t>
      </w:r>
      <w:r>
        <w:rPr>
          <w:lang w:val="en-IN"/>
        </w:rPr>
        <w:t>important</w:t>
      </w:r>
      <w:r w:rsidRPr="00245E7D">
        <w:rPr>
          <w:lang w:val="en-IN"/>
        </w:rPr>
        <w:t xml:space="preserve"> information </w:t>
      </w:r>
      <w:r>
        <w:rPr>
          <w:lang w:val="en-IN"/>
        </w:rPr>
        <w:t>effectively</w:t>
      </w:r>
      <w:r w:rsidRPr="00245E7D">
        <w:rPr>
          <w:lang w:val="en-IN"/>
        </w:rPr>
        <w:t>.</w:t>
      </w:r>
    </w:p>
    <w:p w:rsidRPr="00245E7D" w:rsidR="00BF6800" w:rsidP="00BF6800" w:rsidRDefault="00BF6800" w14:paraId="41CE49A6" w14:textId="76584BF8">
      <w:pPr>
        <w:rPr>
          <w:lang w:val="en-IN"/>
        </w:rPr>
      </w:pPr>
      <w:r w:rsidRPr="00245E7D">
        <w:rPr>
          <w:b/>
          <w:bCs/>
          <w:i/>
          <w:iCs/>
          <w:lang w:val="en-IN"/>
        </w:rPr>
        <w:t>Strategy:</w:t>
      </w:r>
      <w:r w:rsidRPr="00245E7D">
        <w:rPr>
          <w:lang w:val="en-IN"/>
        </w:rPr>
        <w:t xml:space="preserve"> </w:t>
      </w:r>
      <w:r>
        <w:rPr>
          <w:lang w:val="en-IN"/>
        </w:rPr>
        <w:t>To address this challenge, the health care industry can i</w:t>
      </w:r>
      <w:r w:rsidRPr="00245E7D">
        <w:rPr>
          <w:lang w:val="en-IN"/>
        </w:rPr>
        <w:t xml:space="preserve">mplement </w:t>
      </w:r>
      <w:r>
        <w:rPr>
          <w:lang w:val="en-IN"/>
        </w:rPr>
        <w:t>strong and</w:t>
      </w:r>
      <w:r w:rsidRPr="00245E7D">
        <w:rPr>
          <w:lang w:val="en-IN"/>
        </w:rPr>
        <w:t xml:space="preserve"> secure digital platforms with </w:t>
      </w:r>
      <w:r>
        <w:rPr>
          <w:lang w:val="en-IN"/>
        </w:rPr>
        <w:t xml:space="preserve">the </w:t>
      </w:r>
      <w:r w:rsidRPr="00245E7D">
        <w:rPr>
          <w:lang w:val="en-IN"/>
        </w:rPr>
        <w:t xml:space="preserve">role-based access controls. </w:t>
      </w:r>
      <w:r>
        <w:rPr>
          <w:lang w:val="en-IN"/>
        </w:rPr>
        <w:t>Moreover, organisations</w:t>
      </w:r>
      <w:r w:rsidRPr="00245E7D">
        <w:rPr>
          <w:lang w:val="en-IN"/>
        </w:rPr>
        <w:t xml:space="preserve"> can </w:t>
      </w:r>
      <w:r>
        <w:rPr>
          <w:lang w:val="en-IN"/>
        </w:rPr>
        <w:t>build</w:t>
      </w:r>
      <w:r w:rsidRPr="00245E7D">
        <w:rPr>
          <w:lang w:val="en-IN"/>
        </w:rPr>
        <w:t xml:space="preserve"> formal information-sharing agreements </w:t>
      </w:r>
      <w:r w:rsidRPr="00245E7D" w:rsidR="00AD1A16">
        <w:rPr>
          <w:lang w:val="en-IN"/>
        </w:rPr>
        <w:t>and</w:t>
      </w:r>
      <w:r w:rsidRPr="00245E7D">
        <w:rPr>
          <w:lang w:val="en-IN"/>
        </w:rPr>
        <w:t xml:space="preserve"> obtain clear consent from </w:t>
      </w:r>
      <w:r>
        <w:rPr>
          <w:lang w:val="en-IN"/>
        </w:rPr>
        <w:t xml:space="preserve">the </w:t>
      </w:r>
      <w:r w:rsidRPr="00245E7D">
        <w:rPr>
          <w:lang w:val="en-IN"/>
        </w:rPr>
        <w:t xml:space="preserve">individuals </w:t>
      </w:r>
      <w:r>
        <w:rPr>
          <w:lang w:val="en-IN"/>
        </w:rPr>
        <w:t xml:space="preserve">so as </w:t>
      </w:r>
      <w:r w:rsidRPr="00245E7D">
        <w:rPr>
          <w:lang w:val="en-IN"/>
        </w:rPr>
        <w:t xml:space="preserve">to ensure compliance with privacy regulations </w:t>
      </w:r>
      <w:r>
        <w:rPr>
          <w:lang w:val="en-IN"/>
        </w:rPr>
        <w:t>such as</w:t>
      </w:r>
      <w:r w:rsidRPr="00245E7D">
        <w:rPr>
          <w:lang w:val="en-IN"/>
        </w:rPr>
        <w:t xml:space="preserve"> the GDPR. </w:t>
      </w:r>
    </w:p>
    <w:p w:rsidRPr="00245E7D" w:rsidR="00BF6800" w:rsidP="00BF6800" w:rsidRDefault="00BF6800" w14:paraId="21EC437E" w14:textId="77777777">
      <w:pPr>
        <w:rPr>
          <w:lang w:val="en-IN"/>
        </w:rPr>
      </w:pPr>
      <w:r w:rsidRPr="00245E7D">
        <w:rPr>
          <w:b/>
          <w:bCs/>
          <w:lang w:val="en-IN"/>
        </w:rPr>
        <w:t>2. Different Priorities and Cultures</w:t>
      </w:r>
    </w:p>
    <w:p w:rsidRPr="00245E7D" w:rsidR="00BF6800" w:rsidP="00BF6800" w:rsidRDefault="00BF6800" w14:paraId="7FE5F89C" w14:textId="77777777">
      <w:pPr>
        <w:rPr>
          <w:lang w:val="en-IN"/>
        </w:rPr>
      </w:pPr>
      <w:r w:rsidRPr="00245E7D">
        <w:rPr>
          <w:b/>
          <w:bCs/>
          <w:i/>
          <w:iCs/>
          <w:lang w:val="en-IN"/>
        </w:rPr>
        <w:t>Challenge</w:t>
      </w:r>
      <w:r w:rsidRPr="00245E7D">
        <w:rPr>
          <w:i/>
          <w:iCs/>
          <w:lang w:val="en-IN"/>
        </w:rPr>
        <w:t>:</w:t>
      </w:r>
      <w:r w:rsidRPr="00245E7D">
        <w:rPr>
          <w:lang w:val="en-IN"/>
        </w:rPr>
        <w:t xml:space="preserve"> Different agencies</w:t>
      </w:r>
      <w:r>
        <w:rPr>
          <w:lang w:val="en-IN"/>
        </w:rPr>
        <w:t>,</w:t>
      </w:r>
      <w:r w:rsidRPr="00245E7D">
        <w:rPr>
          <w:lang w:val="en-IN"/>
        </w:rPr>
        <w:t xml:space="preserve"> </w:t>
      </w:r>
      <w:r>
        <w:rPr>
          <w:lang w:val="en-IN"/>
        </w:rPr>
        <w:t>such as</w:t>
      </w:r>
      <w:r w:rsidRPr="00245E7D">
        <w:rPr>
          <w:lang w:val="en-IN"/>
        </w:rPr>
        <w:t xml:space="preserve"> healthcare providers</w:t>
      </w:r>
      <w:r>
        <w:rPr>
          <w:lang w:val="en-IN"/>
        </w:rPr>
        <w:t>,</w:t>
      </w:r>
      <w:r w:rsidRPr="00245E7D">
        <w:rPr>
          <w:lang w:val="en-IN"/>
        </w:rPr>
        <w:t xml:space="preserve"> often operate under </w:t>
      </w:r>
      <w:r>
        <w:rPr>
          <w:lang w:val="en-IN"/>
        </w:rPr>
        <w:t xml:space="preserve">the </w:t>
      </w:r>
      <w:r w:rsidRPr="00245E7D">
        <w:rPr>
          <w:lang w:val="en-IN"/>
        </w:rPr>
        <w:t>distinct regulatory frameworks,</w:t>
      </w:r>
      <w:r>
        <w:rPr>
          <w:lang w:val="en-IN"/>
        </w:rPr>
        <w:t xml:space="preserve"> thus have different</w:t>
      </w:r>
      <w:r w:rsidRPr="00245E7D">
        <w:rPr>
          <w:lang w:val="en-IN"/>
        </w:rPr>
        <w:t xml:space="preserve"> funding models and professional priorities. </w:t>
      </w:r>
    </w:p>
    <w:p w:rsidRPr="00245E7D" w:rsidR="00BF6800" w:rsidP="00BF6800" w:rsidRDefault="00BF6800" w14:paraId="347F6F96" w14:textId="77777777">
      <w:pPr>
        <w:rPr>
          <w:lang w:val="en-IN"/>
        </w:rPr>
      </w:pPr>
      <w:r w:rsidRPr="00245E7D">
        <w:rPr>
          <w:b/>
          <w:bCs/>
          <w:i/>
          <w:iCs/>
          <w:lang w:val="en-IN"/>
        </w:rPr>
        <w:t>Strategy</w:t>
      </w:r>
      <w:r w:rsidRPr="00245E7D">
        <w:rPr>
          <w:i/>
          <w:iCs/>
          <w:lang w:val="en-IN"/>
        </w:rPr>
        <w:t>:</w:t>
      </w:r>
      <w:r w:rsidRPr="00245E7D">
        <w:rPr>
          <w:lang w:val="en-IN"/>
        </w:rPr>
        <w:t xml:space="preserve"> </w:t>
      </w:r>
      <w:r>
        <w:rPr>
          <w:lang w:val="en-IN"/>
        </w:rPr>
        <w:t>To overcome this, the company can d</w:t>
      </w:r>
      <w:r w:rsidRPr="00245E7D">
        <w:rPr>
          <w:lang w:val="en-IN"/>
        </w:rPr>
        <w:t>evelop a shared</w:t>
      </w:r>
      <w:r>
        <w:rPr>
          <w:lang w:val="en-IN"/>
        </w:rPr>
        <w:t xml:space="preserve"> </w:t>
      </w:r>
      <w:r w:rsidRPr="00B652C2">
        <w:rPr>
          <w:lang w:val="en-IN"/>
        </w:rPr>
        <w:t>and</w:t>
      </w:r>
      <w:r w:rsidRPr="00245E7D">
        <w:rPr>
          <w:lang w:val="en-IN"/>
        </w:rPr>
        <w:t xml:space="preserve"> </w:t>
      </w:r>
      <w:r w:rsidRPr="00B652C2">
        <w:rPr>
          <w:lang w:val="en-IN"/>
        </w:rPr>
        <w:t>main</w:t>
      </w:r>
      <w:r w:rsidRPr="00245E7D">
        <w:rPr>
          <w:lang w:val="en-IN"/>
        </w:rPr>
        <w:t xml:space="preserve"> vision</w:t>
      </w:r>
      <w:r w:rsidRPr="00B652C2">
        <w:rPr>
          <w:lang w:val="en-IN"/>
        </w:rPr>
        <w:t>. The c</w:t>
      </w:r>
      <w:r w:rsidRPr="00245E7D">
        <w:rPr>
          <w:lang w:val="en-IN"/>
        </w:rPr>
        <w:t xml:space="preserve">ross-sector training and co-location of staff can </w:t>
      </w:r>
      <w:r w:rsidRPr="00B652C2">
        <w:rPr>
          <w:lang w:val="en-IN"/>
        </w:rPr>
        <w:t xml:space="preserve">be useful to </w:t>
      </w:r>
      <w:r w:rsidRPr="00245E7D">
        <w:rPr>
          <w:lang w:val="en-IN"/>
        </w:rPr>
        <w:t>help build mutual respect</w:t>
      </w:r>
      <w:r w:rsidRPr="00B652C2">
        <w:rPr>
          <w:lang w:val="en-IN"/>
        </w:rPr>
        <w:t xml:space="preserve"> while </w:t>
      </w:r>
      <w:r w:rsidRPr="00245E7D">
        <w:rPr>
          <w:lang w:val="en-IN"/>
        </w:rPr>
        <w:t>align</w:t>
      </w:r>
      <w:r w:rsidRPr="00B652C2">
        <w:rPr>
          <w:lang w:val="en-IN"/>
        </w:rPr>
        <w:t>ing</w:t>
      </w:r>
      <w:r w:rsidRPr="00245E7D">
        <w:rPr>
          <w:lang w:val="en-IN"/>
        </w:rPr>
        <w:t xml:space="preserve"> objectives, and </w:t>
      </w:r>
      <w:r w:rsidRPr="00B652C2">
        <w:rPr>
          <w:lang w:val="en-IN"/>
        </w:rPr>
        <w:t xml:space="preserve">also to </w:t>
      </w:r>
      <w:r w:rsidRPr="00245E7D">
        <w:rPr>
          <w:lang w:val="en-IN"/>
        </w:rPr>
        <w:t xml:space="preserve">foster a </w:t>
      </w:r>
      <w:r w:rsidRPr="00B652C2">
        <w:rPr>
          <w:lang w:val="en-IN"/>
        </w:rPr>
        <w:t>more integrated</w:t>
      </w:r>
      <w:r w:rsidRPr="00245E7D">
        <w:rPr>
          <w:lang w:val="en-IN"/>
        </w:rPr>
        <w:t xml:space="preserve"> </w:t>
      </w:r>
      <w:r w:rsidRPr="00B652C2">
        <w:rPr>
          <w:lang w:val="en-IN"/>
        </w:rPr>
        <w:t>organisational</w:t>
      </w:r>
      <w:r w:rsidRPr="00245E7D">
        <w:rPr>
          <w:lang w:val="en-IN"/>
        </w:rPr>
        <w:t xml:space="preserve"> culture</w:t>
      </w:r>
      <w:r>
        <w:rPr>
          <w:lang w:val="en-IN"/>
        </w:rPr>
        <w:t xml:space="preserve"> (</w:t>
      </w:r>
      <w:r w:rsidRPr="00B652C2">
        <w:rPr>
          <w:lang w:val="en-IN"/>
        </w:rPr>
        <w:t>Crawford</w:t>
      </w:r>
      <w:r>
        <w:rPr>
          <w:lang w:val="en-IN"/>
        </w:rPr>
        <w:t xml:space="preserve"> </w:t>
      </w:r>
      <w:r w:rsidRPr="00B652C2">
        <w:rPr>
          <w:lang w:val="en-IN"/>
        </w:rPr>
        <w:t>and Campbell,</w:t>
      </w:r>
      <w:r>
        <w:rPr>
          <w:lang w:val="en-IN"/>
        </w:rPr>
        <w:t xml:space="preserve"> </w:t>
      </w:r>
      <w:r w:rsidRPr="00B652C2">
        <w:rPr>
          <w:lang w:val="en-IN"/>
        </w:rPr>
        <w:t>2025)</w:t>
      </w:r>
      <w:r w:rsidRPr="00245E7D">
        <w:rPr>
          <w:lang w:val="en-IN"/>
        </w:rPr>
        <w:t xml:space="preserve">. </w:t>
      </w:r>
    </w:p>
    <w:p w:rsidRPr="00245E7D" w:rsidR="00BF6800" w:rsidP="00BF6800" w:rsidRDefault="00BF6800" w14:paraId="17E88B29" w14:textId="77777777">
      <w:pPr>
        <w:rPr>
          <w:lang w:val="en-IN"/>
        </w:rPr>
      </w:pPr>
      <w:r w:rsidRPr="00245E7D">
        <w:rPr>
          <w:b/>
          <w:bCs/>
          <w:lang w:val="en-IN"/>
        </w:rPr>
        <w:t xml:space="preserve">3. Resource and </w:t>
      </w:r>
      <w:r>
        <w:rPr>
          <w:b/>
          <w:bCs/>
          <w:lang w:val="en-IN"/>
        </w:rPr>
        <w:t>Capital</w:t>
      </w:r>
      <w:r w:rsidRPr="00245E7D">
        <w:rPr>
          <w:b/>
          <w:bCs/>
          <w:lang w:val="en-IN"/>
        </w:rPr>
        <w:t xml:space="preserve"> Differences</w:t>
      </w:r>
    </w:p>
    <w:p w:rsidRPr="00245E7D" w:rsidR="00BF6800" w:rsidP="00BF6800" w:rsidRDefault="00BF6800" w14:paraId="4F2F6A2D" w14:textId="77777777">
      <w:pPr>
        <w:rPr>
          <w:lang w:val="en-IN"/>
        </w:rPr>
      </w:pPr>
      <w:r w:rsidRPr="00245E7D">
        <w:rPr>
          <w:b/>
          <w:bCs/>
          <w:i/>
          <w:iCs/>
          <w:lang w:val="en-IN"/>
        </w:rPr>
        <w:lastRenderedPageBreak/>
        <w:t>Challenge</w:t>
      </w:r>
      <w:r w:rsidRPr="00245E7D">
        <w:rPr>
          <w:i/>
          <w:iCs/>
          <w:lang w:val="en-IN"/>
        </w:rPr>
        <w:t>:</w:t>
      </w:r>
      <w:r w:rsidRPr="00245E7D">
        <w:rPr>
          <w:lang w:val="en-IN"/>
        </w:rPr>
        <w:t xml:space="preserve"> Unequal resource allocation and complex budgetary </w:t>
      </w:r>
      <w:r>
        <w:rPr>
          <w:lang w:val="en-IN"/>
        </w:rPr>
        <w:t>issues</w:t>
      </w:r>
      <w:r w:rsidRPr="00245E7D">
        <w:rPr>
          <w:lang w:val="en-IN"/>
        </w:rPr>
        <w:t xml:space="preserve"> can lead to </w:t>
      </w:r>
      <w:r>
        <w:rPr>
          <w:lang w:val="en-IN"/>
        </w:rPr>
        <w:t>the disruptions</w:t>
      </w:r>
      <w:r w:rsidRPr="00245E7D">
        <w:rPr>
          <w:lang w:val="en-IN"/>
        </w:rPr>
        <w:t xml:space="preserve"> over which action bears the financial responsibility for </w:t>
      </w:r>
      <w:r>
        <w:rPr>
          <w:lang w:val="en-IN"/>
        </w:rPr>
        <w:t xml:space="preserve">the </w:t>
      </w:r>
      <w:r w:rsidRPr="00245E7D">
        <w:rPr>
          <w:lang w:val="en-IN"/>
        </w:rPr>
        <w:t>specific interventions.</w:t>
      </w:r>
    </w:p>
    <w:p w:rsidR="00BF6800" w:rsidP="00BF6800" w:rsidRDefault="00BF6800" w14:paraId="690928B8" w14:textId="77777777">
      <w:pPr>
        <w:rPr>
          <w:lang w:val="en-IN"/>
        </w:rPr>
      </w:pPr>
      <w:r w:rsidRPr="00245E7D">
        <w:rPr>
          <w:b/>
          <w:bCs/>
          <w:i/>
          <w:iCs/>
          <w:lang w:val="en-IN"/>
        </w:rPr>
        <w:t>Strategy</w:t>
      </w:r>
      <w:r w:rsidRPr="00245E7D">
        <w:rPr>
          <w:i/>
          <w:iCs/>
          <w:lang w:val="en-IN"/>
        </w:rPr>
        <w:t>:</w:t>
      </w:r>
      <w:r w:rsidRPr="00245E7D">
        <w:rPr>
          <w:lang w:val="en-IN"/>
        </w:rPr>
        <w:t xml:space="preserve"> </w:t>
      </w:r>
      <w:r>
        <w:rPr>
          <w:lang w:val="en-IN"/>
        </w:rPr>
        <w:t>The company can create the</w:t>
      </w:r>
      <w:r w:rsidRPr="00245E7D">
        <w:rPr>
          <w:lang w:val="en-IN"/>
        </w:rPr>
        <w:t xml:space="preserve"> </w:t>
      </w:r>
      <w:r>
        <w:rPr>
          <w:lang w:val="en-IN"/>
        </w:rPr>
        <w:t>pooled</w:t>
      </w:r>
      <w:r w:rsidRPr="00245E7D">
        <w:rPr>
          <w:lang w:val="en-IN"/>
        </w:rPr>
        <w:t xml:space="preserve"> funding mechanisms and integrated commissioning boards. </w:t>
      </w:r>
      <w:r>
        <w:rPr>
          <w:lang w:val="en-IN"/>
        </w:rPr>
        <w:t xml:space="preserve">  </w:t>
      </w:r>
    </w:p>
    <w:p w:rsidR="00BF6800" w:rsidP="00BF6800" w:rsidRDefault="00BF6800" w14:paraId="1F6C1C06" w14:textId="77777777">
      <w:pPr>
        <w:spacing w:line="278" w:lineRule="auto"/>
        <w:jc w:val="left"/>
        <w:rPr>
          <w:lang w:val="en-IN"/>
        </w:rPr>
      </w:pPr>
      <w:r>
        <w:rPr>
          <w:lang w:val="en-IN"/>
        </w:rPr>
        <w:br w:type="page"/>
      </w:r>
    </w:p>
    <w:p w:rsidRPr="00406568" w:rsidR="00BF6800" w:rsidP="00BF6800" w:rsidRDefault="00BF6800" w14:paraId="117BCB5A" w14:textId="77777777">
      <w:pPr>
        <w:pStyle w:val="Heading1"/>
        <w:rPr>
          <w:rFonts w:eastAsiaTheme="minorHAnsi" w:cstheme="minorBidi"/>
          <w:b w:val="0"/>
          <w:color w:val="4472C4" w:themeColor="accent1"/>
          <w:szCs w:val="24"/>
        </w:rPr>
      </w:pPr>
      <w:bookmarkStart w:name="_Toc235113137" w:id="6"/>
      <w:r w:rsidRPr="00406568">
        <w:rPr>
          <w:color w:val="4472C4" w:themeColor="accent1"/>
          <w:sz w:val="28"/>
          <w:szCs w:val="28"/>
          <w:lang w:val="en-IN"/>
        </w:rPr>
        <w:lastRenderedPageBreak/>
        <w:t>Conclusion</w:t>
      </w:r>
      <w:bookmarkEnd w:id="6"/>
      <w:r w:rsidRPr="00406568">
        <w:rPr>
          <w:rFonts w:eastAsiaTheme="minorHAnsi" w:cstheme="minorBidi"/>
          <w:b w:val="0"/>
          <w:color w:val="4472C4" w:themeColor="accent1"/>
          <w:szCs w:val="24"/>
        </w:rPr>
        <w:t xml:space="preserve"> </w:t>
      </w:r>
    </w:p>
    <w:p w:rsidR="00BF6800" w:rsidP="00BF6800" w:rsidRDefault="00BF6800" w14:paraId="553505E0" w14:textId="77777777">
      <w:r>
        <w:t>In conclusion, it can be summarised that e</w:t>
      </w:r>
      <w:r w:rsidRPr="00A90314">
        <w:t xml:space="preserve">ffective communication, careful admin skills, and proactive collaboration among care providers, housing staff, and councils are </w:t>
      </w:r>
      <w:r>
        <w:t>important</w:t>
      </w:r>
      <w:r w:rsidRPr="00A90314">
        <w:t xml:space="preserve"> for safeguarding</w:t>
      </w:r>
      <w:r>
        <w:t xml:space="preserve"> and protecting the</w:t>
      </w:r>
      <w:r w:rsidRPr="00A90314">
        <w:t xml:space="preserve"> vulnerable adults</w:t>
      </w:r>
      <w:r>
        <w:t>. Alternatively, the c</w:t>
      </w:r>
      <w:r w:rsidRPr="00A90314">
        <w:t xml:space="preserve">lear communication </w:t>
      </w:r>
      <w:r>
        <w:t>also helps to ensure that</w:t>
      </w:r>
      <w:r w:rsidRPr="00A90314">
        <w:t xml:space="preserve"> all support workers are immediately aware of </w:t>
      </w:r>
      <w:r>
        <w:t>the</w:t>
      </w:r>
      <w:r w:rsidRPr="00A90314">
        <w:t xml:space="preserve"> patient's evolving conditions</w:t>
      </w:r>
      <w:r>
        <w:t>. As a result of this, it can prevent</w:t>
      </w:r>
      <w:r w:rsidRPr="00A90314">
        <w:t xml:space="preserve"> delays in critical care.</w:t>
      </w:r>
      <w:r>
        <w:t xml:space="preserve"> Apart from that, the s</w:t>
      </w:r>
      <w:r w:rsidRPr="00A90314">
        <w:t xml:space="preserve">trong admin skills </w:t>
      </w:r>
      <w:r>
        <w:t xml:space="preserve">can </w:t>
      </w:r>
      <w:r w:rsidRPr="00A90314">
        <w:t xml:space="preserve">enable accurate </w:t>
      </w:r>
      <w:r>
        <w:t>management</w:t>
      </w:r>
      <w:r w:rsidRPr="00A90314">
        <w:t xml:space="preserve"> of </w:t>
      </w:r>
      <w:r>
        <w:t xml:space="preserve">the </w:t>
      </w:r>
      <w:r w:rsidRPr="00A90314">
        <w:t>medical schedules a</w:t>
      </w:r>
      <w:r>
        <w:t>s well as the</w:t>
      </w:r>
      <w:r w:rsidRPr="00A90314">
        <w:t xml:space="preserve"> incidents</w:t>
      </w:r>
      <w:r>
        <w:t xml:space="preserve">. </w:t>
      </w:r>
      <w:r w:rsidRPr="00A90314">
        <w:t xml:space="preserve"> The primary lesson learned</w:t>
      </w:r>
      <w:r>
        <w:t xml:space="preserve"> from the case study of Mrs </w:t>
      </w:r>
      <w:r w:rsidRPr="00654601">
        <w:t>Thompson</w:t>
      </w:r>
      <w:r w:rsidRPr="00A90314">
        <w:t xml:space="preserve"> is that disorganised care systems fail those with dementia</w:t>
      </w:r>
      <w:r>
        <w:t>. Thus, a practical and</w:t>
      </w:r>
      <w:r w:rsidRPr="00A90314">
        <w:t xml:space="preserve"> proactive, interdisciplinary approach</w:t>
      </w:r>
      <w:r>
        <w:t xml:space="preserve"> </w:t>
      </w:r>
      <w:r w:rsidRPr="00A90314">
        <w:t>connecting domiciliary care, sheltered housing, and local councils</w:t>
      </w:r>
      <w:r>
        <w:t xml:space="preserve"> </w:t>
      </w:r>
      <w:r w:rsidRPr="00A90314">
        <w:t xml:space="preserve">is </w:t>
      </w:r>
      <w:r>
        <w:t>important</w:t>
      </w:r>
      <w:r w:rsidRPr="00A90314">
        <w:t xml:space="preserve"> to anticipate </w:t>
      </w:r>
      <w:r>
        <w:t>issues</w:t>
      </w:r>
      <w:r w:rsidRPr="00A90314">
        <w:t xml:space="preserve"> and </w:t>
      </w:r>
      <w:r>
        <w:t>ensure</w:t>
      </w:r>
      <w:r w:rsidRPr="00A90314">
        <w:t xml:space="preserve"> vulnerable individuals </w:t>
      </w:r>
      <w:r>
        <w:t xml:space="preserve">to </w:t>
      </w:r>
      <w:r w:rsidRPr="00A90314">
        <w:t xml:space="preserve">receive </w:t>
      </w:r>
      <w:r>
        <w:t xml:space="preserve">more </w:t>
      </w:r>
      <w:r w:rsidRPr="00A90314">
        <w:t>consistent</w:t>
      </w:r>
      <w:r>
        <w:t xml:space="preserve"> and </w:t>
      </w:r>
      <w:r w:rsidRPr="00A90314">
        <w:t>proactive protection.</w:t>
      </w:r>
      <w:r>
        <w:t xml:space="preserve">   </w:t>
      </w:r>
    </w:p>
    <w:p w:rsidR="00BF6800" w:rsidP="00BF6800" w:rsidRDefault="00BF6800" w14:paraId="6E2F3578" w14:textId="77777777">
      <w:pPr>
        <w:spacing w:line="278" w:lineRule="auto"/>
        <w:jc w:val="left"/>
      </w:pPr>
      <w:r>
        <w:br w:type="page"/>
      </w:r>
    </w:p>
    <w:p w:rsidRPr="00406568" w:rsidR="0065107B" w:rsidP="00BF6800" w:rsidRDefault="00D648E6" w14:paraId="3ACC6850" w14:textId="77777777">
      <w:pPr>
        <w:pStyle w:val="Heading1"/>
        <w:rPr>
          <w:color w:val="4472C4" w:themeColor="accent1"/>
          <w:sz w:val="24"/>
          <w:szCs w:val="24"/>
        </w:rPr>
      </w:pPr>
      <w:bookmarkStart w:name="_Toc235113138" w:id="7"/>
      <w:r w:rsidRPr="00406568">
        <w:rPr>
          <w:color w:val="4472C4" w:themeColor="accent1"/>
          <w:sz w:val="24"/>
          <w:szCs w:val="24"/>
        </w:rPr>
        <w:lastRenderedPageBreak/>
        <w:t>References</w:t>
      </w:r>
      <w:bookmarkEnd w:id="7"/>
    </w:p>
    <w:bookmarkEnd w:id="0"/>
    <w:p w:rsidR="00CB20A1" w:rsidP="00BF6800" w:rsidRDefault="00CB20A1" w14:paraId="6E406365" w14:textId="77777777">
      <w:proofErr w:type="spellStart"/>
      <w:r w:rsidRPr="006A4900">
        <w:t>Almotairi</w:t>
      </w:r>
      <w:proofErr w:type="spellEnd"/>
      <w:r w:rsidRPr="006A4900">
        <w:t xml:space="preserve">, M. A., Alotaibi, A. S. M., Alharbi, K. F. N., Alqarni, A. M. G., Alshammari, M. S. F., </w:t>
      </w:r>
      <w:proofErr w:type="spellStart"/>
      <w:r w:rsidRPr="006A4900">
        <w:t>Alqasir</w:t>
      </w:r>
      <w:proofErr w:type="spellEnd"/>
      <w:r w:rsidRPr="006A4900">
        <w:t xml:space="preserve">, M. A., ... </w:t>
      </w:r>
      <w:r>
        <w:t>and</w:t>
      </w:r>
      <w:r w:rsidRPr="006A4900">
        <w:t xml:space="preserve"> Alqahtani, S. T. A. (2024) </w:t>
      </w:r>
      <w:r>
        <w:t>‘</w:t>
      </w:r>
      <w:r w:rsidRPr="006A4900">
        <w:t>Nursing documentation as a foundation of safe, ethical, and accountable care: A Systematic Review</w:t>
      </w:r>
      <w:r>
        <w:t>’,</w:t>
      </w:r>
      <w:r w:rsidRPr="006A4900">
        <w:t> </w:t>
      </w:r>
      <w:r w:rsidRPr="006A4900">
        <w:rPr>
          <w:i/>
          <w:iCs/>
        </w:rPr>
        <w:t xml:space="preserve">Journal of </w:t>
      </w:r>
      <w:proofErr w:type="spellStart"/>
      <w:r w:rsidRPr="006A4900">
        <w:rPr>
          <w:i/>
          <w:iCs/>
        </w:rPr>
        <w:t>Angiotherapy</w:t>
      </w:r>
      <w:proofErr w:type="spellEnd"/>
      <w:r w:rsidRPr="006A4900">
        <w:t>, </w:t>
      </w:r>
      <w:r w:rsidRPr="00B652C2">
        <w:t>8(5</w:t>
      </w:r>
      <w:r w:rsidRPr="006A4900">
        <w:t xml:space="preserve">), </w:t>
      </w:r>
      <w:r>
        <w:t xml:space="preserve">pp. </w:t>
      </w:r>
      <w:r w:rsidRPr="006A4900">
        <w:t>1-13.</w:t>
      </w:r>
      <w:r>
        <w:t xml:space="preserve"> </w:t>
      </w:r>
      <w:r w:rsidRPr="004D27DE">
        <w:t xml:space="preserve">Available at: </w:t>
      </w:r>
      <w:hyperlink w:history="1" r:id="rId7">
        <w:r w:rsidRPr="00C0370C">
          <w:rPr>
            <w:rStyle w:val="Hyperlink"/>
          </w:rPr>
          <w:t>https://publishing.emanresearch.org/CurrentIssuePDF/EmanPublisher_1_6218angiotherapy-8510497.pdf</w:t>
        </w:r>
      </w:hyperlink>
      <w:r>
        <w:t xml:space="preserve"> </w:t>
      </w:r>
      <w:r w:rsidRPr="004D27DE">
        <w:t xml:space="preserve">(Accessed: </w:t>
      </w:r>
      <w:r>
        <w:t>16</w:t>
      </w:r>
      <w:r w:rsidRPr="004D27DE">
        <w:t xml:space="preserve"> July 2026).</w:t>
      </w:r>
    </w:p>
    <w:p w:rsidR="00CB20A1" w:rsidP="00BF6800" w:rsidRDefault="00CB20A1" w14:paraId="37320D3B" w14:textId="77777777">
      <w:r w:rsidRPr="006A4900">
        <w:t xml:space="preserve">Bach-Mortensen, A., Goodair, B., </w:t>
      </w:r>
      <w:r>
        <w:t>and</w:t>
      </w:r>
      <w:r w:rsidRPr="006A4900">
        <w:t xml:space="preserve"> Degli Esposti, M. (2024) </w:t>
      </w:r>
      <w:r>
        <w:t>‘</w:t>
      </w:r>
      <w:r w:rsidRPr="006A4900">
        <w:t>Involuntary closures of for-profit care homes in England by the Care Quality Commission</w:t>
      </w:r>
      <w:r>
        <w:t>’,</w:t>
      </w:r>
      <w:r w:rsidRPr="006A4900">
        <w:t> </w:t>
      </w:r>
      <w:r w:rsidRPr="006A4900">
        <w:rPr>
          <w:i/>
          <w:iCs/>
        </w:rPr>
        <w:t>The Lancet Healthy Longevity</w:t>
      </w:r>
      <w:r w:rsidRPr="00B652C2">
        <w:t>, 5(4),</w:t>
      </w:r>
      <w:r w:rsidRPr="006A4900">
        <w:t xml:space="preserve"> </w:t>
      </w:r>
      <w:r>
        <w:t xml:space="preserve">pp. </w:t>
      </w:r>
      <w:r w:rsidRPr="006A4900">
        <w:t>e297-e302.</w:t>
      </w:r>
      <w:r>
        <w:t xml:space="preserve"> </w:t>
      </w:r>
      <w:r w:rsidRPr="004D27DE">
        <w:t xml:space="preserve">Available at: </w:t>
      </w:r>
      <w:r>
        <w:t xml:space="preserve"> </w:t>
      </w:r>
      <w:hyperlink w:history="1" r:id="rId8">
        <w:r w:rsidRPr="00C0370C">
          <w:rPr>
            <w:rStyle w:val="Hyperlink"/>
          </w:rPr>
          <w:t>https://www.thelancet.com/journals/lanhl/article/PIIS2666-7568%2824%2900008-4/fulltext?s=09</w:t>
        </w:r>
      </w:hyperlink>
      <w:r>
        <w:t xml:space="preserve"> </w:t>
      </w:r>
      <w:r w:rsidRPr="004D27DE">
        <w:t xml:space="preserve">(Accessed: </w:t>
      </w:r>
      <w:r>
        <w:t>16</w:t>
      </w:r>
      <w:r w:rsidRPr="004D27DE">
        <w:t xml:space="preserve"> July 2026).</w:t>
      </w:r>
    </w:p>
    <w:p w:rsidRPr="004D27DE" w:rsidR="00CB20A1" w:rsidP="00574C1D" w:rsidRDefault="00CB20A1" w14:paraId="16326DDF" w14:textId="77777777">
      <w:r w:rsidRPr="004D27DE">
        <w:t>Basu, S. N. (2025) </w:t>
      </w:r>
      <w:r w:rsidRPr="004D27DE">
        <w:rPr>
          <w:i/>
          <w:iCs/>
        </w:rPr>
        <w:t>Communication in Healthcare Principles, Skills and Practices</w:t>
      </w:r>
      <w:r w:rsidRPr="004D27DE">
        <w:t xml:space="preserve">. Prabhat Prakashan. Available at: </w:t>
      </w:r>
      <w:hyperlink w:history="1" r:id="rId9">
        <w:r w:rsidRPr="004D27DE">
          <w:rPr>
            <w:rStyle w:val="Hyperlink"/>
          </w:rPr>
          <w:t>https://books.google.com/books?hl=en&amp;lr=&amp;id=qpqJEQAAQBAJ&amp;oi=fnd&amp;pg=PT21&amp;dq=Basu,+S.+N.+(2025)+Communication+in+Healthcare+Principles,+Skills+and+Practices.+Prabhat+Prakashan.&amp;ots=DOpvdRc7JM&amp;sig=Q3vXk1-P8BdjNJdiS2O5WWF6_lo</w:t>
        </w:r>
      </w:hyperlink>
      <w:r w:rsidRPr="004D27DE">
        <w:t xml:space="preserve"> (Accessed: 07 July 2026).</w:t>
      </w:r>
    </w:p>
    <w:p w:rsidRPr="00245E7D" w:rsidR="00CB20A1" w:rsidP="00BF6800" w:rsidRDefault="00CB20A1" w14:paraId="27ADCAE5" w14:textId="77777777">
      <w:pPr>
        <w:rPr>
          <w:lang w:val="en-IN"/>
        </w:rPr>
      </w:pPr>
      <w:r w:rsidRPr="006A4900">
        <w:t>Cornock, M. (2023) </w:t>
      </w:r>
      <w:r w:rsidRPr="006A4900">
        <w:rPr>
          <w:i/>
          <w:iCs/>
        </w:rPr>
        <w:t>Confidentiality: A Pocket Guide for Nursing and Health Care</w:t>
      </w:r>
      <w:r w:rsidRPr="006A4900">
        <w:t>. Scion Publishing Ltd.</w:t>
      </w:r>
      <w:r>
        <w:t xml:space="preserve"> </w:t>
      </w:r>
      <w:r w:rsidRPr="004D27DE">
        <w:t xml:space="preserve">Available at: </w:t>
      </w:r>
      <w:hyperlink w:history="1" r:id="rId10">
        <w:r w:rsidRPr="00C0370C">
          <w:rPr>
            <w:rStyle w:val="Hyperlink"/>
          </w:rPr>
          <w:t>https://lanternpublishing.com/wp-content/uploads/2023/10/PG-Confidentiality-SC.pdf</w:t>
        </w:r>
      </w:hyperlink>
      <w:r>
        <w:t xml:space="preserve"> </w:t>
      </w:r>
      <w:r w:rsidRPr="004D27DE">
        <w:t xml:space="preserve">(Accessed: </w:t>
      </w:r>
      <w:r>
        <w:t>16</w:t>
      </w:r>
      <w:r w:rsidRPr="004D27DE">
        <w:t xml:space="preserve"> July 2026).</w:t>
      </w:r>
    </w:p>
    <w:p w:rsidRPr="00245E7D" w:rsidR="00CB20A1" w:rsidP="00BF6800" w:rsidRDefault="00CB20A1" w14:paraId="514D8696" w14:textId="77777777">
      <w:r w:rsidRPr="00B652C2">
        <w:t xml:space="preserve">Crawford, K., </w:t>
      </w:r>
      <w:r>
        <w:t>and</w:t>
      </w:r>
      <w:r w:rsidRPr="00B652C2">
        <w:t xml:space="preserve"> Campbell, A. (2025) </w:t>
      </w:r>
      <w:r>
        <w:t>‘</w:t>
      </w:r>
      <w:r w:rsidRPr="00B652C2">
        <w:t>Cross-sector homeless service collaboration: Perspectives from social service providers</w:t>
      </w:r>
      <w:r>
        <w:t>’,</w:t>
      </w:r>
      <w:r w:rsidRPr="00B652C2">
        <w:t> </w:t>
      </w:r>
      <w:r w:rsidRPr="00B652C2">
        <w:rPr>
          <w:i/>
          <w:iCs/>
        </w:rPr>
        <w:t>International Journal on Homelessness</w:t>
      </w:r>
      <w:r w:rsidRPr="00B652C2">
        <w:t xml:space="preserve">, 5(2), </w:t>
      </w:r>
      <w:r>
        <w:t xml:space="preserve">pp. </w:t>
      </w:r>
      <w:r w:rsidRPr="00B652C2">
        <w:t>119-141.</w:t>
      </w:r>
      <w:r>
        <w:t xml:space="preserve"> </w:t>
      </w:r>
      <w:r w:rsidRPr="004D27DE">
        <w:t xml:space="preserve">Available at: </w:t>
      </w:r>
      <w:hyperlink w:history="1" r:id="rId11">
        <w:r w:rsidRPr="00C0370C">
          <w:rPr>
            <w:rStyle w:val="Hyperlink"/>
          </w:rPr>
          <w:t>https://ojs.lib.uwo.ca/index.php/ijoh/article/download/17513/17736</w:t>
        </w:r>
      </w:hyperlink>
      <w:r>
        <w:t xml:space="preserve"> </w:t>
      </w:r>
      <w:r w:rsidRPr="004D27DE">
        <w:t xml:space="preserve">(Accessed: </w:t>
      </w:r>
      <w:r>
        <w:t>16</w:t>
      </w:r>
      <w:r w:rsidRPr="004D27DE">
        <w:t xml:space="preserve"> July 2026).</w:t>
      </w:r>
      <w:r>
        <w:t xml:space="preserve"> </w:t>
      </w:r>
    </w:p>
    <w:p w:rsidR="00CB20A1" w:rsidP="00BF6800" w:rsidRDefault="00CB20A1" w14:paraId="263108B4" w14:textId="77777777">
      <w:r w:rsidRPr="000850D7">
        <w:t xml:space="preserve">Davidson, L., Carter, H., Drury, J., </w:t>
      </w:r>
      <w:proofErr w:type="spellStart"/>
      <w:r w:rsidRPr="000850D7">
        <w:t>Amlôt</w:t>
      </w:r>
      <w:proofErr w:type="spellEnd"/>
      <w:r w:rsidRPr="000850D7">
        <w:t xml:space="preserve">, R., </w:t>
      </w:r>
      <w:r>
        <w:t>and</w:t>
      </w:r>
      <w:r w:rsidRPr="000850D7">
        <w:t xml:space="preserve"> Haslam, S. A. (2025) </w:t>
      </w:r>
      <w:r>
        <w:t>‘</w:t>
      </w:r>
      <w:r w:rsidRPr="000850D7">
        <w:t>How the Social Identity Approach Can Improve Interoperability in Multi‐Agency Emergency Response Teams</w:t>
      </w:r>
      <w:r>
        <w:t>’,</w:t>
      </w:r>
      <w:r w:rsidRPr="000850D7">
        <w:t> </w:t>
      </w:r>
      <w:r w:rsidRPr="000850D7">
        <w:rPr>
          <w:i/>
          <w:iCs/>
        </w:rPr>
        <w:t>Journal of Contingencies and Crisis Management</w:t>
      </w:r>
      <w:r w:rsidRPr="000850D7">
        <w:t>, </w:t>
      </w:r>
      <w:r w:rsidRPr="00B652C2">
        <w:t>33(2</w:t>
      </w:r>
      <w:r w:rsidRPr="000850D7">
        <w:t xml:space="preserve">), </w:t>
      </w:r>
      <w:r>
        <w:t xml:space="preserve">pp. </w:t>
      </w:r>
      <w:r w:rsidRPr="000850D7">
        <w:t>e70050.</w:t>
      </w:r>
      <w:r>
        <w:t xml:space="preserve"> </w:t>
      </w:r>
      <w:r w:rsidRPr="004D27DE">
        <w:t xml:space="preserve">Available at: </w:t>
      </w:r>
      <w:hyperlink w:history="1" r:id="rId12">
        <w:r w:rsidRPr="00C0370C">
          <w:rPr>
            <w:rStyle w:val="Hyperlink"/>
          </w:rPr>
          <w:t>https://onlinelibrary.wiley.com/doi/pdf/10.1111/1468-5973.70050</w:t>
        </w:r>
      </w:hyperlink>
      <w:r>
        <w:t xml:space="preserve"> </w:t>
      </w:r>
      <w:r w:rsidRPr="004D27DE">
        <w:t xml:space="preserve">(Accessed: </w:t>
      </w:r>
      <w:r>
        <w:t>16</w:t>
      </w:r>
      <w:r w:rsidRPr="004D27DE">
        <w:t xml:space="preserve"> July 2026).</w:t>
      </w:r>
    </w:p>
    <w:p w:rsidRPr="004D27DE" w:rsidR="00CB20A1" w:rsidP="00A35E38" w:rsidRDefault="00CB20A1" w14:paraId="42279D8F" w14:textId="77777777">
      <w:r w:rsidRPr="004D27DE">
        <w:t>Devi, S. (2025) </w:t>
      </w:r>
      <w:r w:rsidRPr="004D27DE">
        <w:rPr>
          <w:i/>
          <w:iCs/>
        </w:rPr>
        <w:t>Business Documentation: A Technical Communication Skill</w:t>
      </w:r>
      <w:r w:rsidRPr="004D27DE">
        <w:t xml:space="preserve">. </w:t>
      </w:r>
      <w:proofErr w:type="spellStart"/>
      <w:r w:rsidRPr="004D27DE">
        <w:t>Chyren</w:t>
      </w:r>
      <w:proofErr w:type="spellEnd"/>
      <w:r w:rsidRPr="004D27DE">
        <w:t xml:space="preserve"> Publication. Available at: </w:t>
      </w:r>
      <w:hyperlink w:history="1" r:id="rId13">
        <w:r w:rsidRPr="004D27DE">
          <w:rPr>
            <w:rStyle w:val="Hyperlink"/>
          </w:rPr>
          <w:t>https://books.google.com/books?hl=en&amp;lr=&amp;id=ZvtUEQAAQBAJ&amp;oi=fnd&amp;pg=PP1&amp;dq=Devi,+S.+(2025)+Business+Documentation:+A+Technical+Communication+Skill.+Chyren+Publication.&amp;ots=UJikNJUzh8&amp;sig=l1uMFsDLVDictu7MkPhDjLWm59I</w:t>
        </w:r>
      </w:hyperlink>
      <w:r w:rsidRPr="004D27DE">
        <w:t xml:space="preserve"> (Accessed: 07 July 2026).</w:t>
      </w:r>
    </w:p>
    <w:p w:rsidRPr="0002053C" w:rsidR="00CB20A1" w:rsidP="0002053C" w:rsidRDefault="00CB20A1" w14:paraId="04D44B53" w14:textId="77777777">
      <w:pPr>
        <w:rPr>
          <w:i/>
          <w:iCs/>
          <w:color w:val="EE0000"/>
        </w:rPr>
      </w:pPr>
      <w:r w:rsidRPr="0002053C">
        <w:rPr>
          <w:color w:val="EE0000"/>
        </w:rPr>
        <w:lastRenderedPageBreak/>
        <w:t xml:space="preserve">Fortune Business Insights (2026) </w:t>
      </w:r>
      <w:r w:rsidRPr="0002053C">
        <w:rPr>
          <w:i/>
          <w:iCs/>
          <w:color w:val="EE0000"/>
        </w:rPr>
        <w:t>U.K. Home Healthcare Market Size</w:t>
      </w:r>
      <w:r w:rsidRPr="0002053C">
        <w:rPr>
          <w:color w:val="EE0000"/>
        </w:rPr>
        <w:t xml:space="preserve">. Available at: </w:t>
      </w:r>
      <w:hyperlink w:history="1" r:id="rId14">
        <w:r w:rsidRPr="0002053C">
          <w:rPr>
            <w:rStyle w:val="Hyperlink"/>
            <w:color w:val="EE0000"/>
          </w:rPr>
          <w:t>https://www.fortunebusinessinsights.com/industry-reports/u-k-home-healthcare-market-100866</w:t>
        </w:r>
      </w:hyperlink>
      <w:r w:rsidRPr="0002053C">
        <w:rPr>
          <w:color w:val="EE0000"/>
        </w:rPr>
        <w:t xml:space="preserve"> (Accessed: 15 July 2026).</w:t>
      </w:r>
    </w:p>
    <w:p w:rsidRPr="004D27DE" w:rsidR="00CB20A1" w:rsidP="00A35E38" w:rsidRDefault="00CB20A1" w14:paraId="5F5A507E" w14:textId="77777777">
      <w:r w:rsidRPr="004D27DE">
        <w:t>Kusumalatha, D. V. (2023) ‘Extension Communication Models and Strategies’, </w:t>
      </w:r>
      <w:r w:rsidRPr="004D27DE">
        <w:rPr>
          <w:i/>
          <w:iCs/>
        </w:rPr>
        <w:t>Chief Editor</w:t>
      </w:r>
      <w:r w:rsidRPr="004D27DE">
        <w:t xml:space="preserve">, 41. Available at: </w:t>
      </w:r>
      <w:hyperlink w:history="1" w:anchor="page=47" r:id="rId15">
        <w:r w:rsidRPr="004D27DE">
          <w:rPr>
            <w:rStyle w:val="Hyperlink"/>
          </w:rPr>
          <w:t>https://www.researchgate.net/profile/Tanvi-Sharma-29/publication/378067789_Economic_Problems_and_Financial_Support_to_Elderly_Women_in_Rural_and_Urban_Areas_of_Haryana/links/65c4e7661bed776ae3379b8b/Economic-Problems-and-Financial-Support-to-Elderly-Women-in-Rural-and-Urban-Areas-of-Haryana.pdf#page=47</w:t>
        </w:r>
      </w:hyperlink>
      <w:r w:rsidRPr="004D27DE">
        <w:t xml:space="preserve"> (Accessed: 07 July 2026).</w:t>
      </w:r>
    </w:p>
    <w:p w:rsidRPr="004D27DE" w:rsidR="00CB20A1" w:rsidP="00A35E38" w:rsidRDefault="00CB20A1" w14:paraId="26CEEB75" w14:textId="77777777">
      <w:r w:rsidRPr="004D27DE">
        <w:t xml:space="preserve">Legislation.gov.uk (2026) </w:t>
      </w:r>
      <w:r w:rsidRPr="004D27DE">
        <w:rPr>
          <w:i/>
          <w:iCs/>
        </w:rPr>
        <w:t>Data Protection Act 2018</w:t>
      </w:r>
      <w:r w:rsidRPr="004D27DE">
        <w:t xml:space="preserve">. Available at: </w:t>
      </w:r>
      <w:hyperlink w:history="1" r:id="rId16">
        <w:r w:rsidRPr="004D27DE">
          <w:rPr>
            <w:rStyle w:val="Hyperlink"/>
          </w:rPr>
          <w:t>https://www.legislation.gov.uk/ukpga/2018/12/contents</w:t>
        </w:r>
      </w:hyperlink>
      <w:r w:rsidRPr="004D27DE">
        <w:t xml:space="preserve"> (Accessed: 07 July 2026).</w:t>
      </w:r>
    </w:p>
    <w:p w:rsidRPr="004D27DE" w:rsidR="00CB20A1" w:rsidP="00927471" w:rsidRDefault="00CB20A1" w14:paraId="6B2BC0BE" w14:textId="77777777">
      <w:r w:rsidRPr="004D27DE">
        <w:t xml:space="preserve">Legislation.gov.uk (2026) </w:t>
      </w:r>
      <w:r w:rsidRPr="004D27DE">
        <w:rPr>
          <w:i/>
          <w:iCs/>
        </w:rPr>
        <w:t>Equality Act 2010</w:t>
      </w:r>
      <w:r w:rsidRPr="004D27DE">
        <w:t xml:space="preserve">. Available at: </w:t>
      </w:r>
      <w:hyperlink w:history="1" r:id="rId17">
        <w:r w:rsidRPr="004D27DE">
          <w:rPr>
            <w:rStyle w:val="Hyperlink"/>
          </w:rPr>
          <w:t>https://www.legislation.gov.uk/ukpga/2010/15/contents</w:t>
        </w:r>
      </w:hyperlink>
      <w:r w:rsidRPr="004D27DE">
        <w:t xml:space="preserve"> (Accessed: 07 July 2026).</w:t>
      </w:r>
    </w:p>
    <w:p w:rsidRPr="004D27DE" w:rsidR="00CB20A1" w:rsidP="00A35E38" w:rsidRDefault="00CB20A1" w14:paraId="088E1FAE" w14:textId="77777777">
      <w:proofErr w:type="spellStart"/>
      <w:r w:rsidRPr="004D27DE">
        <w:t>Milte</w:t>
      </w:r>
      <w:proofErr w:type="spellEnd"/>
      <w:r w:rsidRPr="004D27DE">
        <w:t>, R., Jemere, D., Lay, K., Hutchinson, C., Thomas, J., Murray, J., and Ratcliffe, J. (2023) ‘A scoping review of the use of visual tools and adapted easy-read approaches in Quality-of-Life instruments for adults’, </w:t>
      </w:r>
      <w:r w:rsidRPr="004D27DE">
        <w:rPr>
          <w:i/>
          <w:iCs/>
        </w:rPr>
        <w:t>Quality of Life Research</w:t>
      </w:r>
      <w:r w:rsidRPr="004D27DE">
        <w:t xml:space="preserve">, 32(12), pp. 3291-3308. Available at: </w:t>
      </w:r>
      <w:hyperlink w:history="1" r:id="rId18">
        <w:r w:rsidRPr="004D27DE">
          <w:rPr>
            <w:rStyle w:val="Hyperlink"/>
          </w:rPr>
          <w:t>https://link.springer.com/content/pdf/10.1007/s11136-023-03450-w.pdf</w:t>
        </w:r>
      </w:hyperlink>
      <w:r w:rsidRPr="004D27DE">
        <w:t xml:space="preserve"> (Accessed: 07 July 2026).</w:t>
      </w:r>
    </w:p>
    <w:p w:rsidR="00CB20A1" w:rsidP="00BF7F56" w:rsidRDefault="00CB20A1" w14:paraId="4F6203FE" w14:textId="77777777">
      <w:bookmarkStart w:name="_Hlk234327176" w:id="8"/>
      <w:r w:rsidRPr="004D27DE">
        <w:t>Moreno</w:t>
      </w:r>
      <w:bookmarkEnd w:id="8"/>
      <w:r w:rsidRPr="004D27DE">
        <w:t>, L., Petrie, H., Martínez, P., and Alarcon, R. (2024) ‘Designing user interfaces for content simplification aimed at people with cognitive impairments’, </w:t>
      </w:r>
      <w:r w:rsidRPr="004D27DE">
        <w:rPr>
          <w:i/>
          <w:iCs/>
        </w:rPr>
        <w:t>Universal access in the information society</w:t>
      </w:r>
      <w:r w:rsidRPr="004D27DE">
        <w:t xml:space="preserve">, 23(1), pp. 99-117. Available at: </w:t>
      </w:r>
      <w:hyperlink w:history="1" r:id="rId19">
        <w:r w:rsidRPr="004D27DE">
          <w:rPr>
            <w:rStyle w:val="Hyperlink"/>
          </w:rPr>
          <w:t>https://link.springer.com/content/pdf/10.1007/s10209-023-00986-z.pdf</w:t>
        </w:r>
      </w:hyperlink>
      <w:r w:rsidRPr="004D27DE">
        <w:t xml:space="preserve"> (Accessed: 07 July 2026).</w:t>
      </w:r>
    </w:p>
    <w:p w:rsidRPr="004D27DE" w:rsidR="00BF6800" w:rsidP="00BF7F56" w:rsidRDefault="00BF6800" w14:paraId="182193A4" w14:textId="77777777"/>
    <w:p w:rsidRPr="004D27DE" w:rsidR="005F3E4D" w:rsidRDefault="005F3E4D" w14:paraId="1B3B03DD" w14:textId="77777777">
      <w:pPr>
        <w:pStyle w:val="Heading1"/>
        <w:rPr>
          <w:b w:val="0"/>
          <w:bCs/>
        </w:rPr>
      </w:pPr>
    </w:p>
    <w:sectPr w:rsidRPr="004D27DE" w:rsidR="005F3E4D" w:rsidSect="00FA6231">
      <w:footerReference w:type="default" r:id="rId2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929AA" w:rsidP="00BF7F56" w:rsidRDefault="002929AA" w14:paraId="1045C3AD" w14:textId="77777777">
      <w:pPr>
        <w:spacing w:before="0" w:after="0" w:line="240" w:lineRule="auto"/>
      </w:pPr>
      <w:r>
        <w:separator/>
      </w:r>
    </w:p>
  </w:endnote>
  <w:endnote w:type="continuationSeparator" w:id="0">
    <w:p w:rsidR="002929AA" w:rsidP="00BF7F56" w:rsidRDefault="002929AA" w14:paraId="78C0FB45"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509154"/>
      <w:docPartObj>
        <w:docPartGallery w:val="Page Numbers (Bottom of Page)"/>
        <w:docPartUnique/>
      </w:docPartObj>
    </w:sdtPr>
    <w:sdtEndPr>
      <w:rPr>
        <w:noProof/>
      </w:rPr>
    </w:sdtEndPr>
    <w:sdtContent>
      <w:p w:rsidR="00BF7F56" w:rsidRDefault="00FA6231" w14:paraId="443196C1" w14:textId="2EEC74A8">
        <w:pPr>
          <w:pStyle w:val="Footer"/>
          <w:jc w:val="right"/>
        </w:pPr>
        <w:r>
          <w:fldChar w:fldCharType="begin"/>
        </w:r>
        <w:r w:rsidR="00BF7F56">
          <w:instrText xml:space="preserve"> PAGE   \* MERGEFORMAT </w:instrText>
        </w:r>
        <w:r>
          <w:fldChar w:fldCharType="separate"/>
        </w:r>
        <w:r w:rsidR="00CB20A1">
          <w:rPr>
            <w:noProof/>
          </w:rPr>
          <w:t>10</w:t>
        </w:r>
        <w:r>
          <w:rPr>
            <w:noProof/>
          </w:rPr>
          <w:fldChar w:fldCharType="end"/>
        </w:r>
      </w:p>
    </w:sdtContent>
  </w:sdt>
  <w:p w:rsidR="00BF7F56" w:rsidRDefault="00BF7F56" w14:paraId="3D7148D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929AA" w:rsidP="00BF7F56" w:rsidRDefault="002929AA" w14:paraId="2A08F367" w14:textId="77777777">
      <w:pPr>
        <w:spacing w:before="0" w:after="0" w:line="240" w:lineRule="auto"/>
      </w:pPr>
      <w:r>
        <w:separator/>
      </w:r>
    </w:p>
  </w:footnote>
  <w:footnote w:type="continuationSeparator" w:id="0">
    <w:p w:rsidR="002929AA" w:rsidP="00BF7F56" w:rsidRDefault="002929AA" w14:paraId="0BB03E8E" w14:textId="7777777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1D9A"/>
    <w:rsid w:val="00001BA6"/>
    <w:rsid w:val="0002053C"/>
    <w:rsid w:val="000769C8"/>
    <w:rsid w:val="000E6A56"/>
    <w:rsid w:val="000F0C31"/>
    <w:rsid w:val="00111B32"/>
    <w:rsid w:val="001C09BC"/>
    <w:rsid w:val="001C5A09"/>
    <w:rsid w:val="0024366F"/>
    <w:rsid w:val="0029002F"/>
    <w:rsid w:val="002929AA"/>
    <w:rsid w:val="00360028"/>
    <w:rsid w:val="003F09B8"/>
    <w:rsid w:val="003F3344"/>
    <w:rsid w:val="00406568"/>
    <w:rsid w:val="004241F3"/>
    <w:rsid w:val="00440200"/>
    <w:rsid w:val="00444FD8"/>
    <w:rsid w:val="004D02BB"/>
    <w:rsid w:val="004D27DE"/>
    <w:rsid w:val="005159F2"/>
    <w:rsid w:val="0056789E"/>
    <w:rsid w:val="00574C1D"/>
    <w:rsid w:val="005F3E4D"/>
    <w:rsid w:val="00621D48"/>
    <w:rsid w:val="0065107B"/>
    <w:rsid w:val="006C1D44"/>
    <w:rsid w:val="006C64F4"/>
    <w:rsid w:val="006F35D7"/>
    <w:rsid w:val="00781720"/>
    <w:rsid w:val="007A4EB4"/>
    <w:rsid w:val="00844A5D"/>
    <w:rsid w:val="0086018E"/>
    <w:rsid w:val="008714EB"/>
    <w:rsid w:val="00927471"/>
    <w:rsid w:val="00941D9A"/>
    <w:rsid w:val="00966578"/>
    <w:rsid w:val="00A35E38"/>
    <w:rsid w:val="00A424C4"/>
    <w:rsid w:val="00A65CA8"/>
    <w:rsid w:val="00AB0F3E"/>
    <w:rsid w:val="00AC4C3B"/>
    <w:rsid w:val="00AD1A16"/>
    <w:rsid w:val="00AE46AC"/>
    <w:rsid w:val="00B62DF4"/>
    <w:rsid w:val="00BE6840"/>
    <w:rsid w:val="00BF6800"/>
    <w:rsid w:val="00BF7F56"/>
    <w:rsid w:val="00C66711"/>
    <w:rsid w:val="00C778D1"/>
    <w:rsid w:val="00CB20A1"/>
    <w:rsid w:val="00CC5E7F"/>
    <w:rsid w:val="00D43644"/>
    <w:rsid w:val="00D648E6"/>
    <w:rsid w:val="00D94B01"/>
    <w:rsid w:val="00DA58AE"/>
    <w:rsid w:val="00DE36E2"/>
    <w:rsid w:val="00E30DAC"/>
    <w:rsid w:val="00E630B8"/>
    <w:rsid w:val="00E90537"/>
    <w:rsid w:val="00E95FA2"/>
    <w:rsid w:val="00EA3027"/>
    <w:rsid w:val="00F03E3A"/>
    <w:rsid w:val="00F64213"/>
    <w:rsid w:val="00F66715"/>
    <w:rsid w:val="00F667C2"/>
    <w:rsid w:val="00F81F99"/>
    <w:rsid w:val="00F9424C"/>
    <w:rsid w:val="00FA29DD"/>
    <w:rsid w:val="00FA6231"/>
    <w:rsid w:val="00FC68DB"/>
    <w:rsid w:val="4FE8055E"/>
    <w:rsid w:val="54977D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AA3E2"/>
  <w15:docId w15:val="{0DC5F481-320B-4603-B3C6-C1FE952FA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74C1D"/>
    <w:pPr>
      <w:spacing w:before="120" w:after="120" w:line="360" w:lineRule="auto"/>
      <w:jc w:val="both"/>
    </w:pPr>
    <w:rPr>
      <w:rFonts w:ascii="Arial" w:hAnsi="Arial"/>
      <w:color w:val="000000" w:themeColor="text1"/>
      <w:sz w:val="22"/>
      <w:lang w:val="en-GB"/>
    </w:rPr>
  </w:style>
  <w:style w:type="paragraph" w:styleId="Heading1">
    <w:name w:val="heading 1"/>
    <w:basedOn w:val="Normal"/>
    <w:next w:val="Normal"/>
    <w:link w:val="Heading1Char"/>
    <w:uiPriority w:val="9"/>
    <w:qFormat/>
    <w:rsid w:val="00941D9A"/>
    <w:pPr>
      <w:keepNext/>
      <w:keepLines/>
      <w:jc w:val="left"/>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rsid w:val="00941D9A"/>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1D9A"/>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1D9A"/>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1D9A"/>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1D9A"/>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1D9A"/>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1D9A"/>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1D9A"/>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41D9A"/>
    <w:rPr>
      <w:rFonts w:ascii="Times New Roman" w:hAnsi="Times New Roman" w:eastAsiaTheme="majorEastAsia" w:cstheme="majorBidi"/>
      <w:b/>
      <w:color w:val="000000" w:themeColor="text1"/>
      <w:szCs w:val="40"/>
      <w:lang w:val="en-GB"/>
    </w:rPr>
  </w:style>
  <w:style w:type="character" w:styleId="Heading2Char" w:customStyle="1">
    <w:name w:val="Heading 2 Char"/>
    <w:basedOn w:val="DefaultParagraphFont"/>
    <w:link w:val="Heading2"/>
    <w:uiPriority w:val="9"/>
    <w:semiHidden/>
    <w:rsid w:val="00941D9A"/>
    <w:rPr>
      <w:rFonts w:asciiTheme="majorHAnsi" w:hAnsiTheme="majorHAnsi" w:eastAsiaTheme="majorEastAsia" w:cstheme="majorBidi"/>
      <w:color w:val="2F5496" w:themeColor="accent1" w:themeShade="BF"/>
      <w:sz w:val="32"/>
      <w:szCs w:val="32"/>
      <w:lang w:val="en-GB"/>
    </w:rPr>
  </w:style>
  <w:style w:type="character" w:styleId="Heading3Char" w:customStyle="1">
    <w:name w:val="Heading 3 Char"/>
    <w:basedOn w:val="DefaultParagraphFont"/>
    <w:link w:val="Heading3"/>
    <w:uiPriority w:val="9"/>
    <w:semiHidden/>
    <w:rsid w:val="00941D9A"/>
    <w:rPr>
      <w:rFonts w:eastAsiaTheme="majorEastAsia" w:cstheme="majorBidi"/>
      <w:color w:val="2F5496" w:themeColor="accent1" w:themeShade="BF"/>
      <w:sz w:val="28"/>
      <w:szCs w:val="28"/>
      <w:lang w:val="en-GB"/>
    </w:rPr>
  </w:style>
  <w:style w:type="character" w:styleId="Heading4Char" w:customStyle="1">
    <w:name w:val="Heading 4 Char"/>
    <w:basedOn w:val="DefaultParagraphFont"/>
    <w:link w:val="Heading4"/>
    <w:uiPriority w:val="9"/>
    <w:semiHidden/>
    <w:rsid w:val="00941D9A"/>
    <w:rPr>
      <w:rFonts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semiHidden/>
    <w:rsid w:val="00941D9A"/>
    <w:rPr>
      <w:rFonts w:eastAsiaTheme="majorEastAsia" w:cstheme="majorBidi"/>
      <w:color w:val="2F5496" w:themeColor="accent1" w:themeShade="BF"/>
      <w:lang w:val="en-GB"/>
    </w:rPr>
  </w:style>
  <w:style w:type="character" w:styleId="Heading6Char" w:customStyle="1">
    <w:name w:val="Heading 6 Char"/>
    <w:basedOn w:val="DefaultParagraphFont"/>
    <w:link w:val="Heading6"/>
    <w:uiPriority w:val="9"/>
    <w:semiHidden/>
    <w:rsid w:val="00941D9A"/>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941D9A"/>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941D9A"/>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941D9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41D9A"/>
    <w:pPr>
      <w:spacing w:after="80" w:line="240" w:lineRule="auto"/>
      <w:contextualSpacing/>
    </w:pPr>
    <w:rPr>
      <w:rFonts w:asciiTheme="majorHAnsi" w:hAnsiTheme="majorHAnsi"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941D9A"/>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941D9A"/>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41D9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41D9A"/>
    <w:pPr>
      <w:spacing w:before="160"/>
      <w:jc w:val="center"/>
    </w:pPr>
    <w:rPr>
      <w:i/>
      <w:iCs/>
      <w:color w:val="404040" w:themeColor="text1" w:themeTint="BF"/>
    </w:rPr>
  </w:style>
  <w:style w:type="character" w:styleId="QuoteChar" w:customStyle="1">
    <w:name w:val="Quote Char"/>
    <w:basedOn w:val="DefaultParagraphFont"/>
    <w:link w:val="Quote"/>
    <w:uiPriority w:val="29"/>
    <w:rsid w:val="00941D9A"/>
    <w:rPr>
      <w:rFonts w:ascii="Times New Roman" w:hAnsi="Times New Roman"/>
      <w:i/>
      <w:iCs/>
      <w:color w:val="404040" w:themeColor="text1" w:themeTint="BF"/>
      <w:lang w:val="en-GB"/>
    </w:rPr>
  </w:style>
  <w:style w:type="paragraph" w:styleId="ListParagraph">
    <w:name w:val="List Paragraph"/>
    <w:basedOn w:val="Normal"/>
    <w:uiPriority w:val="34"/>
    <w:qFormat/>
    <w:rsid w:val="00941D9A"/>
    <w:pPr>
      <w:ind w:left="720"/>
      <w:contextualSpacing/>
    </w:pPr>
  </w:style>
  <w:style w:type="character" w:styleId="IntenseEmphasis">
    <w:name w:val="Intense Emphasis"/>
    <w:basedOn w:val="DefaultParagraphFont"/>
    <w:uiPriority w:val="21"/>
    <w:qFormat/>
    <w:rsid w:val="00941D9A"/>
    <w:rPr>
      <w:i/>
      <w:iCs/>
      <w:color w:val="2F5496" w:themeColor="accent1" w:themeShade="BF"/>
    </w:rPr>
  </w:style>
  <w:style w:type="paragraph" w:styleId="IntenseQuote">
    <w:name w:val="Intense Quote"/>
    <w:basedOn w:val="Normal"/>
    <w:next w:val="Normal"/>
    <w:link w:val="IntenseQuoteChar"/>
    <w:uiPriority w:val="30"/>
    <w:qFormat/>
    <w:rsid w:val="00941D9A"/>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941D9A"/>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941D9A"/>
    <w:rPr>
      <w:b/>
      <w:bCs/>
      <w:smallCaps/>
      <w:color w:val="2F5496" w:themeColor="accent1" w:themeShade="BF"/>
      <w:spacing w:val="5"/>
    </w:rPr>
  </w:style>
  <w:style w:type="character" w:styleId="Hyperlink">
    <w:name w:val="Hyperlink"/>
    <w:basedOn w:val="DefaultParagraphFont"/>
    <w:uiPriority w:val="99"/>
    <w:unhideWhenUsed/>
    <w:rsid w:val="00360028"/>
    <w:rPr>
      <w:color w:val="0563C1" w:themeColor="hyperlink"/>
      <w:u w:val="single"/>
    </w:rPr>
  </w:style>
  <w:style w:type="character" w:styleId="UnresolvedMention1" w:customStyle="1">
    <w:name w:val="Unresolved Mention1"/>
    <w:basedOn w:val="DefaultParagraphFont"/>
    <w:uiPriority w:val="99"/>
    <w:semiHidden/>
    <w:unhideWhenUsed/>
    <w:rsid w:val="00360028"/>
    <w:rPr>
      <w:color w:val="605E5C"/>
      <w:shd w:val="clear" w:color="auto" w:fill="E1DFDD"/>
    </w:rPr>
  </w:style>
  <w:style w:type="paragraph" w:styleId="TOCHeading">
    <w:name w:val="TOC Heading"/>
    <w:basedOn w:val="Heading1"/>
    <w:next w:val="Normal"/>
    <w:uiPriority w:val="39"/>
    <w:unhideWhenUsed/>
    <w:qFormat/>
    <w:rsid w:val="00BF7F56"/>
    <w:pPr>
      <w:spacing w:before="240" w:after="0" w:line="259" w:lineRule="auto"/>
      <w:outlineLvl w:val="9"/>
    </w:pPr>
    <w:rPr>
      <w:rFonts w:asciiTheme="majorHAnsi" w:hAnsiTheme="majorHAnsi"/>
      <w:b w:val="0"/>
      <w:color w:val="2F5496" w:themeColor="accent1" w:themeShade="BF"/>
      <w:kern w:val="0"/>
      <w:sz w:val="32"/>
      <w:szCs w:val="32"/>
      <w:lang w:val="en-US"/>
    </w:rPr>
  </w:style>
  <w:style w:type="paragraph" w:styleId="TOC1">
    <w:name w:val="toc 1"/>
    <w:basedOn w:val="Normal"/>
    <w:next w:val="Normal"/>
    <w:autoRedefine/>
    <w:uiPriority w:val="39"/>
    <w:unhideWhenUsed/>
    <w:rsid w:val="00BF7F56"/>
    <w:pPr>
      <w:spacing w:after="100"/>
    </w:pPr>
  </w:style>
  <w:style w:type="paragraph" w:styleId="Header">
    <w:name w:val="header"/>
    <w:basedOn w:val="Normal"/>
    <w:link w:val="HeaderChar"/>
    <w:uiPriority w:val="99"/>
    <w:unhideWhenUsed/>
    <w:rsid w:val="00BF7F56"/>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BF7F56"/>
    <w:rPr>
      <w:rFonts w:ascii="Arial" w:hAnsi="Arial"/>
      <w:color w:val="000000" w:themeColor="text1"/>
      <w:sz w:val="22"/>
      <w:lang w:val="en-GB"/>
    </w:rPr>
  </w:style>
  <w:style w:type="paragraph" w:styleId="Footer">
    <w:name w:val="footer"/>
    <w:basedOn w:val="Normal"/>
    <w:link w:val="FooterChar"/>
    <w:uiPriority w:val="99"/>
    <w:unhideWhenUsed/>
    <w:rsid w:val="00BF7F56"/>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BF7F56"/>
    <w:rPr>
      <w:rFonts w:ascii="Arial" w:hAnsi="Arial"/>
      <w:color w:val="000000" w:themeColor="text1"/>
      <w:sz w:val="22"/>
      <w:lang w:val="en-GB"/>
    </w:rPr>
  </w:style>
  <w:style w:type="paragraph" w:styleId="BalloonText">
    <w:name w:val="Balloon Text"/>
    <w:basedOn w:val="Normal"/>
    <w:link w:val="BalloonTextChar"/>
    <w:uiPriority w:val="99"/>
    <w:semiHidden/>
    <w:unhideWhenUsed/>
    <w:rsid w:val="0029002F"/>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29002F"/>
    <w:rPr>
      <w:rFonts w:ascii="Tahoma" w:hAnsi="Tahoma" w:cs="Tahoma"/>
      <w:color w:val="000000" w:themeColor="text1"/>
      <w:sz w:val="16"/>
      <w:szCs w:val="16"/>
      <w:lang w:val="en-GB"/>
    </w:rPr>
  </w:style>
  <w:style w:type="character" w:styleId="UnresolvedMention2" w:customStyle="1">
    <w:name w:val="Unresolved Mention2"/>
    <w:basedOn w:val="DefaultParagraphFont"/>
    <w:uiPriority w:val="99"/>
    <w:semiHidden/>
    <w:unhideWhenUsed/>
    <w:rsid w:val="000205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thelancet.com/journals/lanhl/article/PIIS2666-7568%2824%2900008-4/fulltext?s=09" TargetMode="External" Id="rId8" /><Relationship Type="http://schemas.openxmlformats.org/officeDocument/2006/relationships/hyperlink" Target="https://books.google.com/books?hl=en&amp;lr=&amp;id=ZvtUEQAAQBAJ&amp;oi=fnd&amp;pg=PP1&amp;dq=Devi,+S.+(2025)+Business+Documentation:+A+Technical+Communication+Skill.+Chyren+Publication.&amp;ots=UJikNJUzh8&amp;sig=l1uMFsDLVDictu7MkPhDjLWm59I" TargetMode="External" Id="rId13" /><Relationship Type="http://schemas.openxmlformats.org/officeDocument/2006/relationships/hyperlink" Target="https://link.springer.com/content/pdf/10.1007/s11136-023-03450-w.pdf" TargetMode="External" Id="rId18" /><Relationship Type="http://schemas.openxmlformats.org/officeDocument/2006/relationships/webSettings" Target="webSettings.xml" Id="rId3" /><Relationship Type="http://schemas.openxmlformats.org/officeDocument/2006/relationships/fontTable" Target="fontTable.xml" Id="rId21" /><Relationship Type="http://schemas.openxmlformats.org/officeDocument/2006/relationships/hyperlink" Target="https://publishing.emanresearch.org/CurrentIssuePDF/EmanPublisher_1_6218angiotherapy-8510497.pdf" TargetMode="External" Id="rId7" /><Relationship Type="http://schemas.openxmlformats.org/officeDocument/2006/relationships/hyperlink" Target="https://onlinelibrary.wiley.com/doi/pdf/10.1111/1468-5973.70050" TargetMode="External" Id="rId12" /><Relationship Type="http://schemas.openxmlformats.org/officeDocument/2006/relationships/hyperlink" Target="https://www.legislation.gov.uk/ukpga/2010/15/contents" TargetMode="External" Id="rId17" /><Relationship Type="http://schemas.openxmlformats.org/officeDocument/2006/relationships/settings" Target="settings.xml" Id="rId2" /><Relationship Type="http://schemas.openxmlformats.org/officeDocument/2006/relationships/hyperlink" Target="https://www.legislation.gov.uk/ukpga/2018/12/contents" TargetMode="External" Id="rId16" /><Relationship Type="http://schemas.openxmlformats.org/officeDocument/2006/relationships/footer" Target="footer1.xml" Id="rId20"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hyperlink" Target="https://ojs.lib.uwo.ca/index.php/ijoh/article/download/17513/17736" TargetMode="External" Id="rId11" /><Relationship Type="http://schemas.openxmlformats.org/officeDocument/2006/relationships/endnotes" Target="endnotes.xml" Id="rId5" /><Relationship Type="http://schemas.openxmlformats.org/officeDocument/2006/relationships/hyperlink" Target="https://www.researchgate.net/profile/Tanvi-Sharma-29/publication/378067789_Economic_Problems_and_Financial_Support_to_Elderly_Women_in_Rural_and_Urban_Areas_of_Haryana/links/65c4e7661bed776ae3379b8b/Economic-Problems-and-Financial-Support-to-Elderly-Women-in-Rural-and-Urban-Areas-of-Haryana.pdf" TargetMode="External" Id="rId15" /><Relationship Type="http://schemas.openxmlformats.org/officeDocument/2006/relationships/hyperlink" Target="https://lanternpublishing.com/wp-content/uploads/2023/10/PG-Confidentiality-SC.pdf" TargetMode="External" Id="rId10" /><Relationship Type="http://schemas.openxmlformats.org/officeDocument/2006/relationships/hyperlink" Target="https://link.springer.com/content/pdf/10.1007/s10209-023-00986-z.pdf" TargetMode="External" Id="rId19" /><Relationship Type="http://schemas.openxmlformats.org/officeDocument/2006/relationships/footnotes" Target="footnotes.xml" Id="rId4" /><Relationship Type="http://schemas.openxmlformats.org/officeDocument/2006/relationships/hyperlink" Target="https://books.google.com/books?hl=en&amp;lr=&amp;id=qpqJEQAAQBAJ&amp;oi=fnd&amp;pg=PT21&amp;dq=Basu,+S.+N.+(2025)+Communication+in+Healthcare+Principles,+Skills+and+Practices.+Prabhat+Prakashan.&amp;ots=DOpvdRc7JM&amp;sig=Q3vXk1-P8BdjNJdiS2O5WWF6_lo" TargetMode="External" Id="rId9" /><Relationship Type="http://schemas.openxmlformats.org/officeDocument/2006/relationships/hyperlink" Target="https://www.fortunebusinessinsights.com/industry-reports/u-k-home-healthcare-market-100866" TargetMode="External" Id="rId14" /><Relationship Type="http://schemas.openxmlformats.org/officeDocument/2006/relationships/theme" Target="theme/theme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Rajnit Kaur (2527844)</lastModifiedBy>
  <revision>57</revision>
  <dcterms:created xsi:type="dcterms:W3CDTF">2026-07-07T07:18:00.0000000Z</dcterms:created>
  <dcterms:modified xsi:type="dcterms:W3CDTF">2026-07-19T19:44:44.9328587Z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0656d6c7-b766-4017-a2d0-145a9078b7ca</vt:lpwstr>
  </property>
</Properties>
</file>