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2E5F49" w14:textId="77777777" w:rsidR="005743FA" w:rsidRDefault="005743FA">
      <w:pPr>
        <w:jc w:val="center"/>
        <w:rPr>
          <w:b/>
        </w:rPr>
      </w:pPr>
    </w:p>
    <w:p w14:paraId="720A561F" w14:textId="77777777" w:rsidR="005743FA" w:rsidRDefault="005743FA">
      <w:pPr>
        <w:jc w:val="center"/>
        <w:rPr>
          <w:b/>
        </w:rPr>
      </w:pPr>
    </w:p>
    <w:p w14:paraId="1196E4F7" w14:textId="77777777" w:rsidR="005743FA" w:rsidRDefault="005743FA">
      <w:pPr>
        <w:jc w:val="center"/>
        <w:rPr>
          <w:b/>
        </w:rPr>
      </w:pPr>
    </w:p>
    <w:p w14:paraId="64DA9B64" w14:textId="77777777" w:rsidR="005743FA" w:rsidRDefault="005743FA">
      <w:pPr>
        <w:jc w:val="center"/>
        <w:rPr>
          <w:b/>
        </w:rPr>
      </w:pPr>
    </w:p>
    <w:p w14:paraId="318825FE" w14:textId="77777777" w:rsidR="005743FA" w:rsidRDefault="005743FA">
      <w:pPr>
        <w:jc w:val="center"/>
        <w:rPr>
          <w:b/>
        </w:rPr>
      </w:pPr>
    </w:p>
    <w:p w14:paraId="4F2652DF" w14:textId="77777777" w:rsidR="005743FA" w:rsidRDefault="005743FA">
      <w:pPr>
        <w:jc w:val="center"/>
        <w:rPr>
          <w:b/>
        </w:rPr>
      </w:pPr>
    </w:p>
    <w:p w14:paraId="0C460770" w14:textId="77777777" w:rsidR="005743FA" w:rsidRDefault="00CD4F9D">
      <w:pPr>
        <w:jc w:val="center"/>
        <w:rPr>
          <w:b/>
          <w:sz w:val="32"/>
          <w:szCs w:val="32"/>
        </w:rPr>
      </w:pPr>
      <w:r>
        <w:rPr>
          <w:b/>
          <w:sz w:val="32"/>
          <w:szCs w:val="32"/>
        </w:rPr>
        <w:t>Programme: BA Business Management</w:t>
      </w:r>
    </w:p>
    <w:p w14:paraId="7597FFAB" w14:textId="77777777" w:rsidR="005743FA" w:rsidRDefault="00CD4F9D">
      <w:pPr>
        <w:jc w:val="center"/>
        <w:rPr>
          <w:b/>
          <w:sz w:val="32"/>
          <w:szCs w:val="32"/>
        </w:rPr>
      </w:pPr>
      <w:r>
        <w:rPr>
          <w:b/>
          <w:sz w:val="32"/>
          <w:szCs w:val="32"/>
        </w:rPr>
        <w:t>Module: Managing People</w:t>
      </w:r>
    </w:p>
    <w:p w14:paraId="633834DC" w14:textId="77777777" w:rsidR="005743FA" w:rsidRDefault="00CD4F9D">
      <w:pPr>
        <w:jc w:val="center"/>
        <w:rPr>
          <w:b/>
          <w:sz w:val="32"/>
          <w:szCs w:val="32"/>
        </w:rPr>
      </w:pPr>
      <w:r>
        <w:rPr>
          <w:b/>
          <w:sz w:val="32"/>
          <w:szCs w:val="32"/>
        </w:rPr>
        <w:t>Module code: LCBB5004</w:t>
      </w:r>
    </w:p>
    <w:p w14:paraId="7E50D1EE" w14:textId="01295F75" w:rsidR="005743FA" w:rsidRDefault="00CD4F9D">
      <w:pPr>
        <w:jc w:val="center"/>
        <w:rPr>
          <w:b/>
          <w:sz w:val="32"/>
          <w:szCs w:val="32"/>
        </w:rPr>
      </w:pPr>
      <w:r>
        <w:rPr>
          <w:b/>
          <w:sz w:val="32"/>
          <w:szCs w:val="32"/>
        </w:rPr>
        <w:t xml:space="preserve">Lecturer: </w:t>
      </w:r>
      <w:proofErr w:type="spellStart"/>
      <w:r>
        <w:rPr>
          <w:b/>
          <w:sz w:val="32"/>
          <w:szCs w:val="32"/>
        </w:rPr>
        <w:t>Dr.</w:t>
      </w:r>
      <w:proofErr w:type="spellEnd"/>
      <w:r>
        <w:rPr>
          <w:b/>
          <w:sz w:val="32"/>
          <w:szCs w:val="32"/>
        </w:rPr>
        <w:t xml:space="preserve"> </w:t>
      </w:r>
      <w:r w:rsidR="00DD0EAE">
        <w:rPr>
          <w:b/>
          <w:sz w:val="32"/>
          <w:szCs w:val="32"/>
        </w:rPr>
        <w:t xml:space="preserve">Aderemi </w:t>
      </w:r>
      <w:proofErr w:type="spellStart"/>
      <w:r w:rsidR="00DD0EAE">
        <w:rPr>
          <w:b/>
          <w:sz w:val="32"/>
          <w:szCs w:val="32"/>
        </w:rPr>
        <w:t>Ojebode</w:t>
      </w:r>
      <w:proofErr w:type="spellEnd"/>
    </w:p>
    <w:p w14:paraId="7D929AE2" w14:textId="08F7A3F1" w:rsidR="003D2CA0" w:rsidRDefault="00CD4F9D">
      <w:pPr>
        <w:jc w:val="center"/>
        <w:rPr>
          <w:b/>
          <w:sz w:val="32"/>
          <w:szCs w:val="32"/>
        </w:rPr>
      </w:pPr>
      <w:r>
        <w:rPr>
          <w:b/>
          <w:sz w:val="32"/>
          <w:szCs w:val="32"/>
        </w:rPr>
        <w:t>Assignment Title: Assessment Component 2 Essay</w:t>
      </w:r>
    </w:p>
    <w:p w14:paraId="489CA8B3" w14:textId="43EB5ADA" w:rsidR="00DD0EAE" w:rsidRDefault="00DD0EAE">
      <w:pPr>
        <w:jc w:val="center"/>
        <w:rPr>
          <w:b/>
          <w:sz w:val="32"/>
          <w:szCs w:val="32"/>
        </w:rPr>
      </w:pPr>
      <w:r>
        <w:rPr>
          <w:b/>
          <w:sz w:val="32"/>
          <w:szCs w:val="32"/>
        </w:rPr>
        <w:t>Student name and number: Alin-Florin Carare – 2246440</w:t>
      </w:r>
    </w:p>
    <w:p w14:paraId="69A6502C" w14:textId="77777777" w:rsidR="00DD0EAE" w:rsidRDefault="00DD0EAE" w:rsidP="00DD0EAE">
      <w:pPr>
        <w:rPr>
          <w:b/>
          <w:sz w:val="32"/>
          <w:szCs w:val="32"/>
        </w:rPr>
      </w:pPr>
    </w:p>
    <w:p w14:paraId="1F59045B" w14:textId="77777777" w:rsidR="003D2CA0" w:rsidRDefault="003D2CA0">
      <w:pPr>
        <w:rPr>
          <w:b/>
          <w:sz w:val="32"/>
          <w:szCs w:val="32"/>
        </w:rPr>
      </w:pPr>
      <w:r>
        <w:rPr>
          <w:b/>
          <w:sz w:val="32"/>
          <w:szCs w:val="32"/>
        </w:rPr>
        <w:br w:type="page"/>
      </w:r>
    </w:p>
    <w:sdt>
      <w:sdtPr>
        <w:rPr>
          <w:rFonts w:ascii="Times New Roman" w:eastAsia="Times New Roman" w:hAnsi="Times New Roman" w:cs="Times New Roman"/>
          <w:color w:val="auto"/>
          <w:sz w:val="24"/>
          <w:szCs w:val="24"/>
          <w:lang w:val="en-GB" w:eastAsia="en-IN"/>
        </w:rPr>
        <w:id w:val="-1800684812"/>
        <w:docPartObj>
          <w:docPartGallery w:val="Table of Contents"/>
          <w:docPartUnique/>
        </w:docPartObj>
      </w:sdtPr>
      <w:sdtEndPr>
        <w:rPr>
          <w:b/>
          <w:bCs/>
          <w:noProof/>
        </w:rPr>
      </w:sdtEndPr>
      <w:sdtContent>
        <w:p w14:paraId="13ADFB97" w14:textId="416875C4" w:rsidR="003D2CA0" w:rsidRPr="003D2CA0" w:rsidRDefault="003D2CA0" w:rsidP="003D2CA0">
          <w:pPr>
            <w:pStyle w:val="Titlucuprins"/>
            <w:jc w:val="center"/>
            <w:rPr>
              <w:rFonts w:ascii="Times New Roman" w:hAnsi="Times New Roman" w:cs="Times New Roman"/>
              <w:b/>
              <w:bCs/>
              <w:color w:val="auto"/>
              <w:sz w:val="24"/>
              <w:szCs w:val="24"/>
            </w:rPr>
          </w:pPr>
          <w:r w:rsidRPr="003D2CA0">
            <w:rPr>
              <w:rFonts w:ascii="Times New Roman" w:hAnsi="Times New Roman" w:cs="Times New Roman"/>
              <w:b/>
              <w:bCs/>
              <w:color w:val="auto"/>
              <w:sz w:val="24"/>
              <w:szCs w:val="24"/>
            </w:rPr>
            <w:t>Table of Contents</w:t>
          </w:r>
        </w:p>
        <w:p w14:paraId="66C45C44" w14:textId="1317C5A1" w:rsidR="003D2CA0" w:rsidRDefault="003D2CA0">
          <w:pPr>
            <w:pStyle w:val="Cuprins1"/>
            <w:tabs>
              <w:tab w:val="right" w:leader="dot" w:pos="9350"/>
            </w:tabs>
            <w:rPr>
              <w:noProof/>
            </w:rPr>
          </w:pPr>
          <w:r>
            <w:fldChar w:fldCharType="begin"/>
          </w:r>
          <w:r>
            <w:instrText xml:space="preserve"> TOC \o "1-3" \h \z \u </w:instrText>
          </w:r>
          <w:r>
            <w:fldChar w:fldCharType="separate"/>
          </w:r>
          <w:hyperlink w:anchor="_Toc171946261" w:history="1">
            <w:r w:rsidRPr="00876725">
              <w:rPr>
                <w:rStyle w:val="Hyperlink"/>
                <w:noProof/>
              </w:rPr>
              <w:t>Introduction</w:t>
            </w:r>
            <w:r>
              <w:rPr>
                <w:noProof/>
                <w:webHidden/>
              </w:rPr>
              <w:tab/>
            </w:r>
            <w:r>
              <w:rPr>
                <w:noProof/>
                <w:webHidden/>
              </w:rPr>
              <w:fldChar w:fldCharType="begin"/>
            </w:r>
            <w:r>
              <w:rPr>
                <w:noProof/>
                <w:webHidden/>
              </w:rPr>
              <w:instrText xml:space="preserve"> PAGEREF _Toc171946261 \h </w:instrText>
            </w:r>
            <w:r>
              <w:rPr>
                <w:noProof/>
                <w:webHidden/>
              </w:rPr>
            </w:r>
            <w:r>
              <w:rPr>
                <w:noProof/>
                <w:webHidden/>
              </w:rPr>
              <w:fldChar w:fldCharType="separate"/>
            </w:r>
            <w:r>
              <w:rPr>
                <w:noProof/>
                <w:webHidden/>
              </w:rPr>
              <w:t>2</w:t>
            </w:r>
            <w:r>
              <w:rPr>
                <w:noProof/>
                <w:webHidden/>
              </w:rPr>
              <w:fldChar w:fldCharType="end"/>
            </w:r>
          </w:hyperlink>
        </w:p>
        <w:p w14:paraId="16148AA0" w14:textId="5A3FBBEA" w:rsidR="003D2CA0" w:rsidRDefault="00000000">
          <w:pPr>
            <w:pStyle w:val="Cuprins1"/>
            <w:tabs>
              <w:tab w:val="right" w:leader="dot" w:pos="9350"/>
            </w:tabs>
            <w:rPr>
              <w:noProof/>
            </w:rPr>
          </w:pPr>
          <w:hyperlink w:anchor="_Toc171946262" w:history="1">
            <w:r w:rsidR="003D2CA0" w:rsidRPr="00876725">
              <w:rPr>
                <w:rStyle w:val="Hyperlink"/>
                <w:noProof/>
              </w:rPr>
              <w:t>Discussion</w:t>
            </w:r>
            <w:r w:rsidR="003D2CA0">
              <w:rPr>
                <w:noProof/>
                <w:webHidden/>
              </w:rPr>
              <w:tab/>
            </w:r>
            <w:r w:rsidR="003D2CA0">
              <w:rPr>
                <w:noProof/>
                <w:webHidden/>
              </w:rPr>
              <w:fldChar w:fldCharType="begin"/>
            </w:r>
            <w:r w:rsidR="003D2CA0">
              <w:rPr>
                <w:noProof/>
                <w:webHidden/>
              </w:rPr>
              <w:instrText xml:space="preserve"> PAGEREF _Toc171946262 \h </w:instrText>
            </w:r>
            <w:r w:rsidR="003D2CA0">
              <w:rPr>
                <w:noProof/>
                <w:webHidden/>
              </w:rPr>
            </w:r>
            <w:r w:rsidR="003D2CA0">
              <w:rPr>
                <w:noProof/>
                <w:webHidden/>
              </w:rPr>
              <w:fldChar w:fldCharType="separate"/>
            </w:r>
            <w:r w:rsidR="003D2CA0">
              <w:rPr>
                <w:noProof/>
                <w:webHidden/>
              </w:rPr>
              <w:t>2</w:t>
            </w:r>
            <w:r w:rsidR="003D2CA0">
              <w:rPr>
                <w:noProof/>
                <w:webHidden/>
              </w:rPr>
              <w:fldChar w:fldCharType="end"/>
            </w:r>
          </w:hyperlink>
        </w:p>
        <w:p w14:paraId="2D16E183" w14:textId="5B1BEE41" w:rsidR="003D2CA0" w:rsidRDefault="00000000">
          <w:pPr>
            <w:pStyle w:val="Cuprins1"/>
            <w:tabs>
              <w:tab w:val="right" w:leader="dot" w:pos="9350"/>
            </w:tabs>
            <w:rPr>
              <w:noProof/>
            </w:rPr>
          </w:pPr>
          <w:hyperlink w:anchor="_Toc171946263" w:history="1">
            <w:r w:rsidR="003D2CA0" w:rsidRPr="00876725">
              <w:rPr>
                <w:rStyle w:val="Hyperlink"/>
                <w:noProof/>
              </w:rPr>
              <w:t>Conclusion</w:t>
            </w:r>
            <w:r w:rsidR="003D2CA0">
              <w:rPr>
                <w:noProof/>
                <w:webHidden/>
              </w:rPr>
              <w:tab/>
            </w:r>
            <w:r w:rsidR="003D2CA0">
              <w:rPr>
                <w:noProof/>
                <w:webHidden/>
              </w:rPr>
              <w:fldChar w:fldCharType="begin"/>
            </w:r>
            <w:r w:rsidR="003D2CA0">
              <w:rPr>
                <w:noProof/>
                <w:webHidden/>
              </w:rPr>
              <w:instrText xml:space="preserve"> PAGEREF _Toc171946263 \h </w:instrText>
            </w:r>
            <w:r w:rsidR="003D2CA0">
              <w:rPr>
                <w:noProof/>
                <w:webHidden/>
              </w:rPr>
            </w:r>
            <w:r w:rsidR="003D2CA0">
              <w:rPr>
                <w:noProof/>
                <w:webHidden/>
              </w:rPr>
              <w:fldChar w:fldCharType="separate"/>
            </w:r>
            <w:r w:rsidR="003D2CA0">
              <w:rPr>
                <w:noProof/>
                <w:webHidden/>
              </w:rPr>
              <w:t>7</w:t>
            </w:r>
            <w:r w:rsidR="003D2CA0">
              <w:rPr>
                <w:noProof/>
                <w:webHidden/>
              </w:rPr>
              <w:fldChar w:fldCharType="end"/>
            </w:r>
          </w:hyperlink>
        </w:p>
        <w:p w14:paraId="61D619B5" w14:textId="6197F724" w:rsidR="003D2CA0" w:rsidRDefault="00000000">
          <w:pPr>
            <w:pStyle w:val="Cuprins1"/>
            <w:tabs>
              <w:tab w:val="right" w:leader="dot" w:pos="9350"/>
            </w:tabs>
            <w:rPr>
              <w:noProof/>
            </w:rPr>
          </w:pPr>
          <w:hyperlink w:anchor="_Toc171946264" w:history="1">
            <w:r w:rsidR="003D2CA0" w:rsidRPr="00876725">
              <w:rPr>
                <w:rStyle w:val="Hyperlink"/>
                <w:noProof/>
              </w:rPr>
              <w:t>References</w:t>
            </w:r>
            <w:r w:rsidR="003D2CA0">
              <w:rPr>
                <w:noProof/>
                <w:webHidden/>
              </w:rPr>
              <w:tab/>
            </w:r>
            <w:r w:rsidR="003D2CA0">
              <w:rPr>
                <w:noProof/>
                <w:webHidden/>
              </w:rPr>
              <w:fldChar w:fldCharType="begin"/>
            </w:r>
            <w:r w:rsidR="003D2CA0">
              <w:rPr>
                <w:noProof/>
                <w:webHidden/>
              </w:rPr>
              <w:instrText xml:space="preserve"> PAGEREF _Toc171946264 \h </w:instrText>
            </w:r>
            <w:r w:rsidR="003D2CA0">
              <w:rPr>
                <w:noProof/>
                <w:webHidden/>
              </w:rPr>
            </w:r>
            <w:r w:rsidR="003D2CA0">
              <w:rPr>
                <w:noProof/>
                <w:webHidden/>
              </w:rPr>
              <w:fldChar w:fldCharType="separate"/>
            </w:r>
            <w:r w:rsidR="003D2CA0">
              <w:rPr>
                <w:noProof/>
                <w:webHidden/>
              </w:rPr>
              <w:t>8</w:t>
            </w:r>
            <w:r w:rsidR="003D2CA0">
              <w:rPr>
                <w:noProof/>
                <w:webHidden/>
              </w:rPr>
              <w:fldChar w:fldCharType="end"/>
            </w:r>
          </w:hyperlink>
        </w:p>
        <w:p w14:paraId="14998F53" w14:textId="1DF0FEB7" w:rsidR="003D2CA0" w:rsidRDefault="003D2CA0">
          <w:r>
            <w:rPr>
              <w:b/>
              <w:bCs/>
              <w:noProof/>
            </w:rPr>
            <w:fldChar w:fldCharType="end"/>
          </w:r>
        </w:p>
      </w:sdtContent>
    </w:sdt>
    <w:p w14:paraId="5AF876EF" w14:textId="77777777" w:rsidR="005743FA" w:rsidRDefault="005743FA">
      <w:pPr>
        <w:jc w:val="center"/>
        <w:rPr>
          <w:b/>
          <w:sz w:val="32"/>
          <w:szCs w:val="32"/>
        </w:rPr>
      </w:pPr>
    </w:p>
    <w:p w14:paraId="7C4CC104" w14:textId="77777777" w:rsidR="005743FA" w:rsidRDefault="005743FA"/>
    <w:p w14:paraId="2795AC78" w14:textId="77777777" w:rsidR="005743FA" w:rsidRDefault="00CD4F9D">
      <w:pPr>
        <w:pStyle w:val="Titlu1"/>
      </w:pPr>
      <w:bookmarkStart w:id="0" w:name="_efmgqn15wabe" w:colFirst="0" w:colLast="0"/>
      <w:bookmarkEnd w:id="0"/>
      <w:r>
        <w:br w:type="page"/>
      </w:r>
    </w:p>
    <w:p w14:paraId="34062E5E" w14:textId="77777777" w:rsidR="005743FA" w:rsidRDefault="00CD4F9D">
      <w:pPr>
        <w:pStyle w:val="Titlu1"/>
      </w:pPr>
      <w:bookmarkStart w:id="1" w:name="_pz0ee8e0eqqa" w:colFirst="0" w:colLast="0"/>
      <w:bookmarkStart w:id="2" w:name="_Toc171946261"/>
      <w:bookmarkEnd w:id="1"/>
      <w:r>
        <w:lastRenderedPageBreak/>
        <w:t>Introduction</w:t>
      </w:r>
      <w:bookmarkEnd w:id="2"/>
    </w:p>
    <w:p w14:paraId="6C2D9D85" w14:textId="77777777" w:rsidR="005743FA" w:rsidRDefault="00CD4F9D">
      <w:r>
        <w:t xml:space="preserve">Numerous industries have now adopted the use of hybrid and flexible working as a standard practice following the COVID-19 pandemic period. </w:t>
      </w:r>
      <w:proofErr w:type="spellStart"/>
      <w:r>
        <w:t>VialTech</w:t>
      </w:r>
      <w:proofErr w:type="spellEnd"/>
      <w:r>
        <w:t xml:space="preserve"> is one of such companies which supplies diagnostic tests for NHS and private patients. It is important that teams adapt to these new work conditions due to their make-up, involving receptionists, lab assistants and sales people. The aim of this report is to explain the advantages associated with flexible working, factors that should be </w:t>
      </w:r>
      <w:proofErr w:type="gramStart"/>
      <w:r>
        <w:t>taken into account</w:t>
      </w:r>
      <w:proofErr w:type="gramEnd"/>
      <w:r>
        <w:t xml:space="preserve"> when implementing it, possible changes in pay structure that may follow it and methods aimed at increasing staff involvement.</w:t>
      </w:r>
    </w:p>
    <w:p w14:paraId="2C55AEB2" w14:textId="77777777" w:rsidR="00DD0EAE" w:rsidRDefault="00DD0EAE"/>
    <w:p w14:paraId="2D00DB33" w14:textId="77777777" w:rsidR="005743FA" w:rsidRDefault="00CD4F9D">
      <w:pPr>
        <w:pStyle w:val="Titlu1"/>
      </w:pPr>
      <w:bookmarkStart w:id="3" w:name="_fnxa2iwlx7s4" w:colFirst="0" w:colLast="0"/>
      <w:bookmarkStart w:id="4" w:name="_Toc171946262"/>
      <w:bookmarkEnd w:id="3"/>
      <w:r>
        <w:t>Discussion</w:t>
      </w:r>
      <w:bookmarkEnd w:id="4"/>
    </w:p>
    <w:p w14:paraId="14E5EBF4" w14:textId="77777777" w:rsidR="005743FA" w:rsidRDefault="00CD4F9D">
      <w:pPr>
        <w:rPr>
          <w:b/>
        </w:rPr>
      </w:pPr>
      <w:r>
        <w:rPr>
          <w:b/>
        </w:rPr>
        <w:t>Benefits of Implementing Flexible Working Strategies</w:t>
      </w:r>
    </w:p>
    <w:p w14:paraId="53999A80" w14:textId="77777777" w:rsidR="005743FA" w:rsidRDefault="00CD4F9D">
      <w:r>
        <w:t xml:space="preserve">Benefits of implementing flexible working strategies at </w:t>
      </w:r>
      <w:proofErr w:type="spellStart"/>
      <w:r>
        <w:t>VialTech</w:t>
      </w:r>
      <w:proofErr w:type="spellEnd"/>
      <w:r>
        <w:t xml:space="preserve"> include a great deal that can be done to improve the efficiency of the organisation and make employees happier. The first benefit is it improves employee satisfaction and retention rates. Flexibility in work hours enables individuals to strike a balance between work and personal lives which in turn minimise strain and fatigue. According to Herzberg’s Two-Factor Theory, which distinguishes between hygiene factors (e.g., salary, work conditions) and motivators (e.g., recognition, achievement), flexible working is one of the key motivators that can result in increased job satisfaction as well as loyalty (</w:t>
      </w:r>
      <w:r>
        <w:rPr>
          <w:highlight w:val="white"/>
        </w:rPr>
        <w:t xml:space="preserve">Haddad </w:t>
      </w:r>
      <w:r>
        <w:rPr>
          <w:i/>
          <w:highlight w:val="white"/>
        </w:rPr>
        <w:t xml:space="preserve">et al. </w:t>
      </w:r>
      <w:r>
        <w:rPr>
          <w:highlight w:val="white"/>
        </w:rPr>
        <w:t>2023</w:t>
      </w:r>
      <w:r>
        <w:t>). They become more appreciative of their employer when they are allowed by them to schedule themselves thereby promoting good relations among workers and fostering an affirmative environment for all staff members. Additionally, another advantage is that productivity increases. Workers have the opportunity to work during their most productive moments with flexible working arrangements such as remote work or adjustable hours. This ultimately leads to enhanced efficiency and quality of work produced. As such, research has shown that employees with flexible schedules are more engaged and motivated which in turn improves their performance. In line with this is McGregor’s theory Y which suggests that when given opportunities to possess task/ role responsibilities, workers tend to naturally be motivated thus perform better (</w:t>
      </w:r>
      <w:r>
        <w:rPr>
          <w:highlight w:val="white"/>
        </w:rPr>
        <w:t>Bushi, 2021</w:t>
      </w:r>
      <w:r>
        <w:t xml:space="preserve">). Flexible working strategies also reduce costs greatly. </w:t>
      </w:r>
      <w:proofErr w:type="spellStart"/>
      <w:r>
        <w:t>VialTech</w:t>
      </w:r>
      <w:proofErr w:type="spellEnd"/>
      <w:r>
        <w:t xml:space="preserve"> can then distribute resources better by reducing the needs for large office spaces and overheads (e.g., utilities, office supplies). </w:t>
      </w:r>
      <w:r>
        <w:lastRenderedPageBreak/>
        <w:t xml:space="preserve">Additionally, there might be a reduction among other expenses relating travel allowances and parking since fewer employees commute daily. These savings can </w:t>
      </w:r>
      <w:proofErr w:type="gramStart"/>
      <w:r>
        <w:t>later on</w:t>
      </w:r>
      <w:proofErr w:type="gramEnd"/>
      <w:r>
        <w:t xml:space="preserve"> be used in other critical areas of business like R&amp;D or employee training programs. </w:t>
      </w:r>
    </w:p>
    <w:p w14:paraId="46C8F671" w14:textId="77777777" w:rsidR="005743FA" w:rsidRDefault="00CD4F9D">
      <w:r>
        <w:t xml:space="preserve">Another thing is that, at </w:t>
      </w:r>
      <w:proofErr w:type="spellStart"/>
      <w:r>
        <w:t>VialTech</w:t>
      </w:r>
      <w:proofErr w:type="spellEnd"/>
      <w:r>
        <w:t xml:space="preserve">, flexible working can be used to make the company more attractive to employees who are highly talented. In a job market that rages with competition; flexible working can change how employees view </w:t>
      </w:r>
      <w:proofErr w:type="spellStart"/>
      <w:r>
        <w:t>VialTech’s</w:t>
      </w:r>
      <w:proofErr w:type="spellEnd"/>
      <w:r>
        <w:t xml:space="preserve"> attractiveness as an employer. Flexibility also tends to be a priority for many potential employees in deciding which companies they should work for particularly those who have family responsibilities and others who desire a balance between their home and work lives (</w:t>
      </w:r>
      <w:r>
        <w:rPr>
          <w:highlight w:val="white"/>
        </w:rPr>
        <w:t>Ray and Pana-Cryan, 2021</w:t>
      </w:r>
      <w:r>
        <w:t>). Therefore, through flexibility, it would mean having access to a larger pool of talent which would attract qualified professionals who might not have been available before. Lastly, when implemented; flexible working can help build trust and autonomy within the organisation. Employees having autonomous control over their own timetables are likely to feel more confident and involved.</w:t>
      </w:r>
    </w:p>
    <w:p w14:paraId="3818BE2D" w14:textId="77777777" w:rsidR="00DD0EAE" w:rsidRDefault="00DD0EAE"/>
    <w:p w14:paraId="26A33401" w14:textId="77777777" w:rsidR="005743FA" w:rsidRDefault="00CD4F9D">
      <w:pPr>
        <w:rPr>
          <w:b/>
        </w:rPr>
      </w:pPr>
      <w:r>
        <w:rPr>
          <w:b/>
        </w:rPr>
        <w:t>Considerations for Implementing Flexible Working</w:t>
      </w:r>
    </w:p>
    <w:p w14:paraId="5E0ED3DE" w14:textId="77777777" w:rsidR="005743FA" w:rsidRDefault="00CD4F9D">
      <w:r>
        <w:t xml:space="preserve">A comprehensive analysis must be carried out by </w:t>
      </w:r>
      <w:proofErr w:type="spellStart"/>
      <w:r>
        <w:t>VialTech</w:t>
      </w:r>
      <w:proofErr w:type="spellEnd"/>
      <w:r>
        <w:t xml:space="preserve"> and HR before they deploy flexible work strategies. One of the major considerations is understanding the specific operational requirements of each team within the organisation (</w:t>
      </w:r>
      <w:r>
        <w:rPr>
          <w:highlight w:val="white"/>
        </w:rPr>
        <w:t>Newman and Ford, 2021</w:t>
      </w:r>
      <w:r>
        <w:t>). Lab technicians, customer care personnel and administrators have different types of jobs that may respond differently to flexibility in working. For instance, lab technicians heavily rely on specialised equipment and facilities for their job hence making remote working less feasible an idea. Conversely, administrative staff can perform their duties from home effectively as long as there is adequate technological support. The HR department should also assess the technical infrastructure necessary to facilitate flexible working arrangements (</w:t>
      </w:r>
      <w:proofErr w:type="spellStart"/>
      <w:r>
        <w:rPr>
          <w:highlight w:val="white"/>
        </w:rPr>
        <w:t>Jooss</w:t>
      </w:r>
      <w:proofErr w:type="spellEnd"/>
      <w:r>
        <w:rPr>
          <w:highlight w:val="white"/>
        </w:rPr>
        <w:t xml:space="preserve"> </w:t>
      </w:r>
      <w:r>
        <w:rPr>
          <w:i/>
          <w:highlight w:val="white"/>
        </w:rPr>
        <w:t xml:space="preserve">et al. </w:t>
      </w:r>
      <w:r>
        <w:rPr>
          <w:highlight w:val="white"/>
        </w:rPr>
        <w:t>2021</w:t>
      </w:r>
      <w:r>
        <w:t xml:space="preserve">). These include ensuring that all employees have access to a reliable internet connection, secure communication tools and appropriate software for performing their tasks away from the office space. Failure to address these technological needs while implementing flexible working can reduce productivity and increase employees’ frustration levels. Furthermore, high security measures need to be taken into effect so </w:t>
      </w:r>
      <w:r>
        <w:lastRenderedPageBreak/>
        <w:t>as to safeguard sensitive data especially for those who are dealing with confidential patient information at stake.</w:t>
      </w:r>
    </w:p>
    <w:p w14:paraId="79E2CCC1" w14:textId="346DF1D1" w:rsidR="005743FA" w:rsidRDefault="00CD4F9D">
      <w:r>
        <w:t xml:space="preserve">Flexible working has a great implication on the various sites wherein some are NHS and private testing facilities. Every site may have its own unique operational limitations and requisitions. For instance, NHS centres usually have a greater number of patients whose regulations are </w:t>
      </w:r>
      <w:r w:rsidR="00DD0EAE">
        <w:t>stricter</w:t>
      </w:r>
      <w:r>
        <w:t>, requiring a methodical approach to flexibility at work. On the other hand, independent test facilities may be favourable because they can allow for some aspect of flexibility with the consideration that the patient numbers could be low as well as other administrative rules (</w:t>
      </w:r>
      <w:r>
        <w:rPr>
          <w:highlight w:val="white"/>
        </w:rPr>
        <w:t xml:space="preserve">Brambilla </w:t>
      </w:r>
      <w:r>
        <w:rPr>
          <w:i/>
          <w:highlight w:val="white"/>
        </w:rPr>
        <w:t xml:space="preserve">et al. </w:t>
      </w:r>
      <w:r>
        <w:rPr>
          <w:highlight w:val="white"/>
        </w:rPr>
        <w:t>2021</w:t>
      </w:r>
      <w:r>
        <w:t>). The HR department must prepare specific assessments for each company in compliance with business operations and regulation needs. Team collaboration and communication is another aspect of concern for this organisation. Ineffective management may create silos resulting in confusion and reduced teamwork. Department of human resource needs to put into place strong communication protocols and tools that promote constant updates, virtual meetings as well as collaborative workspace. Moreover, the HR unit should examine legal and policy aspects of flexible working (</w:t>
      </w:r>
      <w:r>
        <w:rPr>
          <w:highlight w:val="white"/>
        </w:rPr>
        <w:t>Chung and Van der Lippe, 2020</w:t>
      </w:r>
      <w:r>
        <w:t>). This entails contract revision, environmental policies and compliance with labour laws. It is mandatory to establish clear-cut instructions regarding working hours, availability, performance expectations and usage of company property. These rules must be well communicated to all staff members so as to avoid any confusion that may arise out of it and also ensure consistency in their application. Moreover, the HR department should be prepared to meet any resistance from employees and superiors. Some people may be concerned about fewer supervisors, potential isolation or how the transition would affect their career growth. Consequently, the Department of Human Resources must take note of their concerns while giving them assurance about its benefits as well as support that is available with new working arrangements.</w:t>
      </w:r>
    </w:p>
    <w:p w14:paraId="775FA7E8" w14:textId="77777777" w:rsidR="00DD0EAE" w:rsidRDefault="00DD0EAE"/>
    <w:p w14:paraId="0CD5F18A" w14:textId="77777777" w:rsidR="005743FA" w:rsidRDefault="00CD4F9D">
      <w:pPr>
        <w:rPr>
          <w:b/>
        </w:rPr>
      </w:pPr>
      <w:r>
        <w:rPr>
          <w:b/>
        </w:rPr>
        <w:t>Pay Structure Reconfiguration</w:t>
      </w:r>
    </w:p>
    <w:p w14:paraId="06A0047E" w14:textId="77777777" w:rsidR="005743FA" w:rsidRDefault="00CD4F9D">
      <w:r>
        <w:t xml:space="preserve">With the introduction of flexible work strategies, </w:t>
      </w:r>
      <w:proofErr w:type="spellStart"/>
      <w:r>
        <w:t>VialTech</w:t>
      </w:r>
      <w:proofErr w:type="spellEnd"/>
      <w:r>
        <w:t xml:space="preserve"> has to think about restructuring its payment system. Ensuring equity in payment systems regardless of where an employee is based or time spent on duty remains a major challenge (Shields </w:t>
      </w:r>
      <w:r>
        <w:rPr>
          <w:i/>
        </w:rPr>
        <w:t>et al.</w:t>
      </w:r>
      <w:r>
        <w:t xml:space="preserve"> 2020). The approach necessitates </w:t>
      </w:r>
      <w:r>
        <w:lastRenderedPageBreak/>
        <w:t xml:space="preserve">changing the traditional compensatory methods founded on work hours for more result-oriented practices. In a flexible working environment, it should be productivity and output that mostly determine how much one is paid. </w:t>
      </w:r>
      <w:proofErr w:type="spellStart"/>
      <w:r>
        <w:t>VialTech</w:t>
      </w:r>
      <w:proofErr w:type="spellEnd"/>
      <w:r>
        <w:t xml:space="preserve"> must ensure that every role has specific measurable performance targets which are linked to responsibilities performed thus making sure that employees get paid fairly for their contributions. Moreover, the HR department must also consider how various working arrangements could affect employee benefits and allowances (</w:t>
      </w:r>
      <w:r>
        <w:rPr>
          <w:highlight w:val="white"/>
        </w:rPr>
        <w:t>Amirul and Mail, 2020</w:t>
      </w:r>
      <w:r>
        <w:t xml:space="preserve">). There are costs incurred by remote employees when setting up a home office like internet expenses and office stationery. In this regard, </w:t>
      </w:r>
      <w:proofErr w:type="spellStart"/>
      <w:r>
        <w:t>VialTech</w:t>
      </w:r>
      <w:proofErr w:type="spellEnd"/>
      <w:r>
        <w:t xml:space="preserve"> should think about offering stipends or making refunds that will cater for such charges so that no harm is done to its remote employees. On the other hand, workers who are still coming to work would be needing travel allowances or even parking privileges. The remuneration package has to be made flexible enough to accommodate these different needs which will guarantee all staff irrespective of their type of operation that they can get support wherever required.</w:t>
      </w:r>
    </w:p>
    <w:p w14:paraId="43D90295" w14:textId="77777777" w:rsidR="005743FA" w:rsidRDefault="00CD4F9D">
      <w:r>
        <w:t>AstraZeneca, a global pharmaceutical company is one UK based example from the industry that has successfully negotiated such a transition. AstraZeneca has implemented flexible working arrangements while ensuring that their pay structure remains fair and motivating (</w:t>
      </w:r>
      <w:r>
        <w:rPr>
          <w:highlight w:val="white"/>
        </w:rPr>
        <w:t>Careers.astrazeneca.com, 2024</w:t>
      </w:r>
      <w:r>
        <w:t>). The organisation employs an incentive-based payment system where individual achievement and team accomplishments are rewarded rather than the time spent at work. This approach has enabled AstraZeneca to maintain high levels of productivity as well as satisfaction among employees who frequently work away from office premises. To enhance a more dynamic and fairer compensation system, AstraZeneca organised this way by emphasising outcomes rather than hours worked in the workplace.</w:t>
      </w:r>
    </w:p>
    <w:p w14:paraId="7744D96E" w14:textId="77777777" w:rsidR="005743FA" w:rsidRDefault="00CD4F9D">
      <w:r>
        <w:t xml:space="preserve">There should be performance-based pay and addressing possible inconsistencies of pay fairness at </w:t>
      </w:r>
      <w:proofErr w:type="spellStart"/>
      <w:r>
        <w:t>VialTech</w:t>
      </w:r>
      <w:proofErr w:type="spellEnd"/>
      <w:r>
        <w:t>. If not properly managed, flexible working arrangements may seem inequitable sometimes. For instance, employees who work remotely could feel that their counterparts who are on-site get better career development opportunities or are more visible to higher management (</w:t>
      </w:r>
      <w:r>
        <w:rPr>
          <w:highlight w:val="white"/>
        </w:rPr>
        <w:t>Cappelli, 2021</w:t>
      </w:r>
      <w:r>
        <w:t xml:space="preserve">). Therefore, there is a need for </w:t>
      </w:r>
      <w:proofErr w:type="spellStart"/>
      <w:r>
        <w:t>VialTech</w:t>
      </w:r>
      <w:proofErr w:type="spellEnd"/>
      <w:r>
        <w:t xml:space="preserve"> to ensure that all its employees have an equal opportunity for training, development programs and even career growth irrespective of where they work from. Regular check-ins can address concerns and help maintain a fair culture by emphasising transparency in communication between the organisation and its members. Moreover, </w:t>
      </w:r>
      <w:r>
        <w:lastRenderedPageBreak/>
        <w:t>there is another thing to consider about flexible working and it is the effect on overtime pay and shift differentials. Sometimes employees who are on flexible hours may work beyond the normal business hours which would normally attract a payment for overtime (</w:t>
      </w:r>
      <w:r>
        <w:rPr>
          <w:highlight w:val="white"/>
        </w:rPr>
        <w:t>Chung and Van der Horst, 2020</w:t>
      </w:r>
      <w:r>
        <w:t xml:space="preserve">). </w:t>
      </w:r>
      <w:proofErr w:type="spellStart"/>
      <w:r>
        <w:t>VialTech</w:t>
      </w:r>
      <w:proofErr w:type="spellEnd"/>
      <w:r>
        <w:t xml:space="preserve"> should therefore lay down clear guidelines that can be used in calculating and paying such over time in a flexible working environment. This may require redefining what constitutes an overtime and making it known to all the employees so that they understand new policies that have been put in place for them.</w:t>
      </w:r>
    </w:p>
    <w:p w14:paraId="01A0D4B3" w14:textId="77777777" w:rsidR="00DD0EAE" w:rsidRDefault="00DD0EAE"/>
    <w:p w14:paraId="27563FDB" w14:textId="77777777" w:rsidR="005743FA" w:rsidRDefault="00CD4F9D">
      <w:pPr>
        <w:rPr>
          <w:b/>
        </w:rPr>
      </w:pPr>
      <w:r>
        <w:rPr>
          <w:b/>
        </w:rPr>
        <w:t>Strategies to Promote Employee Engagement</w:t>
      </w:r>
    </w:p>
    <w:p w14:paraId="32DC87CE" w14:textId="77777777" w:rsidR="005743FA" w:rsidRDefault="00CD4F9D">
      <w:r>
        <w:t xml:space="preserve">The most important factor in promoting employee engagement and implementing flexible working strategies at </w:t>
      </w:r>
      <w:proofErr w:type="spellStart"/>
      <w:r>
        <w:t>VialTech</w:t>
      </w:r>
      <w:proofErr w:type="spellEnd"/>
      <w:r>
        <w:t xml:space="preserve"> is a well-rounded strategy that stimulates bonding, motivation, and commitment among workers. One way to go about this is by setting up transparent communication channels. Continuous virtual meetings, updates, and feedback loops can go a long way in establishing a sense of belongingness among employees and ensuring their alignment with the company mission. This is consistent with Job Characteristics Model (JCM) principles that suggest job satisfaction and motivation are driven by task identity, task significance, feedback (</w:t>
      </w:r>
      <w:r>
        <w:rPr>
          <w:highlight w:val="white"/>
        </w:rPr>
        <w:t>Kanwal and Khurram, 2022</w:t>
      </w:r>
      <w:r>
        <w:t xml:space="preserve">). If employees are highly informed as well as they feel part of the organisation's purpose; engagement levels tend to be higher. Another important strategy is creating opportunities for professional development and growth. Furthermore, flexible working must not restrict employees’ access to training, skill development and career advancement opportunities. Online training programs, virtual workshops and mentoring systems at </w:t>
      </w:r>
      <w:proofErr w:type="spellStart"/>
      <w:r>
        <w:t>VialTech</w:t>
      </w:r>
      <w:proofErr w:type="spellEnd"/>
      <w:r>
        <w:t xml:space="preserve"> will be useful in promoting continuous learning. Maslow’s Hierarchy of Needs postulates that people who have a superior need for self-actualization develop a desire for personal growth and peak experiences (</w:t>
      </w:r>
      <w:r>
        <w:rPr>
          <w:highlight w:val="white"/>
        </w:rPr>
        <w:t xml:space="preserve">Ștefan </w:t>
      </w:r>
      <w:r>
        <w:rPr>
          <w:i/>
          <w:highlight w:val="white"/>
        </w:rPr>
        <w:t xml:space="preserve">et al. </w:t>
      </w:r>
      <w:r>
        <w:rPr>
          <w:highlight w:val="white"/>
        </w:rPr>
        <w:t>2020</w:t>
      </w:r>
      <w:r>
        <w:t>).</w:t>
      </w:r>
    </w:p>
    <w:p w14:paraId="5152BC1B" w14:textId="5CB095E2" w:rsidR="005743FA" w:rsidRDefault="00CD4F9D">
      <w:r>
        <w:t xml:space="preserve">There is also the issue of encouraging social interaction and team cohesion among employees. Through virtual team-building activities, social events and collaborative projects, remote work’s inherent isolation can be addressed. In doing so, interpersonal relations are enhanced while fostering a sense of togetherness between colleagues within the corporation. On this note, Social Exchange Theory (SET) posits relationships are built through reciprocal exchanges hence if </w:t>
      </w:r>
      <w:r>
        <w:lastRenderedPageBreak/>
        <w:t xml:space="preserve">employees feel valued and </w:t>
      </w:r>
      <w:r w:rsidR="00DD0EAE">
        <w:t>supported,</w:t>
      </w:r>
      <w:r>
        <w:t xml:space="preserve"> they are more likely to reciprocate with higher levels of engagement as well as loyalty towards their company (</w:t>
      </w:r>
      <w:r>
        <w:rPr>
          <w:highlight w:val="white"/>
        </w:rPr>
        <w:t>Nagpal, 2022</w:t>
      </w:r>
      <w:r>
        <w:t xml:space="preserve">). Furthermore, identifying and appreciating what employees add to the organisation is important in maintaining high levels of engagement. When an extensive recognition program is put in place that acknowledges both individual and team accomplishments, it may boost enthusiasm and promptness as well. Recognition is a key motivator that can improve job satisfaction and performance according to Herzberg’s Two-Factor Theory. </w:t>
      </w:r>
      <w:proofErr w:type="spellStart"/>
      <w:r>
        <w:t>VialTech</w:t>
      </w:r>
      <w:proofErr w:type="spellEnd"/>
      <w:r>
        <w:t xml:space="preserve"> should always make sure that its workers regularly celebrate their accomplishments, regardless of where they work.</w:t>
      </w:r>
    </w:p>
    <w:p w14:paraId="3DB24C64" w14:textId="77777777" w:rsidR="00DD0EAE" w:rsidRDefault="00DD0EAE"/>
    <w:p w14:paraId="6E074294" w14:textId="77777777" w:rsidR="005743FA" w:rsidRDefault="00CD4F9D">
      <w:pPr>
        <w:pStyle w:val="Titlu1"/>
      </w:pPr>
      <w:bookmarkStart w:id="5" w:name="_vhrz7175z7mw" w:colFirst="0" w:colLast="0"/>
      <w:bookmarkStart w:id="6" w:name="_Toc171946263"/>
      <w:bookmarkEnd w:id="5"/>
      <w:r>
        <w:t>Conclusion</w:t>
      </w:r>
      <w:bookmarkEnd w:id="6"/>
    </w:p>
    <w:p w14:paraId="279221C0" w14:textId="77777777" w:rsidR="005743FA" w:rsidRDefault="00CD4F9D">
      <w:r>
        <w:t xml:space="preserve">To conclude, adopting flexible working strategies would therefore offer </w:t>
      </w:r>
      <w:proofErr w:type="spellStart"/>
      <w:r>
        <w:t>VialTech</w:t>
      </w:r>
      <w:proofErr w:type="spellEnd"/>
      <w:r>
        <w:t xml:space="preserve"> several advantages, such as increased employee satisfaction, higher productivity levels, cost reductions, better talent recruiting and culture of trust and independence. Nonetheless, successful implementation necessitates a thorough examination of operational requirements, technology infrastructure, legal implications and the restructuring of payment plans. In this regard, taking care of these considerations as well as encouraging methods that keep employees committed to their job will ensure an effective transformation into a flexible work system for </w:t>
      </w:r>
      <w:proofErr w:type="spellStart"/>
      <w:r>
        <w:t>VialTech</w:t>
      </w:r>
      <w:proofErr w:type="spellEnd"/>
      <w:r>
        <w:t xml:space="preserve"> characterised by fairness and continued organisational success.</w:t>
      </w:r>
    </w:p>
    <w:p w14:paraId="2C259180" w14:textId="77777777" w:rsidR="005743FA" w:rsidRDefault="00CD4F9D">
      <w:pPr>
        <w:pStyle w:val="Titlu1"/>
      </w:pPr>
      <w:bookmarkStart w:id="7" w:name="_p40huarvyr70" w:colFirst="0" w:colLast="0"/>
      <w:bookmarkEnd w:id="7"/>
      <w:r>
        <w:br w:type="page"/>
      </w:r>
    </w:p>
    <w:p w14:paraId="384BB1AB" w14:textId="77777777" w:rsidR="005743FA" w:rsidRDefault="00CD4F9D">
      <w:pPr>
        <w:pStyle w:val="Titlu1"/>
      </w:pPr>
      <w:bookmarkStart w:id="8" w:name="_em801854si7a" w:colFirst="0" w:colLast="0"/>
      <w:bookmarkStart w:id="9" w:name="_Toc171946264"/>
      <w:bookmarkEnd w:id="8"/>
      <w:r>
        <w:lastRenderedPageBreak/>
        <w:t>References</w:t>
      </w:r>
      <w:bookmarkEnd w:id="9"/>
    </w:p>
    <w:p w14:paraId="46A6AB29" w14:textId="77777777" w:rsidR="003D2CA0" w:rsidRDefault="003D2CA0">
      <w:pPr>
        <w:rPr>
          <w:highlight w:val="white"/>
        </w:rPr>
      </w:pPr>
      <w:r>
        <w:rPr>
          <w:highlight w:val="white"/>
        </w:rPr>
        <w:t>Amirul, S. and Mail, R., 2020. Strategic flexible working arrangement: the realignment between human resource and management accounting.</w:t>
      </w:r>
    </w:p>
    <w:p w14:paraId="03011E1D" w14:textId="77777777" w:rsidR="003D2CA0" w:rsidRDefault="003D2CA0">
      <w:pPr>
        <w:rPr>
          <w:highlight w:val="white"/>
        </w:rPr>
      </w:pPr>
      <w:r>
        <w:rPr>
          <w:highlight w:val="white"/>
        </w:rPr>
        <w:t xml:space="preserve">Brambilla, A., Sun, T.Z., Elshazly, W., </w:t>
      </w:r>
      <w:proofErr w:type="spellStart"/>
      <w:r>
        <w:rPr>
          <w:highlight w:val="white"/>
        </w:rPr>
        <w:t>Ghazy</w:t>
      </w:r>
      <w:proofErr w:type="spellEnd"/>
      <w:r>
        <w:rPr>
          <w:highlight w:val="white"/>
        </w:rPr>
        <w:t xml:space="preserve">, A., Barach, P., Lindahl, G. and Capolongo, S., 2021. Flexibility during the COVID-19 pandemic response: Healthcare facility assessment tools for resilient evaluation. </w:t>
      </w:r>
      <w:r>
        <w:rPr>
          <w:i/>
          <w:highlight w:val="white"/>
        </w:rPr>
        <w:t>International Journal of Environmental Research and Public Health</w:t>
      </w:r>
      <w:r>
        <w:rPr>
          <w:highlight w:val="white"/>
        </w:rPr>
        <w:t xml:space="preserve">, </w:t>
      </w:r>
      <w:r>
        <w:rPr>
          <w:i/>
          <w:highlight w:val="white"/>
        </w:rPr>
        <w:t>18</w:t>
      </w:r>
      <w:r>
        <w:rPr>
          <w:highlight w:val="white"/>
        </w:rPr>
        <w:t>(21), p.11478.</w:t>
      </w:r>
    </w:p>
    <w:p w14:paraId="5CECE652" w14:textId="77777777" w:rsidR="003D2CA0" w:rsidRDefault="003D2CA0">
      <w:pPr>
        <w:rPr>
          <w:highlight w:val="white"/>
        </w:rPr>
      </w:pPr>
      <w:r>
        <w:rPr>
          <w:highlight w:val="white"/>
        </w:rPr>
        <w:t xml:space="preserve">Bushi, F., 2021. An overview of motivation theories: The impact of employee motivation on achieving organizational goals. </w:t>
      </w:r>
      <w:proofErr w:type="spellStart"/>
      <w:r>
        <w:rPr>
          <w:i/>
          <w:highlight w:val="white"/>
        </w:rPr>
        <w:t>Calitatea</w:t>
      </w:r>
      <w:proofErr w:type="spellEnd"/>
      <w:r>
        <w:rPr>
          <w:highlight w:val="white"/>
        </w:rPr>
        <w:t xml:space="preserve">, </w:t>
      </w:r>
      <w:r>
        <w:rPr>
          <w:i/>
          <w:highlight w:val="white"/>
        </w:rPr>
        <w:t>22</w:t>
      </w:r>
      <w:r>
        <w:rPr>
          <w:highlight w:val="white"/>
        </w:rPr>
        <w:t>(183), pp.8-12.</w:t>
      </w:r>
    </w:p>
    <w:p w14:paraId="074CC2F1" w14:textId="77777777" w:rsidR="003D2CA0" w:rsidRDefault="003D2CA0">
      <w:pPr>
        <w:rPr>
          <w:highlight w:val="white"/>
        </w:rPr>
      </w:pPr>
      <w:r>
        <w:rPr>
          <w:highlight w:val="white"/>
        </w:rPr>
        <w:t xml:space="preserve">Cappelli, P., 2021. </w:t>
      </w:r>
      <w:r>
        <w:rPr>
          <w:i/>
          <w:highlight w:val="white"/>
        </w:rPr>
        <w:t>The future of the office: Work from home, remote work, and the hard choices we all face</w:t>
      </w:r>
      <w:r>
        <w:rPr>
          <w:highlight w:val="white"/>
        </w:rPr>
        <w:t>. Wharton School Press.</w:t>
      </w:r>
    </w:p>
    <w:p w14:paraId="26DF584A" w14:textId="77777777" w:rsidR="003D2CA0" w:rsidRDefault="003D2CA0">
      <w:pPr>
        <w:rPr>
          <w:highlight w:val="white"/>
        </w:rPr>
      </w:pPr>
      <w:r>
        <w:rPr>
          <w:highlight w:val="white"/>
        </w:rPr>
        <w:t xml:space="preserve">Careers.astrazeneca.com (2024) “Our values” Available at: </w:t>
      </w:r>
      <w:hyperlink r:id="rId7">
        <w:r>
          <w:rPr>
            <w:highlight w:val="white"/>
            <w:u w:val="single"/>
          </w:rPr>
          <w:t>https://careers.astrazeneca.com/life-at-astrazeneca</w:t>
        </w:r>
      </w:hyperlink>
      <w:r>
        <w:rPr>
          <w:highlight w:val="white"/>
        </w:rPr>
        <w:t xml:space="preserve"> [Accessed on: 13.07.2024]</w:t>
      </w:r>
    </w:p>
    <w:p w14:paraId="614AE653" w14:textId="77777777" w:rsidR="003D2CA0" w:rsidRDefault="003D2CA0">
      <w:pPr>
        <w:rPr>
          <w:highlight w:val="white"/>
        </w:rPr>
      </w:pPr>
      <w:r>
        <w:rPr>
          <w:highlight w:val="white"/>
        </w:rPr>
        <w:t>Chung, H. and Van der Horst, M., 2020. Flexible working and unpaid overtime in the UK: The role of gender, parental and occupational status. Social Indicators Research, 151(2), pp.495-520.</w:t>
      </w:r>
    </w:p>
    <w:p w14:paraId="1172D705" w14:textId="77777777" w:rsidR="003D2CA0" w:rsidRDefault="003D2CA0">
      <w:pPr>
        <w:rPr>
          <w:highlight w:val="white"/>
        </w:rPr>
      </w:pPr>
      <w:r>
        <w:rPr>
          <w:highlight w:val="white"/>
        </w:rPr>
        <w:t xml:space="preserve">Chung, H. and Van der Lippe, T., 2020. Flexible working, work–life balance, and gender equality: Introduction. </w:t>
      </w:r>
      <w:r>
        <w:rPr>
          <w:i/>
          <w:highlight w:val="white"/>
        </w:rPr>
        <w:t>Social indicators research</w:t>
      </w:r>
      <w:r>
        <w:rPr>
          <w:highlight w:val="white"/>
        </w:rPr>
        <w:t xml:space="preserve">, </w:t>
      </w:r>
      <w:r>
        <w:rPr>
          <w:i/>
          <w:highlight w:val="white"/>
        </w:rPr>
        <w:t>151</w:t>
      </w:r>
      <w:r>
        <w:rPr>
          <w:highlight w:val="white"/>
        </w:rPr>
        <w:t>(2), pp.365-381.</w:t>
      </w:r>
    </w:p>
    <w:p w14:paraId="7DAF9EA0" w14:textId="77777777" w:rsidR="003D2CA0" w:rsidRDefault="003D2CA0">
      <w:pPr>
        <w:rPr>
          <w:highlight w:val="white"/>
        </w:rPr>
      </w:pPr>
      <w:r>
        <w:rPr>
          <w:highlight w:val="white"/>
        </w:rPr>
        <w:t xml:space="preserve">Haddad, H., El Khatib, N. and </w:t>
      </w:r>
      <w:proofErr w:type="spellStart"/>
      <w:r>
        <w:rPr>
          <w:highlight w:val="white"/>
        </w:rPr>
        <w:t>Ashaal</w:t>
      </w:r>
      <w:proofErr w:type="spellEnd"/>
      <w:r>
        <w:rPr>
          <w:highlight w:val="white"/>
        </w:rPr>
        <w:t xml:space="preserve">, A., 2023. The Nexus between Extrinsic Motivation and Employees’ Retention; Do Compensation Packages and Flexible Working Hours </w:t>
      </w:r>
      <w:proofErr w:type="gramStart"/>
      <w:r>
        <w:rPr>
          <w:highlight w:val="white"/>
        </w:rPr>
        <w:t>Matter?.</w:t>
      </w:r>
      <w:proofErr w:type="gramEnd"/>
      <w:r>
        <w:rPr>
          <w:highlight w:val="white"/>
        </w:rPr>
        <w:t xml:space="preserve"> </w:t>
      </w:r>
      <w:r>
        <w:rPr>
          <w:i/>
          <w:highlight w:val="white"/>
        </w:rPr>
        <w:t>Open Journal of Business and Management</w:t>
      </w:r>
      <w:r>
        <w:rPr>
          <w:highlight w:val="white"/>
        </w:rPr>
        <w:t xml:space="preserve">, </w:t>
      </w:r>
      <w:r>
        <w:rPr>
          <w:i/>
          <w:highlight w:val="white"/>
        </w:rPr>
        <w:t>11</w:t>
      </w:r>
      <w:r>
        <w:rPr>
          <w:highlight w:val="white"/>
        </w:rPr>
        <w:t>(2), pp.530-551.</w:t>
      </w:r>
    </w:p>
    <w:p w14:paraId="556548B9" w14:textId="77777777" w:rsidR="003D2CA0" w:rsidRDefault="003D2CA0">
      <w:pPr>
        <w:rPr>
          <w:highlight w:val="white"/>
        </w:rPr>
      </w:pPr>
      <w:proofErr w:type="spellStart"/>
      <w:r>
        <w:rPr>
          <w:highlight w:val="white"/>
        </w:rPr>
        <w:t>Jooss</w:t>
      </w:r>
      <w:proofErr w:type="spellEnd"/>
      <w:r>
        <w:rPr>
          <w:highlight w:val="white"/>
        </w:rPr>
        <w:t xml:space="preserve">, S., McDonnell, A. and Conroy, K., 2021. Flexible global working arrangements: An integrative review and future research agenda. </w:t>
      </w:r>
      <w:r>
        <w:rPr>
          <w:i/>
          <w:highlight w:val="white"/>
        </w:rPr>
        <w:t>Human Resource Management Review</w:t>
      </w:r>
      <w:r>
        <w:rPr>
          <w:highlight w:val="white"/>
        </w:rPr>
        <w:t xml:space="preserve">, </w:t>
      </w:r>
      <w:r>
        <w:rPr>
          <w:i/>
          <w:highlight w:val="white"/>
        </w:rPr>
        <w:t>31</w:t>
      </w:r>
      <w:r>
        <w:rPr>
          <w:highlight w:val="white"/>
        </w:rPr>
        <w:t>(4), p.100780.</w:t>
      </w:r>
    </w:p>
    <w:p w14:paraId="29A3D0ED" w14:textId="77777777" w:rsidR="003D2CA0" w:rsidRDefault="003D2CA0">
      <w:pPr>
        <w:rPr>
          <w:highlight w:val="white"/>
        </w:rPr>
      </w:pPr>
      <w:r>
        <w:rPr>
          <w:highlight w:val="white"/>
        </w:rPr>
        <w:t xml:space="preserve">Kanwal, F. and Khurram, F., 2022. Understanding Agile Practices for Job Satisfaction through Job Characteristics. </w:t>
      </w:r>
      <w:r>
        <w:rPr>
          <w:i/>
          <w:highlight w:val="white"/>
        </w:rPr>
        <w:t>Journal of Professional &amp; Applied Psychology</w:t>
      </w:r>
      <w:r>
        <w:rPr>
          <w:highlight w:val="white"/>
        </w:rPr>
        <w:t xml:space="preserve">, </w:t>
      </w:r>
      <w:r>
        <w:rPr>
          <w:i/>
          <w:highlight w:val="white"/>
        </w:rPr>
        <w:t>3</w:t>
      </w:r>
      <w:r>
        <w:rPr>
          <w:highlight w:val="white"/>
        </w:rPr>
        <w:t>(2), pp.208-217.</w:t>
      </w:r>
    </w:p>
    <w:p w14:paraId="0C92E746" w14:textId="77777777" w:rsidR="003D2CA0" w:rsidRDefault="003D2CA0">
      <w:pPr>
        <w:rPr>
          <w:highlight w:val="white"/>
        </w:rPr>
      </w:pPr>
      <w:r>
        <w:rPr>
          <w:highlight w:val="white"/>
        </w:rPr>
        <w:lastRenderedPageBreak/>
        <w:t xml:space="preserve">Nagpal, P., 2022. Organizational commitment as an outcome of employee engagement: A social exchange perceptive using a SEM model. </w:t>
      </w:r>
      <w:r>
        <w:rPr>
          <w:i/>
          <w:highlight w:val="white"/>
        </w:rPr>
        <w:t>International Journal of Biology, Pharmacy and Allied Sciences</w:t>
      </w:r>
      <w:r>
        <w:rPr>
          <w:highlight w:val="white"/>
        </w:rPr>
        <w:t xml:space="preserve">, </w:t>
      </w:r>
      <w:r>
        <w:rPr>
          <w:i/>
          <w:highlight w:val="white"/>
        </w:rPr>
        <w:t>11</w:t>
      </w:r>
      <w:r>
        <w:rPr>
          <w:highlight w:val="white"/>
        </w:rPr>
        <w:t>(1), pp.72-86.</w:t>
      </w:r>
    </w:p>
    <w:p w14:paraId="7ABF0D5E" w14:textId="77777777" w:rsidR="003D2CA0" w:rsidRDefault="003D2CA0">
      <w:pPr>
        <w:rPr>
          <w:highlight w:val="white"/>
        </w:rPr>
      </w:pPr>
      <w:r>
        <w:rPr>
          <w:highlight w:val="white"/>
        </w:rPr>
        <w:t xml:space="preserve">Newman, S.A. and Ford, R.C., 2021. Five steps to leading your team in the virtual COVID-19 workplace. </w:t>
      </w:r>
      <w:r>
        <w:rPr>
          <w:i/>
          <w:highlight w:val="white"/>
        </w:rPr>
        <w:t>Organizational Dynamics</w:t>
      </w:r>
      <w:r>
        <w:rPr>
          <w:highlight w:val="white"/>
        </w:rPr>
        <w:t xml:space="preserve">, </w:t>
      </w:r>
      <w:r>
        <w:rPr>
          <w:i/>
          <w:highlight w:val="white"/>
        </w:rPr>
        <w:t>50</w:t>
      </w:r>
      <w:r>
        <w:rPr>
          <w:highlight w:val="white"/>
        </w:rPr>
        <w:t>(1), p.100802.</w:t>
      </w:r>
    </w:p>
    <w:p w14:paraId="0E70BE0C" w14:textId="77777777" w:rsidR="003D2CA0" w:rsidRDefault="003D2CA0">
      <w:pPr>
        <w:rPr>
          <w:highlight w:val="white"/>
        </w:rPr>
      </w:pPr>
      <w:r>
        <w:rPr>
          <w:highlight w:val="white"/>
        </w:rPr>
        <w:t xml:space="preserve">Ray, T.K. and Pana-Cryan, R., 2021. Work flexibility and work-related well-being. </w:t>
      </w:r>
      <w:r>
        <w:rPr>
          <w:i/>
          <w:highlight w:val="white"/>
        </w:rPr>
        <w:t>International journal of environmental research and public health</w:t>
      </w:r>
      <w:r>
        <w:rPr>
          <w:highlight w:val="white"/>
        </w:rPr>
        <w:t xml:space="preserve">, </w:t>
      </w:r>
      <w:r>
        <w:rPr>
          <w:i/>
          <w:highlight w:val="white"/>
        </w:rPr>
        <w:t>18</w:t>
      </w:r>
      <w:r>
        <w:rPr>
          <w:highlight w:val="white"/>
        </w:rPr>
        <w:t>(6), p.3254.</w:t>
      </w:r>
    </w:p>
    <w:p w14:paraId="16377F3F" w14:textId="77777777" w:rsidR="003D2CA0" w:rsidRDefault="003D2CA0">
      <w:pPr>
        <w:rPr>
          <w:highlight w:val="white"/>
        </w:rPr>
      </w:pPr>
      <w:r>
        <w:rPr>
          <w:highlight w:val="white"/>
        </w:rPr>
        <w:t xml:space="preserve">Shields, J., Rooney, J., Brown, M. and Kaine, S., 2020. </w:t>
      </w:r>
      <w:r>
        <w:rPr>
          <w:i/>
          <w:highlight w:val="white"/>
        </w:rPr>
        <w:t>Managing employee performance and reward: Systems, practices and prospects</w:t>
      </w:r>
      <w:r>
        <w:rPr>
          <w:highlight w:val="white"/>
        </w:rPr>
        <w:t>. Cambridge University Press.</w:t>
      </w:r>
    </w:p>
    <w:p w14:paraId="6A193FCB" w14:textId="77777777" w:rsidR="003D2CA0" w:rsidRDefault="003D2CA0">
      <w:pPr>
        <w:rPr>
          <w:highlight w:val="white"/>
        </w:rPr>
      </w:pPr>
      <w:r>
        <w:rPr>
          <w:highlight w:val="white"/>
        </w:rPr>
        <w:t xml:space="preserve">Ștefan, S.C., Popa, Ș.C. and Albu, C.F., 2020. Implications of Maslow’s hierarchy of needs theory on healthcare employees’ performance. </w:t>
      </w:r>
      <w:r>
        <w:rPr>
          <w:i/>
          <w:highlight w:val="white"/>
        </w:rPr>
        <w:t>Transylvanian Review of Administrative Sciences</w:t>
      </w:r>
      <w:r>
        <w:rPr>
          <w:highlight w:val="white"/>
        </w:rPr>
        <w:t xml:space="preserve">, </w:t>
      </w:r>
      <w:r>
        <w:rPr>
          <w:i/>
          <w:highlight w:val="white"/>
        </w:rPr>
        <w:t>16</w:t>
      </w:r>
      <w:r>
        <w:rPr>
          <w:highlight w:val="white"/>
        </w:rPr>
        <w:t>(59), pp.124-143.</w:t>
      </w:r>
    </w:p>
    <w:sectPr w:rsidR="003D2CA0" w:rsidSect="003D2CA0">
      <w:footerReference w:type="default" r:id="rId8"/>
      <w:headerReference w:type="first" r:id="rId9"/>
      <w:footerReference w:type="firs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437DE8" w14:textId="77777777" w:rsidR="00A877E4" w:rsidRDefault="00A877E4">
      <w:pPr>
        <w:spacing w:before="0" w:line="240" w:lineRule="auto"/>
      </w:pPr>
      <w:r>
        <w:separator/>
      </w:r>
    </w:p>
  </w:endnote>
  <w:endnote w:type="continuationSeparator" w:id="0">
    <w:p w14:paraId="5D490B3E" w14:textId="77777777" w:rsidR="00A877E4" w:rsidRDefault="00A877E4">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DBA646" w14:textId="77777777" w:rsidR="005743FA" w:rsidRDefault="00CD4F9D">
    <w:pPr>
      <w:jc w:val="right"/>
    </w:pPr>
    <w:r>
      <w:fldChar w:fldCharType="begin"/>
    </w:r>
    <w:r>
      <w:instrText>PAGE</w:instrText>
    </w:r>
    <w:r>
      <w:fldChar w:fldCharType="separate"/>
    </w:r>
    <w:r w:rsidR="003D2CA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BA0D2D" w14:textId="77777777" w:rsidR="005743FA" w:rsidRDefault="005743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00991" w14:textId="77777777" w:rsidR="00A877E4" w:rsidRDefault="00A877E4">
      <w:pPr>
        <w:spacing w:before="0" w:line="240" w:lineRule="auto"/>
      </w:pPr>
      <w:r>
        <w:separator/>
      </w:r>
    </w:p>
  </w:footnote>
  <w:footnote w:type="continuationSeparator" w:id="0">
    <w:p w14:paraId="15BA2A1E" w14:textId="77777777" w:rsidR="00A877E4" w:rsidRDefault="00A877E4">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F12A" w14:textId="77777777" w:rsidR="005743FA" w:rsidRDefault="00CD4F9D">
    <w:pPr>
      <w:jc w:val="right"/>
    </w:pPr>
    <w:r>
      <w:rPr>
        <w:noProof/>
      </w:rPr>
      <w:drawing>
        <wp:inline distT="114300" distB="114300" distL="114300" distR="114300" wp14:anchorId="7A3119D9" wp14:editId="48B9A353">
          <wp:extent cx="2228850" cy="8477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28850" cy="84772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3FA"/>
    <w:rsid w:val="003D2CA0"/>
    <w:rsid w:val="005743FA"/>
    <w:rsid w:val="00A877E4"/>
    <w:rsid w:val="00CD4F9D"/>
    <w:rsid w:val="00D52FC9"/>
    <w:rsid w:val="00DD0E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C4D40"/>
  <w15:docId w15:val="{BA44156F-70D5-4CB7-A03A-D98C6DD67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outlineLvl w:val="0"/>
    </w:pPr>
    <w:rPr>
      <w:b/>
    </w:rPr>
  </w:style>
  <w:style w:type="paragraph" w:styleId="Titlu2">
    <w:name w:val="heading 2"/>
    <w:basedOn w:val="Normal"/>
    <w:next w:val="Normal"/>
    <w:uiPriority w:val="9"/>
    <w:semiHidden/>
    <w:unhideWhenUsed/>
    <w:qFormat/>
    <w:pPr>
      <w:keepNext/>
      <w:keepLines/>
      <w:outlineLvl w:val="1"/>
    </w:pPr>
    <w:rPr>
      <w:b/>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0" w:after="60"/>
    </w:pPr>
    <w:rPr>
      <w:sz w:val="52"/>
      <w:szCs w:val="52"/>
    </w:rPr>
  </w:style>
  <w:style w:type="paragraph" w:styleId="Subtitlu">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itlucuprins">
    <w:name w:val="TOC Heading"/>
    <w:basedOn w:val="Titlu1"/>
    <w:next w:val="Normal"/>
    <w:uiPriority w:val="39"/>
    <w:unhideWhenUsed/>
    <w:qFormat/>
    <w:rsid w:val="003D2CA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3D2CA0"/>
    <w:pPr>
      <w:spacing w:after="100"/>
    </w:pPr>
  </w:style>
  <w:style w:type="character" w:styleId="Hyperlink">
    <w:name w:val="Hyperlink"/>
    <w:basedOn w:val="Fontdeparagrafimplicit"/>
    <w:uiPriority w:val="99"/>
    <w:unhideWhenUsed/>
    <w:rsid w:val="003D2C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areers.astrazeneca.com/life-at-astrazenec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6419A-60EA-4788-A9F2-FA2E1DDD8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2581</Words>
  <Characters>14716</Characters>
  <Application>Microsoft Office Word</Application>
  <DocSecurity>0</DocSecurity>
  <Lines>122</Lines>
  <Paragraphs>34</Paragraphs>
  <ScaleCrop>false</ScaleCrop>
  <Company/>
  <LinksUpToDate>false</LinksUpToDate>
  <CharactersWithSpaces>17263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 Carare</dc:creator>
  <cp:lastModifiedBy>Alin Carare (2246440)</cp:lastModifiedBy>
  <cp:revision>2</cp:revision>
  <dcterms:created xsi:type="dcterms:W3CDTF">2024-07-26T16:46:00Z</dcterms:created>
  <dcterms:modified xsi:type="dcterms:W3CDTF">2024-07-26T16:46:00Z</dcterms:modified>
</cp:coreProperties>
</file>