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Style w:val="Heading4"/>
        <w:keepNext w:val="0"/>
        <w:keepLines w:val="0"/>
        <w:spacing w:after="240" w:before="240" w:lineRule="auto"/>
        <w:rPr>
          <w:color w:val="000000"/>
          <w:sz w:val="22"/>
          <w:szCs w:val="22"/>
        </w:rPr>
      </w:pPr>
      <w:bookmarkStart w:colFirst="0" w:colLast="0" w:name="_1f44so9bdvn1" w:id="0"/>
      <w:bookmarkEnd w:id="0"/>
      <w:r w:rsidDel="00000000" w:rsidR="00000000" w:rsidRPr="00000000">
        <w:rPr>
          <w:color w:val="000000"/>
          <w:sz w:val="22"/>
          <w:szCs w:val="22"/>
          <w:rtl w:val="0"/>
        </w:rPr>
        <w:t xml:space="preserve">Sadie, an 82-year-old widow, faces numerous challenges related to ageing, health, and social isolation. Living alone in a rural area without public transport, she struggles with limited mobility following a hip replacement and the inability to drive. Despite owning a structurally sound house, its upkeep has become increasingly difficult. Sadie's pride and perception of her neighbours as intrusive prevent her from accepting much-needed help. Financially constrained, she lives on a pension and is reluctant to use her savings, considering them her children’s legacy. Her three children live far apart, with only her daughter Hannah providing regular support despite her own considerable responsibilities. Sadie's relationships with her grandchildren and remaining friends have become weakened, further deepening her isolation. Her physical health is deteriorating due to poor diet, weight gain, and smoking, compounded by her resistance to medical advice and assistance. This report examines Sadie’s case, highlighting the significant challenges typical of ageing individuals. This report also will provide a comprehensive analysis of Sadie’s needs and propose interventions to improve her quality of life by explaining relevant theories such as Maslow's Hierarchy of Needs and theories of ageing. </w:t>
      </w:r>
    </w:p>
    <w:p w:rsidR="00000000" w:rsidDel="00000000" w:rsidP="00000000" w:rsidRDefault="00000000" w:rsidRPr="00000000" w14:paraId="00000002">
      <w:pPr>
        <w:pStyle w:val="Heading4"/>
        <w:keepNext w:val="0"/>
        <w:keepLines w:val="0"/>
        <w:spacing w:after="240" w:before="240" w:lineRule="auto"/>
        <w:rPr>
          <w:color w:val="000000"/>
          <w:sz w:val="22"/>
          <w:szCs w:val="22"/>
        </w:rPr>
      </w:pPr>
      <w:bookmarkStart w:colFirst="0" w:colLast="0" w:name="_l5qhndatnikl" w:id="1"/>
      <w:bookmarkEnd w:id="1"/>
      <w:r w:rsidDel="00000000" w:rsidR="00000000" w:rsidRPr="00000000">
        <w:rPr>
          <w:color w:val="000000"/>
          <w:sz w:val="22"/>
          <w:szCs w:val="22"/>
          <w:rtl w:val="0"/>
        </w:rPr>
        <w:t xml:space="preserve">Old age is a complex and diverse concept that extends beyond a simple chronological marker.  The World Health Organisation (2022) states that typically, age 65 marks the start of old age. However, the normal fact of this 65 considering the old age is outdated and widely acknowledged. The World Economic Forum (WEF) proposes the "prospective age" concept, which defines old age by the average number of years remaining, rather than a fixed age like 65 (Scherbov, 2015).</w:t>
      </w:r>
    </w:p>
    <w:p w:rsidR="00000000" w:rsidDel="00000000" w:rsidP="00000000" w:rsidRDefault="00000000" w:rsidRPr="00000000" w14:paraId="00000003">
      <w:pPr>
        <w:spacing w:after="240" w:before="240" w:lineRule="auto"/>
        <w:rPr/>
      </w:pPr>
      <w:r w:rsidDel="00000000" w:rsidR="00000000" w:rsidRPr="00000000">
        <w:rPr>
          <w:rtl w:val="0"/>
        </w:rPr>
        <w:t xml:space="preserve">Ageing involves declines in physical and cognitive functions biologically, but these vary from individuals to individuals (WHO, 2020) whereas psychologically, it includes  changes in mental health and socially, it includes the roles and social </w:t>
      </w:r>
      <w:r w:rsidDel="00000000" w:rsidR="00000000" w:rsidRPr="00000000">
        <w:rPr>
          <w:rtl w:val="0"/>
        </w:rPr>
        <w:t xml:space="preserve">attitudes</w:t>
      </w:r>
      <w:r w:rsidDel="00000000" w:rsidR="00000000" w:rsidRPr="00000000">
        <w:rPr>
          <w:rtl w:val="0"/>
        </w:rPr>
        <w:t xml:space="preserve">. (Bengtson &amp; Schaie, 1999).</w:t>
      </w:r>
    </w:p>
    <w:p w:rsidR="00000000" w:rsidDel="00000000" w:rsidP="00000000" w:rsidRDefault="00000000" w:rsidRPr="00000000" w14:paraId="00000004">
      <w:pPr>
        <w:spacing w:after="240" w:before="240" w:lineRule="auto"/>
        <w:rPr>
          <w:b w:val="1"/>
          <w:color w:val="000000"/>
          <w:sz w:val="22"/>
          <w:szCs w:val="22"/>
        </w:rPr>
      </w:pPr>
      <w:r w:rsidDel="00000000" w:rsidR="00000000" w:rsidRPr="00000000">
        <w:rPr>
          <w:rtl w:val="0"/>
        </w:rPr>
        <w:t xml:space="preserve">There is no official retirement age in today's world, and a lot of individuals work over 65 because they live longer, healthier lives and the State Pension age is growing. For example, in 2018, a 65-year-old man had the expectancy of living was another 18.6 where a woman 21 years. (ONS, 2019). This change acknowledges the necessity of taking the variety of factors into consideration when defining old age.</w:t>
      </w:r>
      <w:r w:rsidDel="00000000" w:rsidR="00000000" w:rsidRPr="00000000">
        <w:rPr>
          <w:rtl w:val="0"/>
        </w:rPr>
      </w:r>
    </w:p>
    <w:p w:rsidR="00000000" w:rsidDel="00000000" w:rsidP="00000000" w:rsidRDefault="00000000" w:rsidRPr="00000000" w14:paraId="00000005">
      <w:pPr>
        <w:spacing w:after="240" w:before="240" w:lineRule="auto"/>
        <w:rPr/>
      </w:pPr>
      <w:r w:rsidDel="00000000" w:rsidR="00000000" w:rsidRPr="00000000">
        <w:rPr>
          <w:rtl w:val="0"/>
        </w:rPr>
        <w:t xml:space="preserve">Global population ageing is happening rapidly; between 2015 and 2050, the rate of adults over 60 almost doubled, from 12% to 22% (WHO, 2021). According to WHO, by 2020 there were more people over 60 than there were children under five (WHO, 2021). 80% of older people will live in lower and middle-income nations by 2050 (WHO, 2022). Improvements in living standards, medical care, and lower birth rates lead to increasing pressure on health and social care systems mostly in every country including the UK.</w:t>
      </w:r>
    </w:p>
    <w:p w:rsidR="00000000" w:rsidDel="00000000" w:rsidP="00000000" w:rsidRDefault="00000000" w:rsidRPr="00000000" w14:paraId="00000006">
      <w:pPr>
        <w:spacing w:after="240" w:before="240" w:lineRule="auto"/>
        <w:rPr/>
      </w:pPr>
      <w:r w:rsidDel="00000000" w:rsidR="00000000" w:rsidRPr="00000000">
        <w:rPr>
          <w:rtl w:val="0"/>
        </w:rPr>
        <w:t xml:space="preserve">In the report of the Office for National Statistics, the rate of 65 year olds increased to 18.5% in 2019 from 16% in 2001 because of the lower birth rate and increase in life expectancy in the UK (ONS, 2020). Although improved healthcare has extended life expectancy, the socio-economic trends like having children at a later age have reduced the younger population (Harper, 2015). These changes require immediate support and attention to provide adequate support for the ageing population. </w:t>
      </w:r>
      <w:r w:rsidDel="00000000" w:rsidR="00000000" w:rsidRPr="00000000">
        <w:rPr>
          <w:rtl w:val="0"/>
        </w:rPr>
      </w:r>
    </w:p>
    <w:p w:rsidR="00000000" w:rsidDel="00000000" w:rsidP="00000000" w:rsidRDefault="00000000" w:rsidRPr="00000000" w14:paraId="00000007">
      <w:pPr>
        <w:spacing w:after="240" w:before="240" w:lineRule="auto"/>
        <w:rPr/>
      </w:pPr>
      <w:r w:rsidDel="00000000" w:rsidR="00000000" w:rsidRPr="00000000">
        <w:rPr>
          <w:rtl w:val="0"/>
        </w:rPr>
        <w:t xml:space="preserve">In Sadie’s case, main concerns are her decrease in physical ability, mental health and well-being, social isolation, personal hygiene and mal-nutrition eating disorder. </w:t>
      </w:r>
    </w:p>
    <w:p w:rsidR="00000000" w:rsidDel="00000000" w:rsidP="00000000" w:rsidRDefault="00000000" w:rsidRPr="00000000" w14:paraId="00000008">
      <w:pPr>
        <w:spacing w:after="240" w:before="240" w:lineRule="auto"/>
        <w:rPr/>
      </w:pPr>
      <w:r w:rsidDel="00000000" w:rsidR="00000000" w:rsidRPr="00000000">
        <w:rPr>
          <w:rtl w:val="0"/>
        </w:rPr>
        <w:t xml:space="preserve">Mental and physical health issues are also prevalent in Sadie’s case. Conditions such as arthritis, cardiovascular diseases, and cognitive decline, including dementia, are common in older people (Prince et al., 2013). Post-hip replacement, Sadie experiences significant mobility challenges and cannot drive. She is overweight, has a poor diet, and continues to smoke despite her health risks such as diabetes and chest infections (WHO, 2021).</w:t>
      </w:r>
    </w:p>
    <w:p w:rsidR="00000000" w:rsidDel="00000000" w:rsidP="00000000" w:rsidRDefault="00000000" w:rsidRPr="00000000" w14:paraId="00000009">
      <w:pPr>
        <w:spacing w:after="240" w:before="240" w:lineRule="auto"/>
        <w:ind w:left="0" w:firstLine="0"/>
        <w:rPr/>
      </w:pPr>
      <w:r w:rsidDel="00000000" w:rsidR="00000000" w:rsidRPr="00000000">
        <w:rPr>
          <w:rtl w:val="0"/>
        </w:rPr>
        <w:t xml:space="preserve">Living in a rural area with no public transport and declining health has led to social withdrawal. She misses her deceased husband, feels disconnected from her community, and sees her children infrequently, exacerbating loneliness. The COVID-19 pandemic has made these problems worse, making older people feel more scared of seeking medical help, going out, anxious, lonely, and socially isolated. The pandemic also highlighted the vulnerability of older adults to severe illness and death from infectious diseases (Galea, Merchant, &amp; Lurie, 2020).</w:t>
      </w:r>
    </w:p>
    <w:p w:rsidR="00000000" w:rsidDel="00000000" w:rsidP="00000000" w:rsidRDefault="00000000" w:rsidRPr="00000000" w14:paraId="0000000A">
      <w:pPr>
        <w:spacing w:after="240" w:before="240" w:lineRule="auto"/>
        <w:ind w:left="0" w:firstLine="0"/>
        <w:rPr/>
      </w:pPr>
      <w:r w:rsidDel="00000000" w:rsidR="00000000" w:rsidRPr="00000000">
        <w:rPr>
          <w:rtl w:val="0"/>
        </w:rPr>
        <w:t xml:space="preserve">According to CPA (2024), the state pension age was increased from 65 to 66 years and this  had made a decrease in the pension  for a 65 years old individual from </w:t>
      </w:r>
      <w:r w:rsidDel="00000000" w:rsidR="00000000" w:rsidRPr="00000000">
        <w:rPr>
          <w:rFonts w:ascii="Verdana" w:cs="Verdana" w:eastAsia="Verdana" w:hAnsi="Verdana"/>
          <w:sz w:val="20"/>
          <w:szCs w:val="20"/>
          <w:rtl w:val="0"/>
        </w:rPr>
        <w:t xml:space="preserve">£142</w:t>
      </w:r>
      <w:r w:rsidDel="00000000" w:rsidR="00000000" w:rsidRPr="00000000">
        <w:rPr>
          <w:rtl w:val="0"/>
        </w:rPr>
        <w:t xml:space="preserve"> to </w:t>
      </w:r>
      <w:r w:rsidDel="00000000" w:rsidR="00000000" w:rsidRPr="00000000">
        <w:rPr>
          <w:rFonts w:ascii="Verdana" w:cs="Verdana" w:eastAsia="Verdana" w:hAnsi="Verdana"/>
          <w:sz w:val="20"/>
          <w:szCs w:val="20"/>
          <w:rtl w:val="0"/>
        </w:rPr>
        <w:t xml:space="preserve">£</w:t>
      </w:r>
      <w:r w:rsidDel="00000000" w:rsidR="00000000" w:rsidRPr="00000000">
        <w:rPr>
          <w:rtl w:val="0"/>
        </w:rPr>
        <w:t xml:space="preserve">108 in 2020-2021 which caused the poverty in older people and Sadie lives on a pension with little disposable income. Despite owning her home, she refuses to use her savings, seeing them as her children's legacy, probably thinking of her children’s future since then living cost is increasing sky high and pension is very minimum. Many older people mostly depend on pensions financially which might not be enough to keep up with the current inflation (Age UK, 2020). </w:t>
      </w:r>
    </w:p>
    <w:p w:rsidR="00000000" w:rsidDel="00000000" w:rsidP="00000000" w:rsidRDefault="00000000" w:rsidRPr="00000000" w14:paraId="0000000B">
      <w:pPr>
        <w:spacing w:after="240" w:before="240" w:lineRule="auto"/>
        <w:ind w:left="0" w:firstLine="0"/>
        <w:rPr/>
      </w:pPr>
      <w:r w:rsidDel="00000000" w:rsidR="00000000" w:rsidRPr="00000000">
        <w:rPr>
          <w:rtl w:val="0"/>
        </w:rPr>
        <w:t xml:space="preserve">Elder abuse, which includes physical, emotional, and financial abuse, is a significant concern in both residential and domiciliary care settings (</w:t>
      </w:r>
      <w:r w:rsidDel="00000000" w:rsidR="00000000" w:rsidRPr="00000000">
        <w:rPr>
          <w:rFonts w:ascii="Roboto" w:cs="Roboto" w:eastAsia="Roboto" w:hAnsi="Roboto"/>
          <w:color w:val="212121"/>
          <w:highlight w:val="white"/>
          <w:rtl w:val="0"/>
        </w:rPr>
        <w:t xml:space="preserve">Cooper, Selwood, Livingston, 2008</w:t>
      </w:r>
      <w:r w:rsidDel="00000000" w:rsidR="00000000" w:rsidRPr="00000000">
        <w:rPr>
          <w:rtl w:val="0"/>
        </w:rPr>
        <w:t xml:space="preserve">). Older people face various issues, including financial instability, ageism, and abuse which causes paranoia to Sadie being placed in a care home. Ageism, or discrimination based on age, can limit opportunities for older adults in employment and social participation (Butler, 2005). Sadie shows signs of cognitive decline, getting very forgetful and increasingly forgets to lock doors, take medication often misplacing things such as money and glasses. She also feels paranoia about moving into residential care, adding to her emotional distress (Prince et al., 2013). </w:t>
      </w:r>
    </w:p>
    <w:p w:rsidR="00000000" w:rsidDel="00000000" w:rsidP="00000000" w:rsidRDefault="00000000" w:rsidRPr="00000000" w14:paraId="0000000C">
      <w:pPr>
        <w:spacing w:after="240" w:before="240" w:lineRule="auto"/>
        <w:ind w:left="0" w:firstLine="0"/>
        <w:rPr/>
      </w:pPr>
      <w:r w:rsidDel="00000000" w:rsidR="00000000" w:rsidRPr="00000000">
        <w:rPr>
          <w:rtl w:val="0"/>
        </w:rPr>
        <w:t xml:space="preserve">Sadie’s personal hygiene is not good, she used to take pride in her appearance but at the moment she has difficulty washing and dressing because of decline in her cognitive ability and her self-esteem refuges her daughter to help her bathing and changing. Difficulty in maintaining personal hygiene and household cleanliness further diminishes Sadie’s quality of life. Sadie’s eating is nutritionally poor due to her mobility and health issues, she finds it difficult to use her kitchen which may lead her to malnutrition and illness. </w:t>
      </w:r>
    </w:p>
    <w:p w:rsidR="00000000" w:rsidDel="00000000" w:rsidP="00000000" w:rsidRDefault="00000000" w:rsidRPr="00000000" w14:paraId="0000000D">
      <w:pPr>
        <w:spacing w:after="240" w:before="240" w:lineRule="auto"/>
        <w:rPr/>
      </w:pPr>
      <w:r w:rsidDel="00000000" w:rsidR="00000000" w:rsidRPr="00000000">
        <w:rPr>
          <w:rtl w:val="0"/>
        </w:rPr>
        <w:t xml:space="preserve">The NHS provides comprehensive medical care, but access can be delayed by long waiting times and staff shortages (King's Fund, 2020). Social care services, which support daily living activities, are often insufficient due to limited funding and scattered service (Glasby, 2017).</w:t>
      </w:r>
    </w:p>
    <w:p w:rsidR="00000000" w:rsidDel="00000000" w:rsidP="00000000" w:rsidRDefault="00000000" w:rsidRPr="00000000" w14:paraId="0000000E">
      <w:pPr>
        <w:spacing w:after="240" w:before="240" w:lineRule="auto"/>
        <w:rPr/>
      </w:pPr>
      <w:r w:rsidDel="00000000" w:rsidR="00000000" w:rsidRPr="00000000">
        <w:rPr>
          <w:rtl w:val="0"/>
        </w:rPr>
        <w:t xml:space="preserve">Demand for domiciliary and residential care services both are increasing along with the UK’s ageing population. It is predicted that approximately 25% of the population in the UK would be 65 years of age or older by 2040 which will raise the need for social service and healthcare services.(ONS, 2022) The current system might find it difficult to provide quality care without significant increase in funding and changes in the system (Age UK, 2019).</w:t>
      </w:r>
    </w:p>
    <w:p w:rsidR="00000000" w:rsidDel="00000000" w:rsidP="00000000" w:rsidRDefault="00000000" w:rsidRPr="00000000" w14:paraId="0000000F">
      <w:pPr>
        <w:widowControl w:val="0"/>
        <w:spacing w:before="208.80002000000002" w:line="276" w:lineRule="auto"/>
        <w:ind w:left="0" w:firstLine="0"/>
        <w:rPr>
          <w:b w:val="1"/>
          <w:color w:val="000000"/>
          <w:sz w:val="20"/>
          <w:szCs w:val="20"/>
        </w:rPr>
      </w:pPr>
      <w:r w:rsidDel="00000000" w:rsidR="00000000" w:rsidRPr="00000000">
        <w:rPr>
          <w:rtl w:val="0"/>
        </w:rPr>
        <w:t xml:space="preserve">Despite the UK government’s promise to invest up to £4.7 billion in social care for 2024/2025, local authority budgets have cut in so many areas, increasing the crisis (LGA, 2023). Staffing shortages are severe, with 52,000 vacancies daily in 2022/23 and a high annual turnover of 390,000 care workers, many of whom leave the sector altogether (Age UK, 2023). This workforce instability directly impacts the quality and availability of care, contributing to the 1.6 million older individuals with unmet care needs. In contrast, Sadie, an 82-year-old widow facing significant personal and health challenges, is a direct beneficiary of this wrecked system. Her reliance on her daughter for support and the delay in receiving appropriate care services reflect the broader systemic failings in addressing the needs of elderly individuals like her (CQC, 2023). The mismatch between the increasing demand for care and the sector’s capacity to meet these needs underscores the urgency for more comprehensive solutions and support systems for both individuals and service providers.</w:t>
      </w:r>
      <w:r w:rsidDel="00000000" w:rsidR="00000000" w:rsidRPr="00000000">
        <w:rPr>
          <w:rtl w:val="0"/>
        </w:rPr>
      </w:r>
    </w:p>
    <w:p w:rsidR="00000000" w:rsidDel="00000000" w:rsidP="00000000" w:rsidRDefault="00000000" w:rsidRPr="00000000" w14:paraId="00000010">
      <w:pPr>
        <w:spacing w:after="240" w:before="240" w:lineRule="auto"/>
        <w:rPr>
          <w:b w:val="1"/>
          <w:color w:val="000000"/>
          <w:sz w:val="20"/>
          <w:szCs w:val="20"/>
        </w:rPr>
      </w:pPr>
      <w:r w:rsidDel="00000000" w:rsidR="00000000" w:rsidRPr="00000000">
        <w:rPr>
          <w:rtl w:val="0"/>
        </w:rPr>
        <w:t xml:space="preserve">Theories are used to describe and explain, behaviour/phenomenon and to help us understand why and how phenomena/behaviour occurs</w:t>
      </w:r>
      <w:r w:rsidDel="00000000" w:rsidR="00000000" w:rsidRPr="00000000">
        <w:rPr>
          <w:sz w:val="20"/>
          <w:szCs w:val="20"/>
          <w:rtl w:val="0"/>
        </w:rPr>
        <w:t xml:space="preserve"> (Larkin, 2009) </w:t>
      </w:r>
      <w:r w:rsidDel="00000000" w:rsidR="00000000" w:rsidRPr="00000000">
        <w:rPr>
          <w:rtl w:val="0"/>
        </w:rPr>
        <w:t xml:space="preserve">The disengagement theory, proposed by Cumming and Henry (1961), suggests that as people age, they gradually withdraw from social roles and relationships, a process that is mutual between the individual and society. Sadie's withdrawal from community activities and her reluctance to accept help can be seen through this lens. Her pride and embarrassment about her situation prevent her from engaging with her remaining friends and accepting assistance, thereby intensifying her isolation. (Larkin, 2009) But the disengagement theory has failed to account for the cultural changes that have affected the elderly since the theory was originally proposed like people may live longer, retire later etc. It ignores that disengagement is often due to involuntary factors like ill health and financial constraints, reinforcing negative perceptions and overlooking the complex realities of ageing.</w:t>
      </w:r>
      <w:r w:rsidDel="00000000" w:rsidR="00000000" w:rsidRPr="00000000">
        <w:rPr>
          <w:rtl w:val="0"/>
        </w:rPr>
      </w:r>
    </w:p>
    <w:p w:rsidR="00000000" w:rsidDel="00000000" w:rsidP="00000000" w:rsidRDefault="00000000" w:rsidRPr="00000000" w14:paraId="00000011">
      <w:pPr>
        <w:spacing w:after="240" w:before="240" w:lineRule="auto"/>
        <w:rPr>
          <w:b w:val="1"/>
          <w:color w:val="000000"/>
          <w:sz w:val="20"/>
          <w:szCs w:val="20"/>
        </w:rPr>
      </w:pPr>
      <w:r w:rsidDel="00000000" w:rsidR="00000000" w:rsidRPr="00000000">
        <w:rPr>
          <w:rtl w:val="0"/>
        </w:rPr>
        <w:t xml:space="preserve">The</w:t>
      </w:r>
      <w:r w:rsidDel="00000000" w:rsidR="00000000" w:rsidRPr="00000000">
        <w:rPr>
          <w:rtl w:val="0"/>
        </w:rPr>
        <w:t xml:space="preserve"> activity theory states that staying active and engaged is crucial for life satisfaction and well-being in older age, in contrast to disengagement theory (Havighurst, 1961). Sadie's inactivity, both physically and socially, negatively impacts her health and mental state. Encouraging her to engage in light physical activities and social interactions could significantly improve her well-being (Maulk, 2010; UK Government, 2014). The down side of this theory is that difficulties for physical changes due to ageing were not considered while talking about very old people where the condition might prevent them from being active and the other main constraint is lack of economic and social resources. (CQC, 2023)</w:t>
      </w:r>
      <w:r w:rsidDel="00000000" w:rsidR="00000000" w:rsidRPr="00000000">
        <w:rPr>
          <w:rtl w:val="0"/>
        </w:rPr>
      </w:r>
    </w:p>
    <w:p w:rsidR="00000000" w:rsidDel="00000000" w:rsidP="00000000" w:rsidRDefault="00000000" w:rsidRPr="00000000" w14:paraId="00000012">
      <w:pPr>
        <w:spacing w:after="240" w:before="240" w:lineRule="auto"/>
        <w:rPr>
          <w:b w:val="1"/>
          <w:color w:val="000000"/>
          <w:sz w:val="20"/>
          <w:szCs w:val="20"/>
        </w:rPr>
      </w:pPr>
      <w:r w:rsidDel="00000000" w:rsidR="00000000" w:rsidRPr="00000000">
        <w:rPr>
          <w:rtl w:val="0"/>
        </w:rPr>
        <w:t xml:space="preserve">The continuity theory emphasises that older individuals will usually maintain the same activities, behaviours, and relationships as they did in their earlier years of life (Atchley, 1989) but Sadie's current lifestyle is a continuation of her past, where she was once an active community member and in her local church. However, her physical limitations and loss of social connections have disrupted this continuity (Wang, 2012). The limitations of continuity theory include its minimal consideration of cognitive abilities and mental health. This oversight can result in an incomplete understanding of the ageing process, as cognitive decline and mental health issues significantly impact an individual's ability to maintain their previous lifestyle and activities.</w:t>
      </w:r>
      <w:r w:rsidDel="00000000" w:rsidR="00000000" w:rsidRPr="00000000">
        <w:rPr>
          <w:rtl w:val="0"/>
        </w:rPr>
      </w:r>
    </w:p>
    <w:p w:rsidR="00000000" w:rsidDel="00000000" w:rsidP="00000000" w:rsidRDefault="00000000" w:rsidRPr="00000000" w14:paraId="00000013">
      <w:pPr>
        <w:widowControl w:val="0"/>
        <w:spacing w:after="240" w:before="240" w:line="276" w:lineRule="auto"/>
        <w:ind w:left="0" w:firstLine="0"/>
        <w:rPr/>
      </w:pPr>
      <w:r w:rsidDel="00000000" w:rsidR="00000000" w:rsidRPr="00000000">
        <w:rPr>
          <w:rtl w:val="0"/>
        </w:rPr>
        <w:t xml:space="preserve">Sadie’s situation highlights the multidimensional challenges elderly individuals face particularly those living in rural areas with limited access to support and services, which can be critically analysed using Maslow's Hierarchy of Needs and the concept of life course transitions. At the base of Maslow’s hierarchy, Sadie’s physiological needs are not being met adequately due to her poor diet and smoking habits, which increases immediate health risks (Maslow, 1943). Addressing these issues through nutritional support and smoking cessation programs is crucial (NHS, 2022). Since Sadie is concerned about being placed in residential care and wants to reside at her own home, her decision should be respected following the Care Act 2014. In case of her residing at her own home, domiciliary care can be provided to her to support her daily needs. The Health and Social Care Act 2008 and the regulations established by the Care Quality Commission (CQC) also play crucial roles in ensuring the provision of safe, effective, and high-quality care (UK Government, 2008). Domiciliary care companies must adhere to these standards to provide the necessary support for Sadie, addressing her hygiene, nutrition, and overall health needs while respecting her dignity and autonomy. Also, the Human Rights Act 1998 (Article 8) underlines Sadie’s right to respect for her private and family life (UK Government, 1988), which is critical when considering her resistance to institutional care and preference for remaining in her home. While considering adequate support and intervention for her, the right to autonomy along with her safety and well-being should be considered.  The Equality Act 2010 is also pertinent, as it ensures that individuals are not discriminated against based on age or disability (UK Government, 2010). This Act should guarantee that Sadie receives equitable treatment and access to services. However, her resistance to technology and external help indicates a need for more personalised and respectful approaches that acknowledge her preferences and past independence.</w:t>
      </w:r>
    </w:p>
    <w:p w:rsidR="00000000" w:rsidDel="00000000" w:rsidP="00000000" w:rsidRDefault="00000000" w:rsidRPr="00000000" w14:paraId="00000014">
      <w:pPr>
        <w:widowControl w:val="0"/>
        <w:spacing w:after="240" w:before="240" w:line="276" w:lineRule="auto"/>
        <w:ind w:left="0" w:firstLine="0"/>
        <w:rPr/>
      </w:pPr>
      <w:r w:rsidDel="00000000" w:rsidR="00000000" w:rsidRPr="00000000">
        <w:rPr>
          <w:rtl w:val="0"/>
        </w:rPr>
        <w:t xml:space="preserve">On the other hand, Sadie’s increasing forgetfulness and denial of her deteriorating condition raise concerns about her mental capacity, as defined under the Mental Capacity Act 2005. This Act provides a framework for making decisions on behalf of individuals who lack the capacity to do so, ensuring decisions are made in their best interests (UK Government, 2005). A thorough assessment of Sadie’s capacity is essential to determine the appropriate level of intervention and support and if necessary, her daughter should be involved when taking any decision along with the multidisciplinary team (UK Government, 2014).  </w:t>
      </w:r>
    </w:p>
    <w:p w:rsidR="00000000" w:rsidDel="00000000" w:rsidP="00000000" w:rsidRDefault="00000000" w:rsidRPr="00000000" w14:paraId="00000015">
      <w:pPr>
        <w:widowControl w:val="0"/>
        <w:spacing w:after="240" w:before="240" w:line="276" w:lineRule="auto"/>
        <w:ind w:left="0" w:firstLine="0"/>
        <w:rPr/>
      </w:pPr>
      <w:r w:rsidDel="00000000" w:rsidR="00000000" w:rsidRPr="00000000">
        <w:rPr>
          <w:rtl w:val="0"/>
        </w:rPr>
        <w:t xml:space="preserve">Sadie’s safety needs are compromised by her living conditions, such as her messy house, risk of fire from smoking, and inconsistent medication management. These concerns require interventions to improve her home environment and ensure her safety. The Care Act 2014 requires local authorities to ensure the safety and well-being of individuals in care settings (UK Government, 2014). Promoting Sadie’s wellbeing considering her personal dignity, physical and mental health, emotional wellbeing, and protection from abuse and neglect should be the main focus of local authority. (UK Government, 2014). The Care Act also emphasises the importance of an individual to take part in their care plan decision to prevent the sudden increase in the care demands (UK Government, 2014). Despite these provisions, Sadie’s reluctance to accept help from external sources, combined with her pride and mistrust of neighbours, complicates the implementation of care services which indicates her decline in mental capacity. Her situation is further worsened by her financial constraints, which limit her ability to improve her living conditions and access paid services, despite the house and some savings being potential resources. </w:t>
      </w:r>
    </w:p>
    <w:p w:rsidR="00000000" w:rsidDel="00000000" w:rsidP="00000000" w:rsidRDefault="00000000" w:rsidRPr="00000000" w14:paraId="00000016">
      <w:pPr>
        <w:widowControl w:val="0"/>
        <w:spacing w:after="240" w:before="240" w:line="276" w:lineRule="auto"/>
        <w:ind w:left="0" w:firstLine="0"/>
        <w:rPr/>
      </w:pPr>
      <w:r w:rsidDel="00000000" w:rsidR="00000000" w:rsidRPr="00000000">
        <w:rPr>
          <w:rtl w:val="0"/>
        </w:rPr>
        <w:t xml:space="preserve">When socialism is taken into consideration, Sadie’s need for love and belonging is significantly not met, increased by her isolation and broken family relationships. Enhancing her social connections through community involvement or virtual interactions with distant family members could reduce her loneliness. In terms of esteem needs, Sadie’s loss of pride and accomplishment due to her inability to maintain personal hygiene and engage in previous activities is significant. To restore Sadie’s self-esteem, encouragement of pursuing her hobbies or some household works is necessary.</w:t>
      </w:r>
    </w:p>
    <w:p w:rsidR="00000000" w:rsidDel="00000000" w:rsidP="00000000" w:rsidRDefault="00000000" w:rsidRPr="00000000" w14:paraId="00000017">
      <w:pPr>
        <w:widowControl w:val="0"/>
        <w:spacing w:after="240" w:before="240" w:line="276" w:lineRule="auto"/>
        <w:ind w:left="0" w:firstLine="0"/>
        <w:rPr/>
      </w:pPr>
      <w:r w:rsidDel="00000000" w:rsidR="00000000" w:rsidRPr="00000000">
        <w:rPr>
          <w:rtl w:val="0"/>
        </w:rPr>
        <w:t xml:space="preserve">Helping Sadie discover new hobbies or volunteer opportunities will help her reach self-actualization, the highest point in Maslow's hierarchy, and will give her life purpose again. The Care Act 2014 aims to provide comprehensive care and support, emphasising personalised care plans and the integration of health and social services (UK Government, 2014). In Sadie’s case, her care plan should be person-centred focusing on her well-being, respecting her autonomy and dignity and encouraging her to promote her hobbies and activity will be beneficial for mental well-being. </w:t>
      </w:r>
    </w:p>
    <w:p w:rsidR="00000000" w:rsidDel="00000000" w:rsidP="00000000" w:rsidRDefault="00000000" w:rsidRPr="00000000" w14:paraId="00000018">
      <w:pPr>
        <w:widowControl w:val="0"/>
        <w:spacing w:after="240" w:before="240" w:line="276" w:lineRule="auto"/>
        <w:ind w:left="0" w:firstLine="0"/>
        <w:rPr/>
      </w:pPr>
      <w:r w:rsidDel="00000000" w:rsidR="00000000" w:rsidRPr="00000000">
        <w:rPr>
          <w:rtl w:val="0"/>
        </w:rPr>
        <w:t xml:space="preserve">The concept of life course transitions is also relevant, as Sadie’s current stage of life involves significant transitions, such as the loss of her husband and declining health, which are as impactful as transitions in any other life stage (Moody, 2006). These transitions can lead to psychological and behavioural problems if not adequately supported by society. Sadie’s resistance to change and reluctance to accept help can be understood as part of the challenge of navigating these transitions without sufficient support. Therefore, a holistic approach that addresses her physical, safety, social, esteem, and self-actualization needs while providing societal support for her transitions is essential for improving Sadie’s overall well-being.</w:t>
      </w:r>
      <w:r w:rsidDel="00000000" w:rsidR="00000000" w:rsidRPr="00000000">
        <w:rPr>
          <w:rtl w:val="0"/>
        </w:rPr>
      </w:r>
    </w:p>
    <w:p w:rsidR="00000000" w:rsidDel="00000000" w:rsidP="00000000" w:rsidRDefault="00000000" w:rsidRPr="00000000" w14:paraId="00000019">
      <w:pPr>
        <w:spacing w:after="240" w:before="240" w:lineRule="auto"/>
        <w:rPr/>
      </w:pPr>
      <w:r w:rsidDel="00000000" w:rsidR="00000000" w:rsidRPr="00000000">
        <w:rPr>
          <w:rtl w:val="0"/>
        </w:rPr>
        <w:t xml:space="preserve">To help Sadie age successfully, various support and assistance can be suggested like domiciliary care, residential care, assisted living in care etc. Nutritional support through meal delivery services and smoking cessation programs can improve her health (NHS, 2023). Regular physiotherapy, physical activity and a healthy diet can help mobility and weight management. Sadie can be supported with domiciliary care services which will assist with personal hygiene and household chores, while community engagement and training in modern technology training can reduce isolation and help her connect with family. Financial advice can help Sadie manage her pension and explore potential benefits (DWP, 2023). For mental health, cognitive therapy and regular check-ups, along with counselling services, can provide necessary emotional and cognitive support (NHS, 2023). </w:t>
      </w:r>
      <w:r w:rsidDel="00000000" w:rsidR="00000000" w:rsidRPr="00000000">
        <w:rPr>
          <w:rtl w:val="0"/>
        </w:rPr>
        <w:t xml:space="preserve">The UK government has implemented various policies to address the challenges of an ageing population.  Additionally, the NHS Long Term Plan outlines strategies to improve care for older adults, including enhanced community health services and support for caregivers (NHS England, 2019).</w:t>
      </w:r>
    </w:p>
    <w:p w:rsidR="00000000" w:rsidDel="00000000" w:rsidP="00000000" w:rsidRDefault="00000000" w:rsidRPr="00000000" w14:paraId="0000001A">
      <w:pPr>
        <w:spacing w:after="240" w:before="240" w:lineRule="auto"/>
        <w:rPr/>
      </w:pPr>
      <w:r w:rsidDel="00000000" w:rsidR="00000000" w:rsidRPr="00000000">
        <w:rPr>
          <w:rtl w:val="0"/>
        </w:rPr>
        <w:t xml:space="preserve">However, these measures have been criticised for insufficient funding and inconsistent implementation across regions. Funding for care services is a major concern. Many families struggle with the high costs of care, and there are calls for greater government support and reform of the social care funding system (King's Fund, 2022). The COVID-19 pandemic further stressed the system, revealing gaps in preparedness and response, particularly in care homes (</w:t>
      </w:r>
      <w:r w:rsidDel="00000000" w:rsidR="00000000" w:rsidRPr="00000000">
        <w:rPr>
          <w:rFonts w:ascii="Roboto" w:cs="Roboto" w:eastAsia="Roboto" w:hAnsi="Roboto"/>
          <w:color w:val="212121"/>
          <w:highlight w:val="white"/>
          <w:rtl w:val="0"/>
        </w:rPr>
        <w:t xml:space="preserve">Boamah, </w:t>
      </w:r>
      <w:r w:rsidDel="00000000" w:rsidR="00000000" w:rsidRPr="00000000">
        <w:rPr>
          <w:rFonts w:ascii="Roboto" w:cs="Roboto" w:eastAsia="Roboto" w:hAnsi="Roboto"/>
          <w:i w:val="1"/>
          <w:color w:val="212121"/>
          <w:highlight w:val="white"/>
          <w:rtl w:val="0"/>
        </w:rPr>
        <w:t xml:space="preserve">et al</w:t>
      </w:r>
      <w:r w:rsidDel="00000000" w:rsidR="00000000" w:rsidRPr="00000000">
        <w:rPr>
          <w:rFonts w:ascii="Roboto" w:cs="Roboto" w:eastAsia="Roboto" w:hAnsi="Roboto"/>
          <w:color w:val="212121"/>
          <w:highlight w:val="white"/>
          <w:rtl w:val="0"/>
        </w:rPr>
        <w:t xml:space="preserve">. 2023)</w:t>
      </w:r>
      <w:r w:rsidDel="00000000" w:rsidR="00000000" w:rsidRPr="00000000">
        <w:rPr>
          <w:rtl w:val="0"/>
        </w:rPr>
        <w:t xml:space="preserve">.</w:t>
      </w:r>
    </w:p>
    <w:p w:rsidR="00000000" w:rsidDel="00000000" w:rsidP="00000000" w:rsidRDefault="00000000" w:rsidRPr="00000000" w14:paraId="0000001B">
      <w:pPr>
        <w:spacing w:after="240" w:before="240" w:lineRule="auto"/>
        <w:rPr>
          <w:color w:val="000000"/>
          <w:sz w:val="22"/>
          <w:szCs w:val="22"/>
        </w:rPr>
      </w:pPr>
      <w:r w:rsidDel="00000000" w:rsidR="00000000" w:rsidRPr="00000000">
        <w:rPr>
          <w:rtl w:val="0"/>
        </w:rPr>
        <w:t xml:space="preserve">Sadie’s case explains the importance of a holistic support, person-centred approach in social care policy and practice in the UK. The integration of health and social care services, as promoted by the Care Act 2014 and subsequent policies like the NHS Long Term Plan, aims to provide coordinated and continuous care that addresses both her immediate and long-term needs (NHS, 2023). Engaging Sadie in the decision-making process, perhaps through mediated family discussions and professional advocacy, could help bridge the gap between her needs and her willingness to accept help, ensuring her care aligns with legislative mandates and her personal values.</w:t>
      </w:r>
      <w:r w:rsidDel="00000000" w:rsidR="00000000" w:rsidRPr="00000000">
        <w:rPr>
          <w:rtl w:val="0"/>
        </w:rPr>
      </w:r>
    </w:p>
    <w:p w:rsidR="00000000" w:rsidDel="00000000" w:rsidP="00000000" w:rsidRDefault="00000000" w:rsidRPr="00000000" w14:paraId="0000001C">
      <w:pPr>
        <w:spacing w:after="240" w:before="240" w:lineRule="auto"/>
        <w:rPr/>
      </w:pPr>
      <w:r w:rsidDel="00000000" w:rsidR="00000000" w:rsidRPr="00000000">
        <w:rPr>
          <w:rtl w:val="0"/>
        </w:rPr>
        <w:t xml:space="preserve">The UK's health and social care sector poses serious challenges due to the rapid increase of the ageing population and Sadie’s case study highlights those challenges. While policies and strategies exist to support older adults, the increasing number of elderly individuals necessitates substantial investment and changes.It is necessary to address and resolve these issues in order to guarantee that the elderly receive sufficient support. Increased funding, improved and quality service, and a focus on holistic and person centred care are essential to meet the needs of the ageing population. </w:t>
      </w:r>
    </w:p>
    <w:p w:rsidR="00000000" w:rsidDel="00000000" w:rsidP="00000000" w:rsidRDefault="00000000" w:rsidRPr="00000000" w14:paraId="0000001D">
      <w:pPr>
        <w:spacing w:after="240" w:before="240" w:lineRule="auto"/>
        <w:rPr/>
      </w:pPr>
      <w:r w:rsidDel="00000000" w:rsidR="00000000" w:rsidRPr="00000000">
        <w:rPr>
          <w:rtl w:val="0"/>
        </w:rPr>
        <w:t xml:space="preserve">The government is investing £562 million in 2023-2024 and £845 million in 2024-2025 through the Market Sustainability and Improvement Fund to enhance access to adult social care and increase local authorities' capacity. Additionally, efforts to recognize and develop skills in the care workforce include introducing a new care workforce pathway, a Care Certificate qualification, a skills passport, and funded training schemes. Digital transformation initiatives aim to improve care quality and safety by testing and scaling new technologies and increasing the uptake of digital social care records by 2025, enabling secure, real-time information sharing among authorised NHS and social care professionals (CPA, 2024).</w:t>
      </w:r>
    </w:p>
    <w:p w:rsidR="00000000" w:rsidDel="00000000" w:rsidP="00000000" w:rsidRDefault="00000000" w:rsidRPr="00000000" w14:paraId="0000001E">
      <w:pPr>
        <w:spacing w:after="240" w:before="240" w:lineRule="auto"/>
        <w:rPr/>
      </w:pPr>
      <w:r w:rsidDel="00000000" w:rsidR="00000000" w:rsidRPr="00000000">
        <w:rPr>
          <w:rtl w:val="0"/>
        </w:rPr>
        <w:t xml:space="preserve">As Sadie prefers living in her own house, assisted living-in care can be recommended prioritising her needs and preferences which is highly personalised. </w:t>
      </w:r>
      <w:r w:rsidDel="00000000" w:rsidR="00000000" w:rsidRPr="00000000">
        <w:rPr>
          <w:rtl w:val="0"/>
        </w:rPr>
        <w:t xml:space="preserve">This model supports a person-centred approach, fostering strong carer and patient relationships (Age UK, 2023). Assisted living-in care combines the benefits of both domiciliary and residential care, providing high continuity and personalization of care while allowing individuals to remain in their own homes. This model supports person-centred care effectively and offers a viable alternative for those who require more intensive support than traditional domiciliary care can provide but prefer not to move into a residential facility. </w:t>
      </w:r>
    </w:p>
    <w:p w:rsidR="00000000" w:rsidDel="00000000" w:rsidP="00000000" w:rsidRDefault="00000000" w:rsidRPr="00000000" w14:paraId="0000001F">
      <w:pPr>
        <w:keepNext w:val="1"/>
        <w:spacing w:after="240" w:before="240" w:line="240" w:lineRule="auto"/>
        <w:rPr/>
      </w:pPr>
      <w:r w:rsidDel="00000000" w:rsidR="00000000" w:rsidRPr="00000000">
        <w:rPr>
          <w:rtl w:val="0"/>
        </w:rPr>
        <w:t xml:space="preserve">Based on Sadie’s case study, extra care models can be helpful to support her healthy living. Extra care housing reduces NHS costs by 38%, decreases unplanned hospital stays to 1-2 days, and cuts routine GP visits by 46%. It also lowers depressive symptoms by 14.8% and anxiety by 23%, improves physical health with a 75% increase in exercise and reduced falls, and delays frailty. Cognitive benefits include a 24% increase in autobiographical recall and 17% in memory recall. Additionally, 86.5% of residents report minimal loneliness. These benefits highlight the need for increased funding, supportive policies, and public awareness to make extra care housing a key strategy in elderly care. (Extra Care, 2024)</w:t>
      </w:r>
    </w:p>
    <w:p w:rsidR="00000000" w:rsidDel="00000000" w:rsidP="00000000" w:rsidRDefault="00000000" w:rsidRPr="00000000" w14:paraId="00000020">
      <w:pPr>
        <w:spacing w:after="240" w:before="240" w:lineRule="auto"/>
        <w:rPr>
          <w:b w:val="1"/>
        </w:rPr>
      </w:pPr>
      <w:r w:rsidDel="00000000" w:rsidR="00000000" w:rsidRPr="00000000">
        <w:rPr>
          <w:rtl w:val="0"/>
        </w:rPr>
      </w:r>
    </w:p>
    <w:p w:rsidR="00000000" w:rsidDel="00000000" w:rsidP="00000000" w:rsidRDefault="00000000" w:rsidRPr="00000000" w14:paraId="00000021">
      <w:pPr>
        <w:pStyle w:val="Heading4"/>
        <w:keepNext w:val="0"/>
        <w:keepLines w:val="0"/>
        <w:spacing w:after="40" w:before="240" w:lineRule="auto"/>
        <w:rPr>
          <w:b w:val="1"/>
          <w:color w:val="000000"/>
          <w:sz w:val="22"/>
          <w:szCs w:val="22"/>
        </w:rPr>
      </w:pPr>
      <w:bookmarkStart w:colFirst="0" w:colLast="0" w:name="_6ksx9xf0ffx1" w:id="2"/>
      <w:bookmarkEnd w:id="2"/>
      <w:r w:rsidDel="00000000" w:rsidR="00000000" w:rsidRPr="00000000">
        <w:rPr>
          <w:b w:val="1"/>
          <w:color w:val="000000"/>
          <w:sz w:val="22"/>
          <w:szCs w:val="22"/>
          <w:rtl w:val="0"/>
        </w:rPr>
        <w:t xml:space="preserve">References</w:t>
      </w:r>
    </w:p>
    <w:p w:rsidR="00000000" w:rsidDel="00000000" w:rsidP="00000000" w:rsidRDefault="00000000" w:rsidRPr="00000000" w14:paraId="00000022">
      <w:pPr>
        <w:spacing w:after="240" w:before="240" w:lineRule="auto"/>
        <w:ind w:left="0" w:firstLine="0"/>
        <w:rPr/>
      </w:pPr>
      <w:r w:rsidDel="00000000" w:rsidR="00000000" w:rsidRPr="00000000">
        <w:rPr>
          <w:rtl w:val="0"/>
        </w:rPr>
        <w:t xml:space="preserve">Atchley, R. C. (1989) ‘A Continuity Theory of Normal Aging’, </w:t>
      </w:r>
      <w:r w:rsidDel="00000000" w:rsidR="00000000" w:rsidRPr="00000000">
        <w:rPr>
          <w:i w:val="1"/>
          <w:rtl w:val="0"/>
        </w:rPr>
        <w:t xml:space="preserve">The Gerontologist, </w:t>
      </w:r>
      <w:r w:rsidDel="00000000" w:rsidR="00000000" w:rsidRPr="00000000">
        <w:rPr>
          <w:rtl w:val="0"/>
        </w:rPr>
        <w:t xml:space="preserve">29(2), pp.183-190. Available at</w:t>
      </w:r>
      <w:r w:rsidDel="00000000" w:rsidR="00000000" w:rsidRPr="00000000">
        <w:rPr>
          <w:rtl w:val="0"/>
        </w:rPr>
        <w:t xml:space="preserve">: DOI.</w:t>
      </w:r>
      <w:hyperlink r:id="rId6">
        <w:r w:rsidDel="00000000" w:rsidR="00000000" w:rsidRPr="00000000">
          <w:rPr>
            <w:rtl w:val="0"/>
          </w:rPr>
          <w:t xml:space="preserve">10.1093/geront/29.2.183</w:t>
        </w:r>
      </w:hyperlink>
      <w:r w:rsidDel="00000000" w:rsidR="00000000" w:rsidRPr="00000000">
        <w:rPr>
          <w:rtl w:val="0"/>
        </w:rPr>
        <w:t xml:space="preserve">. (Accessed: 11 July 2024). </w:t>
      </w:r>
    </w:p>
    <w:p w:rsidR="00000000" w:rsidDel="00000000" w:rsidP="00000000" w:rsidRDefault="00000000" w:rsidRPr="00000000" w14:paraId="00000023">
      <w:pPr>
        <w:widowControl w:val="0"/>
        <w:spacing w:line="240" w:lineRule="auto"/>
        <w:ind w:left="0" w:firstLine="0"/>
        <w:rPr/>
      </w:pPr>
      <w:r w:rsidDel="00000000" w:rsidR="00000000" w:rsidRPr="00000000">
        <w:rPr>
          <w:rtl w:val="0"/>
        </w:rPr>
        <w:t xml:space="preserve">AgeUK. (2015) </w:t>
      </w:r>
      <w:r w:rsidDel="00000000" w:rsidR="00000000" w:rsidRPr="00000000">
        <w:rPr>
          <w:i w:val="1"/>
          <w:rtl w:val="0"/>
        </w:rPr>
        <w:t xml:space="preserve">Evidence Review: Loneliness in Later Life. </w:t>
      </w:r>
      <w:r w:rsidDel="00000000" w:rsidR="00000000" w:rsidRPr="00000000">
        <w:rPr>
          <w:rtl w:val="0"/>
        </w:rPr>
        <w:t xml:space="preserve">Available at: </w:t>
      </w:r>
      <w:hyperlink r:id="rId7">
        <w:r w:rsidDel="00000000" w:rsidR="00000000" w:rsidRPr="00000000">
          <w:rPr>
            <w:rtl w:val="0"/>
          </w:rPr>
          <w:t xml:space="preserve">https://www.ageuk.org.uk/globalassets/age-uk/documents/reports-and-publications/reports-and-briefings/health--wellbeing/rb_june15_lonelines_in_later_life_evidence_review.pdf</w:t>
        </w:r>
      </w:hyperlink>
      <w:r w:rsidDel="00000000" w:rsidR="00000000" w:rsidRPr="00000000">
        <w:rPr>
          <w:rtl w:val="0"/>
        </w:rPr>
        <w:t xml:space="preserve">. (Accessed: 10 July 2024).</w:t>
      </w:r>
      <w:r w:rsidDel="00000000" w:rsidR="00000000" w:rsidRPr="00000000">
        <w:rPr>
          <w:rtl w:val="0"/>
        </w:rPr>
      </w:r>
    </w:p>
    <w:p w:rsidR="00000000" w:rsidDel="00000000" w:rsidP="00000000" w:rsidRDefault="00000000" w:rsidRPr="00000000" w14:paraId="00000024">
      <w:pPr>
        <w:spacing w:after="240" w:before="240" w:lineRule="auto"/>
        <w:ind w:left="0" w:firstLine="0"/>
        <w:rPr/>
      </w:pPr>
      <w:r w:rsidDel="00000000" w:rsidR="00000000" w:rsidRPr="00000000">
        <w:rPr>
          <w:rtl w:val="0"/>
        </w:rPr>
        <w:t xml:space="preserve">AgeUK. (2019) </w:t>
      </w:r>
      <w:r w:rsidDel="00000000" w:rsidR="00000000" w:rsidRPr="00000000">
        <w:rPr>
          <w:i w:val="1"/>
          <w:rtl w:val="0"/>
        </w:rPr>
        <w:t xml:space="preserve">Later life in the United Kingdom.</w:t>
      </w:r>
      <w:r w:rsidDel="00000000" w:rsidR="00000000" w:rsidRPr="00000000">
        <w:rPr>
          <w:rtl w:val="0"/>
        </w:rPr>
        <w:t xml:space="preserve"> Available at: </w:t>
      </w:r>
      <w:hyperlink r:id="rId8">
        <w:r w:rsidDel="00000000" w:rsidR="00000000" w:rsidRPr="00000000">
          <w:rPr>
            <w:rtl w:val="0"/>
          </w:rPr>
          <w:t xml:space="preserve">https://www.ageuk.org.uk/globalassets/age-uk/documents/reports-and-publications/later_life_uk_factsheet.pdf</w:t>
        </w:r>
      </w:hyperlink>
      <w:r w:rsidDel="00000000" w:rsidR="00000000" w:rsidRPr="00000000">
        <w:rPr>
          <w:rtl w:val="0"/>
        </w:rPr>
        <w:t xml:space="preserve">.  </w:t>
      </w:r>
      <w:r w:rsidDel="00000000" w:rsidR="00000000" w:rsidRPr="00000000">
        <w:rPr>
          <w:highlight w:val="white"/>
          <w:rtl w:val="0"/>
        </w:rPr>
        <w:t xml:space="preserve">(Accessed: 10 July 2024).</w:t>
      </w:r>
      <w:r w:rsidDel="00000000" w:rsidR="00000000" w:rsidRPr="00000000">
        <w:rPr>
          <w:rtl w:val="0"/>
        </w:rPr>
      </w:r>
    </w:p>
    <w:p w:rsidR="00000000" w:rsidDel="00000000" w:rsidP="00000000" w:rsidRDefault="00000000" w:rsidRPr="00000000" w14:paraId="00000025">
      <w:pPr>
        <w:spacing w:after="240" w:before="240" w:lineRule="auto"/>
        <w:ind w:left="0" w:firstLine="0"/>
        <w:rPr/>
      </w:pPr>
      <w:r w:rsidDel="00000000" w:rsidR="00000000" w:rsidRPr="00000000">
        <w:rPr>
          <w:rtl w:val="0"/>
        </w:rPr>
        <w:t xml:space="preserve">AgeUK. (2022) </w:t>
      </w:r>
      <w:r w:rsidDel="00000000" w:rsidR="00000000" w:rsidRPr="00000000">
        <w:rPr>
          <w:i w:val="1"/>
          <w:rtl w:val="0"/>
        </w:rPr>
        <w:t xml:space="preserve">Poverty in Later Life.</w:t>
      </w:r>
      <w:r w:rsidDel="00000000" w:rsidR="00000000" w:rsidRPr="00000000">
        <w:rPr>
          <w:rtl w:val="0"/>
        </w:rPr>
        <w:t xml:space="preserve"> Available at: </w:t>
      </w:r>
      <w:hyperlink r:id="rId9">
        <w:r w:rsidDel="00000000" w:rsidR="00000000" w:rsidRPr="00000000">
          <w:rPr>
            <w:rtl w:val="0"/>
          </w:rPr>
          <w:t xml:space="preserve">https://www.ageuk.org.uk/globalassets/age-uk/documents/reports-and-publications/reports-and-briefings/money-matters/poverty-in-later-life-briefing-january-2022-.pdf</w:t>
        </w:r>
      </w:hyperlink>
      <w:r w:rsidDel="00000000" w:rsidR="00000000" w:rsidRPr="00000000">
        <w:rPr>
          <w:rtl w:val="0"/>
        </w:rPr>
        <w:t xml:space="preserve">.  </w:t>
      </w:r>
      <w:r w:rsidDel="00000000" w:rsidR="00000000" w:rsidRPr="00000000">
        <w:rPr>
          <w:highlight w:val="white"/>
          <w:rtl w:val="0"/>
        </w:rPr>
        <w:t xml:space="preserve">(Accessed: 11 July 2024).</w:t>
      </w:r>
      <w:r w:rsidDel="00000000" w:rsidR="00000000" w:rsidRPr="00000000">
        <w:rPr>
          <w:rtl w:val="0"/>
        </w:rPr>
      </w:r>
    </w:p>
    <w:p w:rsidR="00000000" w:rsidDel="00000000" w:rsidP="00000000" w:rsidRDefault="00000000" w:rsidRPr="00000000" w14:paraId="00000026">
      <w:pPr>
        <w:spacing w:after="240" w:before="240" w:lineRule="auto"/>
        <w:ind w:left="0" w:firstLine="0"/>
        <w:rPr/>
      </w:pPr>
      <w:r w:rsidDel="00000000" w:rsidR="00000000" w:rsidRPr="00000000">
        <w:rPr>
          <w:rtl w:val="0"/>
        </w:rPr>
        <w:t xml:space="preserve">Bengtson, V. L., &amp; Schaie, K. W. (1999) </w:t>
      </w:r>
      <w:r w:rsidDel="00000000" w:rsidR="00000000" w:rsidRPr="00000000">
        <w:rPr>
          <w:i w:val="1"/>
          <w:rtl w:val="0"/>
        </w:rPr>
        <w:t xml:space="preserve">Handbook of Theories of Aging</w:t>
      </w:r>
      <w:r w:rsidDel="00000000" w:rsidR="00000000" w:rsidRPr="00000000">
        <w:rPr>
          <w:rtl w:val="0"/>
        </w:rPr>
        <w:t xml:space="preserve">. </w:t>
      </w:r>
      <w:r w:rsidDel="00000000" w:rsidR="00000000" w:rsidRPr="00000000">
        <w:rPr>
          <w:highlight w:val="white"/>
          <w:rtl w:val="0"/>
        </w:rPr>
        <w:t xml:space="preserve"> </w:t>
      </w:r>
      <w:r w:rsidDel="00000000" w:rsidR="00000000" w:rsidRPr="00000000">
        <w:rPr>
          <w:highlight w:val="white"/>
          <w:rtl w:val="0"/>
        </w:rPr>
        <w:t xml:space="preserve">Springer Publishing Company.</w:t>
      </w:r>
      <w:r w:rsidDel="00000000" w:rsidR="00000000" w:rsidRPr="00000000">
        <w:rPr>
          <w:rtl w:val="0"/>
        </w:rPr>
      </w:r>
    </w:p>
    <w:p w:rsidR="00000000" w:rsidDel="00000000" w:rsidP="00000000" w:rsidRDefault="00000000" w:rsidRPr="00000000" w14:paraId="00000027">
      <w:pPr>
        <w:spacing w:after="240" w:before="240" w:lineRule="auto"/>
        <w:ind w:left="0" w:firstLine="0"/>
        <w:rPr/>
      </w:pPr>
      <w:r w:rsidDel="00000000" w:rsidR="00000000" w:rsidRPr="00000000">
        <w:rPr>
          <w:rtl w:val="0"/>
        </w:rPr>
        <w:t xml:space="preserve">Butler, R. N. (2005) </w:t>
      </w:r>
      <w:r w:rsidDel="00000000" w:rsidR="00000000" w:rsidRPr="00000000">
        <w:rPr>
          <w:i w:val="1"/>
          <w:rtl w:val="0"/>
        </w:rPr>
        <w:t xml:space="preserve">Ageism: Looking back over my shoulder, </w:t>
      </w:r>
      <w:r w:rsidDel="00000000" w:rsidR="00000000" w:rsidRPr="00000000">
        <w:rPr>
          <w:rtl w:val="0"/>
        </w:rPr>
        <w:t xml:space="preserve">29(3), pp.84-86. </w:t>
      </w:r>
    </w:p>
    <w:p w:rsidR="00000000" w:rsidDel="00000000" w:rsidP="00000000" w:rsidRDefault="00000000" w:rsidRPr="00000000" w14:paraId="00000028">
      <w:pPr>
        <w:spacing w:line="276" w:lineRule="auto"/>
        <w:ind w:left="720" w:firstLine="0"/>
        <w:rPr>
          <w:highlight w:val="white"/>
        </w:rPr>
      </w:pPr>
      <w:r w:rsidDel="00000000" w:rsidR="00000000" w:rsidRPr="00000000">
        <w:rPr>
          <w:rtl w:val="0"/>
        </w:rPr>
      </w:r>
    </w:p>
    <w:p w:rsidR="00000000" w:rsidDel="00000000" w:rsidP="00000000" w:rsidRDefault="00000000" w:rsidRPr="00000000" w14:paraId="00000029">
      <w:pPr>
        <w:spacing w:line="276" w:lineRule="auto"/>
        <w:ind w:left="0" w:firstLine="0"/>
        <w:rPr/>
      </w:pPr>
      <w:r w:rsidDel="00000000" w:rsidR="00000000" w:rsidRPr="00000000">
        <w:rPr>
          <w:highlight w:val="white"/>
          <w:rtl w:val="0"/>
        </w:rPr>
        <w:t xml:space="preserve">Boamah, S. A., Weldrick, R., Havaei, F., Irshad, A., &amp; Hutchinson, A. (2023) ‘Experiences of Healthcare Workers in Long-Term Care during COVID-19: A Scoping Review’, </w:t>
      </w:r>
      <w:r w:rsidDel="00000000" w:rsidR="00000000" w:rsidRPr="00000000">
        <w:rPr>
          <w:i w:val="1"/>
          <w:highlight w:val="white"/>
          <w:rtl w:val="0"/>
        </w:rPr>
        <w:t xml:space="preserve">Journal of applied gerontology : the official journal of the Southern Gerontological Society</w:t>
      </w:r>
      <w:r w:rsidDel="00000000" w:rsidR="00000000" w:rsidRPr="00000000">
        <w:rPr>
          <w:highlight w:val="white"/>
          <w:rtl w:val="0"/>
        </w:rPr>
        <w:t xml:space="preserve">, </w:t>
      </w:r>
      <w:r w:rsidDel="00000000" w:rsidR="00000000" w:rsidRPr="00000000">
        <w:rPr>
          <w:i w:val="1"/>
          <w:highlight w:val="white"/>
          <w:rtl w:val="0"/>
        </w:rPr>
        <w:t xml:space="preserve">42</w:t>
      </w:r>
      <w:r w:rsidDel="00000000" w:rsidR="00000000" w:rsidRPr="00000000">
        <w:rPr>
          <w:highlight w:val="white"/>
          <w:rtl w:val="0"/>
        </w:rPr>
        <w:t xml:space="preserve">(5), pp.1118–1136. Available at:  </w:t>
      </w:r>
      <w:hyperlink r:id="rId10">
        <w:r w:rsidDel="00000000" w:rsidR="00000000" w:rsidRPr="00000000">
          <w:rPr>
            <w:highlight w:val="white"/>
            <w:rtl w:val="0"/>
          </w:rPr>
          <w:t xml:space="preserve">https://doi.org/10.1177/07334648221146252</w:t>
        </w:r>
      </w:hyperlink>
      <w:r w:rsidDel="00000000" w:rsidR="00000000" w:rsidRPr="00000000">
        <w:rPr>
          <w:highlight w:val="white"/>
          <w:rtl w:val="0"/>
        </w:rPr>
        <w:t xml:space="preserve">. (Accessed: 12 July 2024).</w:t>
      </w:r>
      <w:r w:rsidDel="00000000" w:rsidR="00000000" w:rsidRPr="00000000">
        <w:rPr>
          <w:rtl w:val="0"/>
        </w:rPr>
      </w:r>
    </w:p>
    <w:p w:rsidR="00000000" w:rsidDel="00000000" w:rsidP="00000000" w:rsidRDefault="00000000" w:rsidRPr="00000000" w14:paraId="0000002A">
      <w:pPr>
        <w:spacing w:after="240" w:before="240" w:lineRule="auto"/>
        <w:ind w:left="0" w:firstLine="0"/>
        <w:rPr/>
      </w:pPr>
      <w:r w:rsidDel="00000000" w:rsidR="00000000" w:rsidRPr="00000000">
        <w:rPr>
          <w:rtl w:val="0"/>
        </w:rPr>
        <w:t xml:space="preserve">Comas-Herrera, A.,</w:t>
      </w:r>
      <w:r w:rsidDel="00000000" w:rsidR="00000000" w:rsidRPr="00000000">
        <w:rPr>
          <w:i w:val="1"/>
          <w:rtl w:val="0"/>
        </w:rPr>
        <w:t xml:space="preserve"> et al. </w:t>
      </w:r>
      <w:r w:rsidDel="00000000" w:rsidR="00000000" w:rsidRPr="00000000">
        <w:rPr>
          <w:rtl w:val="0"/>
        </w:rPr>
        <w:t xml:space="preserve">(2021) </w:t>
      </w:r>
      <w:r w:rsidDel="00000000" w:rsidR="00000000" w:rsidRPr="00000000">
        <w:rPr>
          <w:i w:val="1"/>
          <w:rtl w:val="0"/>
        </w:rPr>
        <w:t xml:space="preserve">Mortality associated with COVID-19 outbreaks in care homes</w:t>
      </w:r>
      <w:r w:rsidDel="00000000" w:rsidR="00000000" w:rsidRPr="00000000">
        <w:rPr>
          <w:rtl w:val="0"/>
        </w:rPr>
        <w:t xml:space="preserve">. Available at: </w:t>
      </w:r>
      <w:hyperlink r:id="rId11">
        <w:r w:rsidDel="00000000" w:rsidR="00000000" w:rsidRPr="00000000">
          <w:rPr>
            <w:rtl w:val="0"/>
          </w:rPr>
          <w:t xml:space="preserve">https://ltccovid.org/wp-content/uploads/2021/02/LTC_COVID_19_international_report_January-1-February-1-2.pdf</w:t>
        </w:r>
      </w:hyperlink>
      <w:r w:rsidDel="00000000" w:rsidR="00000000" w:rsidRPr="00000000">
        <w:rPr>
          <w:rtl w:val="0"/>
        </w:rPr>
        <w:t xml:space="preserve">.  </w:t>
      </w:r>
      <w:r w:rsidDel="00000000" w:rsidR="00000000" w:rsidRPr="00000000">
        <w:rPr>
          <w:highlight w:val="white"/>
          <w:rtl w:val="0"/>
        </w:rPr>
        <w:t xml:space="preserve">(Accessed: 12 July 2024).</w:t>
      </w:r>
      <w:r w:rsidDel="00000000" w:rsidR="00000000" w:rsidRPr="00000000">
        <w:rPr>
          <w:rtl w:val="0"/>
        </w:rPr>
      </w:r>
    </w:p>
    <w:p w:rsidR="00000000" w:rsidDel="00000000" w:rsidP="00000000" w:rsidRDefault="00000000" w:rsidRPr="00000000" w14:paraId="0000002B">
      <w:pPr>
        <w:spacing w:after="240" w:before="240" w:lineRule="auto"/>
        <w:ind w:left="0" w:firstLine="0"/>
        <w:rPr/>
      </w:pPr>
      <w:r w:rsidDel="00000000" w:rsidR="00000000" w:rsidRPr="00000000">
        <w:rPr>
          <w:highlight w:val="white"/>
          <w:rtl w:val="0"/>
        </w:rPr>
        <w:t xml:space="preserve">Cooper, C., Selwood, A., Livingston, G. (2008) ‘The prevalence of elder abuse and neglect: a systematic review’, </w:t>
      </w:r>
      <w:r w:rsidDel="00000000" w:rsidR="00000000" w:rsidRPr="00000000">
        <w:rPr>
          <w:i w:val="1"/>
          <w:highlight w:val="white"/>
          <w:rtl w:val="0"/>
        </w:rPr>
        <w:t xml:space="preserve">Age Ageing</w:t>
      </w:r>
      <w:r w:rsidDel="00000000" w:rsidR="00000000" w:rsidRPr="00000000">
        <w:rPr>
          <w:highlight w:val="white"/>
          <w:rtl w:val="0"/>
        </w:rPr>
        <w:t xml:space="preserve">. 37(2), pp.151-60. Available at: doi: 10.1093/ageing/afm194. </w:t>
      </w:r>
      <w:r w:rsidDel="00000000" w:rsidR="00000000" w:rsidRPr="00000000">
        <w:rPr>
          <w:rtl w:val="0"/>
        </w:rPr>
        <w:t xml:space="preserve"> </w:t>
      </w:r>
      <w:r w:rsidDel="00000000" w:rsidR="00000000" w:rsidRPr="00000000">
        <w:rPr>
          <w:highlight w:val="white"/>
          <w:rtl w:val="0"/>
        </w:rPr>
        <w:t xml:space="preserve">(Accessed: 12 July 2024).</w:t>
      </w:r>
      <w:r w:rsidDel="00000000" w:rsidR="00000000" w:rsidRPr="00000000">
        <w:rPr>
          <w:rtl w:val="0"/>
        </w:rPr>
        <w:t xml:space="preserve">Cumming, E., &amp; Henry, W. E. (1961)</w:t>
      </w:r>
      <w:r w:rsidDel="00000000" w:rsidR="00000000" w:rsidRPr="00000000">
        <w:rPr>
          <w:i w:val="1"/>
          <w:rtl w:val="0"/>
        </w:rPr>
        <w:t xml:space="preserve"> Growing Old, the Process of Disengagement.</w:t>
      </w:r>
      <w:r w:rsidDel="00000000" w:rsidR="00000000" w:rsidRPr="00000000">
        <w:rPr>
          <w:rtl w:val="0"/>
        </w:rPr>
        <w:t xml:space="preserve"> Basic Books: New York.</w:t>
      </w:r>
    </w:p>
    <w:p w:rsidR="00000000" w:rsidDel="00000000" w:rsidP="00000000" w:rsidRDefault="00000000" w:rsidRPr="00000000" w14:paraId="0000002C">
      <w:pPr>
        <w:widowControl w:val="0"/>
        <w:spacing w:before="160" w:line="240" w:lineRule="auto"/>
        <w:ind w:left="0" w:firstLine="0"/>
        <w:rPr/>
      </w:pPr>
      <w:r w:rsidDel="00000000" w:rsidR="00000000" w:rsidRPr="00000000">
        <w:rPr>
          <w:rtl w:val="0"/>
        </w:rPr>
        <w:t xml:space="preserve">Centre for Ageing Better. (2019) </w:t>
      </w:r>
      <w:r w:rsidDel="00000000" w:rsidR="00000000" w:rsidRPr="00000000">
        <w:rPr>
          <w:i w:val="1"/>
          <w:rtl w:val="0"/>
        </w:rPr>
        <w:t xml:space="preserve">Our Vision and Mission. </w:t>
      </w:r>
      <w:r w:rsidDel="00000000" w:rsidR="00000000" w:rsidRPr="00000000">
        <w:rPr>
          <w:rtl w:val="0"/>
        </w:rPr>
        <w:t xml:space="preserve">Available at: </w:t>
      </w:r>
      <w:hyperlink r:id="rId12">
        <w:r w:rsidDel="00000000" w:rsidR="00000000" w:rsidRPr="00000000">
          <w:rPr>
            <w:rtl w:val="0"/>
          </w:rPr>
          <w:t xml:space="preserve">https://www.ageing-better.org.uk/about-us/our-vision-mission</w:t>
        </w:r>
      </w:hyperlink>
      <w:r w:rsidDel="00000000" w:rsidR="00000000" w:rsidRPr="00000000">
        <w:rPr>
          <w:rtl w:val="0"/>
        </w:rPr>
        <w:t xml:space="preserve"> (Accessed: 7 July 2024).</w:t>
      </w:r>
      <w:r w:rsidDel="00000000" w:rsidR="00000000" w:rsidRPr="00000000">
        <w:rPr>
          <w:rtl w:val="0"/>
        </w:rPr>
      </w:r>
    </w:p>
    <w:p w:rsidR="00000000" w:rsidDel="00000000" w:rsidP="00000000" w:rsidRDefault="00000000" w:rsidRPr="00000000" w14:paraId="0000002D">
      <w:pPr>
        <w:widowControl w:val="0"/>
        <w:spacing w:before="160" w:line="240" w:lineRule="auto"/>
        <w:ind w:left="0" w:firstLine="0"/>
        <w:rPr/>
      </w:pPr>
      <w:r w:rsidDel="00000000" w:rsidR="00000000" w:rsidRPr="00000000">
        <w:rPr>
          <w:rtl w:val="0"/>
        </w:rPr>
        <w:t xml:space="preserve">Centre for Ageing Better. (2018) </w:t>
      </w:r>
      <w:r w:rsidDel="00000000" w:rsidR="00000000" w:rsidRPr="00000000">
        <w:rPr>
          <w:i w:val="1"/>
          <w:rtl w:val="0"/>
        </w:rPr>
        <w:t xml:space="preserve">Transforming Later Lives. </w:t>
      </w:r>
      <w:r w:rsidDel="00000000" w:rsidR="00000000" w:rsidRPr="00000000">
        <w:rPr>
          <w:rtl w:val="0"/>
        </w:rPr>
        <w:t xml:space="preserve">Available at: </w:t>
      </w:r>
      <w:hyperlink r:id="rId13">
        <w:r w:rsidDel="00000000" w:rsidR="00000000" w:rsidRPr="00000000">
          <w:rPr>
            <w:rtl w:val="0"/>
          </w:rPr>
          <w:t xml:space="preserve">https://www.ageing-better.org.uk/sites/default/files/2018-07/Ageing-Better-Transforming-Later-Lives.pdf</w:t>
        </w:r>
      </w:hyperlink>
      <w:r w:rsidDel="00000000" w:rsidR="00000000" w:rsidRPr="00000000">
        <w:rPr>
          <w:rtl w:val="0"/>
        </w:rPr>
        <w:t xml:space="preserve">.  (Accessed: 7 July 2024). </w:t>
      </w:r>
    </w:p>
    <w:p w:rsidR="00000000" w:rsidDel="00000000" w:rsidP="00000000" w:rsidRDefault="00000000" w:rsidRPr="00000000" w14:paraId="0000002E">
      <w:pPr>
        <w:widowControl w:val="0"/>
        <w:spacing w:before="160" w:line="240" w:lineRule="auto"/>
        <w:ind w:left="0" w:firstLine="0"/>
        <w:rPr/>
      </w:pPr>
      <w:r w:rsidDel="00000000" w:rsidR="00000000" w:rsidRPr="00000000">
        <w:rPr>
          <w:rtl w:val="0"/>
        </w:rPr>
        <w:t xml:space="preserve">CPA. (2024) </w:t>
      </w:r>
      <w:r w:rsidDel="00000000" w:rsidR="00000000" w:rsidRPr="00000000">
        <w:rPr>
          <w:i w:val="1"/>
          <w:rtl w:val="0"/>
        </w:rPr>
        <w:t xml:space="preserve">Policies on ageing</w:t>
      </w:r>
      <w:r w:rsidDel="00000000" w:rsidR="00000000" w:rsidRPr="00000000">
        <w:rPr>
          <w:rtl w:val="0"/>
        </w:rPr>
        <w:t xml:space="preserve">. Available at: </w:t>
      </w:r>
      <w:hyperlink r:id="rId14">
        <w:r w:rsidDel="00000000" w:rsidR="00000000" w:rsidRPr="00000000">
          <w:rPr>
            <w:rtl w:val="0"/>
          </w:rPr>
          <w:t xml:space="preserve">http://www.cpa.org.uk/cpa/policies_on_ageing.html</w:t>
        </w:r>
      </w:hyperlink>
      <w:r w:rsidDel="00000000" w:rsidR="00000000" w:rsidRPr="00000000">
        <w:rPr>
          <w:rtl w:val="0"/>
        </w:rPr>
        <w:t xml:space="preserve">. </w:t>
      </w:r>
      <w:r w:rsidDel="00000000" w:rsidR="00000000" w:rsidRPr="00000000">
        <w:rPr>
          <w:highlight w:val="white"/>
          <w:rtl w:val="0"/>
        </w:rPr>
        <w:t xml:space="preserve">(Accessed: 12 July 2024).</w:t>
      </w:r>
      <w:r w:rsidDel="00000000" w:rsidR="00000000" w:rsidRPr="00000000">
        <w:rPr>
          <w:rtl w:val="0"/>
        </w:rPr>
        <w:t xml:space="preserve"> </w:t>
      </w:r>
    </w:p>
    <w:p w:rsidR="00000000" w:rsidDel="00000000" w:rsidP="00000000" w:rsidRDefault="00000000" w:rsidRPr="00000000" w14:paraId="0000002F">
      <w:pPr>
        <w:spacing w:line="276" w:lineRule="auto"/>
        <w:ind w:left="0" w:firstLine="0"/>
        <w:rPr>
          <w:highlight w:val="white"/>
        </w:rPr>
      </w:pPr>
      <w:r w:rsidDel="00000000" w:rsidR="00000000" w:rsidRPr="00000000">
        <w:rPr>
          <w:rtl w:val="0"/>
        </w:rPr>
      </w:r>
    </w:p>
    <w:p w:rsidR="00000000" w:rsidDel="00000000" w:rsidP="00000000" w:rsidRDefault="00000000" w:rsidRPr="00000000" w14:paraId="00000030">
      <w:pPr>
        <w:spacing w:line="276" w:lineRule="auto"/>
        <w:ind w:left="0" w:firstLine="0"/>
        <w:rPr>
          <w:highlight w:val="white"/>
        </w:rPr>
      </w:pPr>
      <w:r w:rsidDel="00000000" w:rsidR="00000000" w:rsidRPr="00000000">
        <w:rPr>
          <w:highlight w:val="white"/>
          <w:rtl w:val="0"/>
        </w:rPr>
        <w:t xml:space="preserve">CQC. (2023) </w:t>
      </w:r>
      <w:r w:rsidDel="00000000" w:rsidR="00000000" w:rsidRPr="00000000">
        <w:rPr>
          <w:i w:val="1"/>
          <w:highlight w:val="white"/>
          <w:rtl w:val="0"/>
        </w:rPr>
        <w:t xml:space="preserve">The state of health care and adult social care in England 2022/23.</w:t>
      </w:r>
      <w:r w:rsidDel="00000000" w:rsidR="00000000" w:rsidRPr="00000000">
        <w:rPr>
          <w:highlight w:val="white"/>
          <w:rtl w:val="0"/>
        </w:rPr>
        <w:t xml:space="preserve"> Available at: </w:t>
      </w:r>
      <w:hyperlink r:id="rId15">
        <w:r w:rsidDel="00000000" w:rsidR="00000000" w:rsidRPr="00000000">
          <w:rPr>
            <w:highlight w:val="white"/>
            <w:rtl w:val="0"/>
          </w:rPr>
          <w:t xml:space="preserve">https://www.cqc.org.uk/sites/default/files/2023-10/20231030_stateofcare2223_print.pdf</w:t>
        </w:r>
      </w:hyperlink>
      <w:r w:rsidDel="00000000" w:rsidR="00000000" w:rsidRPr="00000000">
        <w:rPr>
          <w:highlight w:val="white"/>
          <w:rtl w:val="0"/>
        </w:rPr>
        <w:t xml:space="preserve">. </w:t>
      </w:r>
      <w:r w:rsidDel="00000000" w:rsidR="00000000" w:rsidRPr="00000000">
        <w:rPr>
          <w:highlight w:val="white"/>
          <w:rtl w:val="0"/>
        </w:rPr>
        <w:t xml:space="preserve">(Accessed: 12 July 2024).</w:t>
      </w:r>
    </w:p>
    <w:p w:rsidR="00000000" w:rsidDel="00000000" w:rsidP="00000000" w:rsidRDefault="00000000" w:rsidRPr="00000000" w14:paraId="00000031">
      <w:pPr>
        <w:widowControl w:val="0"/>
        <w:spacing w:before="160" w:line="240" w:lineRule="auto"/>
        <w:ind w:left="0" w:firstLine="0"/>
        <w:rPr/>
      </w:pPr>
      <w:r w:rsidDel="00000000" w:rsidR="00000000" w:rsidRPr="00000000">
        <w:rPr>
          <w:rtl w:val="0"/>
        </w:rPr>
        <w:t xml:space="preserve">Edmondson, R. (2015) </w:t>
      </w:r>
      <w:r w:rsidDel="00000000" w:rsidR="00000000" w:rsidRPr="00000000">
        <w:rPr>
          <w:i w:val="1"/>
          <w:rtl w:val="0"/>
        </w:rPr>
        <w:t xml:space="preserve">Ageing, Insight and Wisdom: Meaning and Practice Across the Lifecourse </w:t>
      </w:r>
      <w:r w:rsidDel="00000000" w:rsidR="00000000" w:rsidRPr="00000000">
        <w:rPr>
          <w:rtl w:val="0"/>
        </w:rPr>
        <w:t xml:space="preserve">Bristol: Policy Press.</w:t>
      </w:r>
    </w:p>
    <w:p w:rsidR="00000000" w:rsidDel="00000000" w:rsidP="00000000" w:rsidRDefault="00000000" w:rsidRPr="00000000" w14:paraId="00000032">
      <w:pPr>
        <w:spacing w:after="240" w:before="240" w:lineRule="auto"/>
        <w:ind w:left="0" w:firstLine="0"/>
        <w:rPr/>
      </w:pPr>
      <w:r w:rsidDel="00000000" w:rsidR="00000000" w:rsidRPr="00000000">
        <w:rPr>
          <w:rtl w:val="0"/>
        </w:rPr>
        <w:t xml:space="preserve">Galea, S., Merchant, R. M., &amp; Lurie, N. (2020)</w:t>
      </w:r>
      <w:r w:rsidDel="00000000" w:rsidR="00000000" w:rsidRPr="00000000">
        <w:rPr>
          <w:i w:val="1"/>
          <w:rtl w:val="0"/>
        </w:rPr>
        <w:t xml:space="preserve"> The mental health consequences of COVID-19 and physical distancing.</w:t>
      </w:r>
      <w:r w:rsidDel="00000000" w:rsidR="00000000" w:rsidRPr="00000000">
        <w:rPr>
          <w:rtl w:val="0"/>
        </w:rPr>
        <w:t xml:space="preserve"> Available at: </w:t>
      </w:r>
      <w:r w:rsidDel="00000000" w:rsidR="00000000" w:rsidRPr="00000000">
        <w:rPr>
          <w:rtl w:val="0"/>
        </w:rPr>
        <w:t xml:space="preserve">DOI: </w:t>
      </w:r>
      <w:hyperlink r:id="rId16">
        <w:r w:rsidDel="00000000" w:rsidR="00000000" w:rsidRPr="00000000">
          <w:rPr>
            <w:rtl w:val="0"/>
          </w:rPr>
          <w:t xml:space="preserve">10.1001/jamainternmed.2020.1562</w:t>
        </w:r>
      </w:hyperlink>
      <w:r w:rsidDel="00000000" w:rsidR="00000000" w:rsidRPr="00000000">
        <w:rPr>
          <w:rtl w:val="0"/>
        </w:rPr>
        <w:t xml:space="preserve">.  </w:t>
      </w:r>
      <w:r w:rsidDel="00000000" w:rsidR="00000000" w:rsidRPr="00000000">
        <w:rPr>
          <w:highlight w:val="white"/>
          <w:rtl w:val="0"/>
        </w:rPr>
        <w:t xml:space="preserve">(Accessed: 12 July 2024).</w:t>
      </w:r>
      <w:r w:rsidDel="00000000" w:rsidR="00000000" w:rsidRPr="00000000">
        <w:rPr>
          <w:rtl w:val="0"/>
        </w:rPr>
      </w:r>
    </w:p>
    <w:p w:rsidR="00000000" w:rsidDel="00000000" w:rsidP="00000000" w:rsidRDefault="00000000" w:rsidRPr="00000000" w14:paraId="00000033">
      <w:pPr>
        <w:spacing w:after="240" w:before="240" w:lineRule="auto"/>
        <w:ind w:left="0" w:firstLine="0"/>
        <w:rPr/>
      </w:pPr>
      <w:r w:rsidDel="00000000" w:rsidR="00000000" w:rsidRPr="00000000">
        <w:rPr>
          <w:rtl w:val="0"/>
        </w:rPr>
        <w:t xml:space="preserve">Glasby, J. (2017)</w:t>
      </w:r>
      <w:r w:rsidDel="00000000" w:rsidR="00000000" w:rsidRPr="00000000">
        <w:rPr>
          <w:i w:val="1"/>
          <w:rtl w:val="0"/>
        </w:rPr>
        <w:t xml:space="preserve"> Understanding health and social care.</w:t>
      </w:r>
      <w:r w:rsidDel="00000000" w:rsidR="00000000" w:rsidRPr="00000000">
        <w:rPr>
          <w:rtl w:val="0"/>
        </w:rPr>
        <w:t xml:space="preserve"> 3rd edn. Policy press; University of Bristol.</w:t>
      </w:r>
    </w:p>
    <w:p w:rsidR="00000000" w:rsidDel="00000000" w:rsidP="00000000" w:rsidRDefault="00000000" w:rsidRPr="00000000" w14:paraId="00000034">
      <w:pPr>
        <w:spacing w:after="240" w:before="240" w:lineRule="auto"/>
        <w:ind w:left="0" w:firstLine="0"/>
        <w:rPr/>
      </w:pPr>
      <w:r w:rsidDel="00000000" w:rsidR="00000000" w:rsidRPr="00000000">
        <w:rPr>
          <w:highlight w:val="white"/>
          <w:rtl w:val="0"/>
        </w:rPr>
        <w:t xml:space="preserve">Harper, S. (2015) ‘The challenges of twenty-first-century demography’, </w:t>
      </w:r>
      <w:r w:rsidDel="00000000" w:rsidR="00000000" w:rsidRPr="00000000">
        <w:rPr>
          <w:i w:val="1"/>
          <w:highlight w:val="white"/>
          <w:rtl w:val="0"/>
        </w:rPr>
        <w:t xml:space="preserve">Challenges of aging: Pensions, retirement and generational justice</w:t>
      </w:r>
      <w:r w:rsidDel="00000000" w:rsidR="00000000" w:rsidRPr="00000000">
        <w:rPr>
          <w:highlight w:val="white"/>
          <w:rtl w:val="0"/>
        </w:rPr>
        <w:t xml:space="preserve">. pp. 17-29. London: Palgrave Macmillan UK.</w:t>
      </w:r>
      <w:r w:rsidDel="00000000" w:rsidR="00000000" w:rsidRPr="00000000">
        <w:rPr>
          <w:rtl w:val="0"/>
        </w:rPr>
      </w:r>
    </w:p>
    <w:p w:rsidR="00000000" w:rsidDel="00000000" w:rsidP="00000000" w:rsidRDefault="00000000" w:rsidRPr="00000000" w14:paraId="00000035">
      <w:pPr>
        <w:spacing w:after="240" w:before="240" w:lineRule="auto"/>
        <w:ind w:left="0" w:firstLine="0"/>
        <w:rPr/>
      </w:pPr>
      <w:r w:rsidDel="00000000" w:rsidR="00000000" w:rsidRPr="00000000">
        <w:rPr>
          <w:highlight w:val="white"/>
          <w:rtl w:val="0"/>
        </w:rPr>
        <w:t xml:space="preserve">Havighurst, R. J. (1961) ‘Successful Aging’, </w:t>
      </w:r>
      <w:r w:rsidDel="00000000" w:rsidR="00000000" w:rsidRPr="00000000">
        <w:rPr>
          <w:i w:val="1"/>
          <w:highlight w:val="white"/>
          <w:rtl w:val="0"/>
        </w:rPr>
        <w:t xml:space="preserve">The Gerontologist</w:t>
      </w:r>
      <w:r w:rsidDel="00000000" w:rsidR="00000000" w:rsidRPr="00000000">
        <w:rPr>
          <w:highlight w:val="white"/>
          <w:rtl w:val="0"/>
        </w:rPr>
        <w:t xml:space="preserve">, 1(1), pp.8–13. Available at:  </w:t>
      </w:r>
      <w:hyperlink r:id="rId17">
        <w:r w:rsidDel="00000000" w:rsidR="00000000" w:rsidRPr="00000000">
          <w:rPr>
            <w:highlight w:val="white"/>
            <w:rtl w:val="0"/>
          </w:rPr>
          <w:t xml:space="preserve">https://doi.org/10.1093/geront/1.1.8</w:t>
        </w:r>
      </w:hyperlink>
      <w:r w:rsidDel="00000000" w:rsidR="00000000" w:rsidRPr="00000000">
        <w:rPr>
          <w:rtl w:val="0"/>
        </w:rPr>
        <w:t xml:space="preserve">. </w:t>
      </w:r>
      <w:r w:rsidDel="00000000" w:rsidR="00000000" w:rsidRPr="00000000">
        <w:rPr>
          <w:rtl w:val="0"/>
        </w:rPr>
        <w:t xml:space="preserve"> </w:t>
      </w:r>
      <w:r w:rsidDel="00000000" w:rsidR="00000000" w:rsidRPr="00000000">
        <w:rPr>
          <w:highlight w:val="white"/>
          <w:rtl w:val="0"/>
        </w:rPr>
        <w:t xml:space="preserve">(Accessed: 12 July 2024).</w:t>
      </w:r>
      <w:r w:rsidDel="00000000" w:rsidR="00000000" w:rsidRPr="00000000">
        <w:rPr>
          <w:rtl w:val="0"/>
        </w:rPr>
      </w:r>
    </w:p>
    <w:p w:rsidR="00000000" w:rsidDel="00000000" w:rsidP="00000000" w:rsidRDefault="00000000" w:rsidRPr="00000000" w14:paraId="00000036">
      <w:pPr>
        <w:spacing w:after="240" w:before="240" w:lineRule="auto"/>
        <w:ind w:left="0" w:firstLine="0"/>
        <w:rPr/>
      </w:pPr>
      <w:r w:rsidDel="00000000" w:rsidR="00000000" w:rsidRPr="00000000">
        <w:rPr>
          <w:rtl w:val="0"/>
        </w:rPr>
        <w:t xml:space="preserve">King's Fund. (2024). </w:t>
      </w:r>
      <w:r w:rsidDel="00000000" w:rsidR="00000000" w:rsidRPr="00000000">
        <w:rPr>
          <w:i w:val="1"/>
          <w:rtl w:val="0"/>
        </w:rPr>
        <w:t xml:space="preserve">The NHS Long Term Plan explained.</w:t>
      </w:r>
      <w:r w:rsidDel="00000000" w:rsidR="00000000" w:rsidRPr="00000000">
        <w:rPr>
          <w:rtl w:val="0"/>
        </w:rPr>
        <w:t xml:space="preserve"> Available at: </w:t>
      </w:r>
      <w:hyperlink r:id="rId18">
        <w:r w:rsidDel="00000000" w:rsidR="00000000" w:rsidRPr="00000000">
          <w:rPr>
            <w:rtl w:val="0"/>
          </w:rPr>
          <w:t xml:space="preserve">https://www.kingsfund.org.uk/insight-and-analysis/long-reads/nhs-long-term-plan-explained</w:t>
        </w:r>
      </w:hyperlink>
      <w:r w:rsidDel="00000000" w:rsidR="00000000" w:rsidRPr="00000000">
        <w:rPr>
          <w:rtl w:val="0"/>
        </w:rPr>
        <w:t xml:space="preserve">. </w:t>
      </w:r>
      <w:r w:rsidDel="00000000" w:rsidR="00000000" w:rsidRPr="00000000">
        <w:rPr>
          <w:rtl w:val="0"/>
        </w:rPr>
        <w:t xml:space="preserve"> </w:t>
      </w:r>
      <w:r w:rsidDel="00000000" w:rsidR="00000000" w:rsidRPr="00000000">
        <w:rPr>
          <w:highlight w:val="white"/>
          <w:rtl w:val="0"/>
        </w:rPr>
        <w:t xml:space="preserve">(Accessed: 12 July 2024).</w:t>
      </w:r>
      <w:r w:rsidDel="00000000" w:rsidR="00000000" w:rsidRPr="00000000">
        <w:rPr>
          <w:rtl w:val="0"/>
        </w:rPr>
      </w:r>
    </w:p>
    <w:p w:rsidR="00000000" w:rsidDel="00000000" w:rsidP="00000000" w:rsidRDefault="00000000" w:rsidRPr="00000000" w14:paraId="00000037">
      <w:pPr>
        <w:widowControl w:val="0"/>
        <w:spacing w:before="160" w:line="240" w:lineRule="auto"/>
        <w:ind w:left="0" w:firstLine="0"/>
        <w:jc w:val="both"/>
        <w:rPr/>
      </w:pPr>
      <w:r w:rsidDel="00000000" w:rsidR="00000000" w:rsidRPr="00000000">
        <w:rPr>
          <w:rtl w:val="0"/>
        </w:rPr>
        <w:t xml:space="preserve">Larkin, M. (2009</w:t>
      </w:r>
      <w:r w:rsidDel="00000000" w:rsidR="00000000" w:rsidRPr="00000000">
        <w:rPr>
          <w:i w:val="1"/>
          <w:rtl w:val="0"/>
        </w:rPr>
        <w:t xml:space="preserve">) Vulnerable Groups in Health and Social Care</w:t>
      </w:r>
      <w:r w:rsidDel="00000000" w:rsidR="00000000" w:rsidRPr="00000000">
        <w:rPr>
          <w:rtl w:val="0"/>
        </w:rPr>
        <w:t xml:space="preserve">. London: Sage Publications Ltd.</w:t>
      </w:r>
    </w:p>
    <w:p w:rsidR="00000000" w:rsidDel="00000000" w:rsidP="00000000" w:rsidRDefault="00000000" w:rsidRPr="00000000" w14:paraId="00000038">
      <w:pPr>
        <w:widowControl w:val="0"/>
        <w:spacing w:before="160" w:line="240" w:lineRule="auto"/>
        <w:ind w:left="0" w:firstLine="0"/>
        <w:rPr/>
      </w:pPr>
      <w:r w:rsidDel="00000000" w:rsidR="00000000" w:rsidRPr="00000000">
        <w:rPr>
          <w:rtl w:val="0"/>
        </w:rPr>
        <w:t xml:space="preserve">Lind, D.(ed.)(2002) </w:t>
      </w:r>
      <w:r w:rsidDel="00000000" w:rsidR="00000000" w:rsidRPr="00000000">
        <w:rPr>
          <w:i w:val="1"/>
          <w:rtl w:val="0"/>
        </w:rPr>
        <w:t xml:space="preserve">Sociology of Aging: Disciplinary Approaches to Aging: Developments in Political Science. </w:t>
      </w:r>
      <w:r w:rsidDel="00000000" w:rsidR="00000000" w:rsidRPr="00000000">
        <w:rPr>
          <w:rtl w:val="0"/>
        </w:rPr>
        <w:t xml:space="preserve">London: Routledge.</w:t>
      </w:r>
    </w:p>
    <w:p w:rsidR="00000000" w:rsidDel="00000000" w:rsidP="00000000" w:rsidRDefault="00000000" w:rsidRPr="00000000" w14:paraId="00000039">
      <w:pPr>
        <w:widowControl w:val="0"/>
        <w:spacing w:before="160" w:line="240" w:lineRule="auto"/>
        <w:ind w:left="0" w:firstLine="0"/>
        <w:rPr/>
      </w:pPr>
      <w:r w:rsidDel="00000000" w:rsidR="00000000" w:rsidRPr="00000000">
        <w:rPr>
          <w:rtl w:val="0"/>
        </w:rPr>
        <w:t xml:space="preserve">LaingBuisson. (2022) </w:t>
      </w:r>
      <w:r w:rsidDel="00000000" w:rsidR="00000000" w:rsidRPr="00000000">
        <w:rPr>
          <w:i w:val="1"/>
          <w:rtl w:val="0"/>
        </w:rPr>
        <w:t xml:space="preserve">Care of Older People UK Market Report.</w:t>
      </w:r>
      <w:r w:rsidDel="00000000" w:rsidR="00000000" w:rsidRPr="00000000">
        <w:rPr>
          <w:rtl w:val="0"/>
        </w:rPr>
        <w:t xml:space="preserve"> Available st: </w:t>
      </w:r>
      <w:hyperlink r:id="rId19">
        <w:r w:rsidDel="00000000" w:rsidR="00000000" w:rsidRPr="00000000">
          <w:rPr>
            <w:rtl w:val="0"/>
          </w:rPr>
          <w:t xml:space="preserve">https://www.laingbuisson.com</w:t>
        </w:r>
      </w:hyperlink>
      <w:r w:rsidDel="00000000" w:rsidR="00000000" w:rsidRPr="00000000">
        <w:rPr>
          <w:rtl w:val="0"/>
        </w:rPr>
        <w:t xml:space="preserve">. </w:t>
      </w:r>
      <w:r w:rsidDel="00000000" w:rsidR="00000000" w:rsidRPr="00000000">
        <w:rPr>
          <w:highlight w:val="white"/>
          <w:rtl w:val="0"/>
        </w:rPr>
        <w:t xml:space="preserve">(Accessed: 12 July 2024).</w:t>
      </w:r>
      <w:r w:rsidDel="00000000" w:rsidR="00000000" w:rsidRPr="00000000">
        <w:rPr>
          <w:rtl w:val="0"/>
        </w:rPr>
      </w:r>
    </w:p>
    <w:p w:rsidR="00000000" w:rsidDel="00000000" w:rsidP="00000000" w:rsidRDefault="00000000" w:rsidRPr="00000000" w14:paraId="0000003A">
      <w:pPr>
        <w:widowControl w:val="0"/>
        <w:spacing w:before="160" w:line="240" w:lineRule="auto"/>
        <w:ind w:left="0" w:firstLine="0"/>
        <w:rPr/>
      </w:pPr>
      <w:r w:rsidDel="00000000" w:rsidR="00000000" w:rsidRPr="00000000">
        <w:rPr>
          <w:rtl w:val="0"/>
        </w:rPr>
        <w:t xml:space="preserve">Moody, H.R. (2006)  </w:t>
      </w:r>
      <w:r w:rsidDel="00000000" w:rsidR="00000000" w:rsidRPr="00000000">
        <w:rPr>
          <w:i w:val="1"/>
          <w:rtl w:val="0"/>
        </w:rPr>
        <w:t xml:space="preserve">Aging: Concepts and Controversies. </w:t>
      </w:r>
      <w:r w:rsidDel="00000000" w:rsidR="00000000" w:rsidRPr="00000000">
        <w:rPr>
          <w:rtl w:val="0"/>
        </w:rPr>
        <w:t xml:space="preserve">London: Sage Publications.</w:t>
      </w:r>
    </w:p>
    <w:p w:rsidR="00000000" w:rsidDel="00000000" w:rsidP="00000000" w:rsidRDefault="00000000" w:rsidRPr="00000000" w14:paraId="0000003B">
      <w:pPr>
        <w:spacing w:after="240" w:before="240" w:lineRule="auto"/>
        <w:ind w:left="0" w:firstLine="0"/>
        <w:rPr/>
      </w:pPr>
      <w:r w:rsidDel="00000000" w:rsidR="00000000" w:rsidRPr="00000000">
        <w:rPr>
          <w:highlight w:val="white"/>
          <w:rtl w:val="0"/>
        </w:rPr>
        <w:t xml:space="preserve">Maslow, A. H. (1943) ‘A theory of human motivation’, </w:t>
      </w:r>
      <w:r w:rsidDel="00000000" w:rsidR="00000000" w:rsidRPr="00000000">
        <w:rPr>
          <w:i w:val="1"/>
          <w:highlight w:val="white"/>
          <w:rtl w:val="0"/>
        </w:rPr>
        <w:t xml:space="preserve">Psychological Review, 50</w:t>
      </w:r>
      <w:r w:rsidDel="00000000" w:rsidR="00000000" w:rsidRPr="00000000">
        <w:rPr>
          <w:highlight w:val="white"/>
          <w:rtl w:val="0"/>
        </w:rPr>
        <w:t xml:space="preserve">(4), pp.370–396. Available at: </w:t>
      </w:r>
      <w:hyperlink r:id="rId20">
        <w:r w:rsidDel="00000000" w:rsidR="00000000" w:rsidRPr="00000000">
          <w:rPr>
            <w:highlight w:val="white"/>
            <w:rtl w:val="0"/>
          </w:rPr>
          <w:t xml:space="preserve">https://doi.org/10.1037/h0054346</w:t>
        </w:r>
      </w:hyperlink>
      <w:r w:rsidDel="00000000" w:rsidR="00000000" w:rsidRPr="00000000">
        <w:rPr>
          <w:rtl w:val="0"/>
        </w:rPr>
        <w:t xml:space="preserve">  (Accessed: 11 July 2024).</w:t>
      </w:r>
    </w:p>
    <w:p w:rsidR="00000000" w:rsidDel="00000000" w:rsidP="00000000" w:rsidRDefault="00000000" w:rsidRPr="00000000" w14:paraId="0000003C">
      <w:pPr>
        <w:widowControl w:val="0"/>
        <w:spacing w:before="160" w:line="240" w:lineRule="auto"/>
        <w:ind w:left="0" w:firstLine="0"/>
        <w:rPr/>
      </w:pPr>
      <w:r w:rsidDel="00000000" w:rsidR="00000000" w:rsidRPr="00000000">
        <w:rPr>
          <w:rtl w:val="0"/>
        </w:rPr>
        <w:t xml:space="preserve">Maulk, K. (2010) </w:t>
      </w:r>
      <w:r w:rsidDel="00000000" w:rsidR="00000000" w:rsidRPr="00000000">
        <w:rPr>
          <w:i w:val="1"/>
          <w:rtl w:val="0"/>
        </w:rPr>
        <w:t xml:space="preserve">Gerontological Nursing: Competencies for Care. </w:t>
      </w:r>
      <w:r w:rsidDel="00000000" w:rsidR="00000000" w:rsidRPr="00000000">
        <w:rPr>
          <w:rtl w:val="0"/>
        </w:rPr>
        <w:t xml:space="preserve">2</w:t>
      </w:r>
      <w:r w:rsidDel="00000000" w:rsidR="00000000" w:rsidRPr="00000000">
        <w:rPr>
          <w:vertAlign w:val="superscript"/>
          <w:rtl w:val="0"/>
        </w:rPr>
        <w:t xml:space="preserve">nd</w:t>
      </w:r>
      <w:r w:rsidDel="00000000" w:rsidR="00000000" w:rsidRPr="00000000">
        <w:rPr>
          <w:rtl w:val="0"/>
        </w:rPr>
        <w:t xml:space="preserve"> edn. London: Jones and Bartlett Publishers International.</w:t>
      </w:r>
    </w:p>
    <w:p w:rsidR="00000000" w:rsidDel="00000000" w:rsidP="00000000" w:rsidRDefault="00000000" w:rsidRPr="00000000" w14:paraId="0000003D">
      <w:pPr>
        <w:spacing w:after="240" w:before="240" w:lineRule="auto"/>
        <w:ind w:left="0" w:firstLine="0"/>
        <w:rPr>
          <w:highlight w:val="white"/>
        </w:rPr>
      </w:pPr>
      <w:r w:rsidDel="00000000" w:rsidR="00000000" w:rsidRPr="00000000">
        <w:rPr>
          <w:rtl w:val="0"/>
        </w:rPr>
        <w:t xml:space="preserve">NHS England. (2019) </w:t>
      </w:r>
      <w:r w:rsidDel="00000000" w:rsidR="00000000" w:rsidRPr="00000000">
        <w:rPr>
          <w:i w:val="1"/>
          <w:rtl w:val="0"/>
        </w:rPr>
        <w:t xml:space="preserve">The NHS Long Term Plan.</w:t>
      </w:r>
      <w:r w:rsidDel="00000000" w:rsidR="00000000" w:rsidRPr="00000000">
        <w:rPr>
          <w:rtl w:val="0"/>
        </w:rPr>
        <w:t xml:space="preserve"> Available at: </w:t>
      </w:r>
      <w:hyperlink r:id="rId21">
        <w:r w:rsidDel="00000000" w:rsidR="00000000" w:rsidRPr="00000000">
          <w:rPr>
            <w:rtl w:val="0"/>
          </w:rPr>
          <w:t xml:space="preserve">https://www.longtermplan.nhs.uk/</w:t>
        </w:r>
      </w:hyperlink>
      <w:r w:rsidDel="00000000" w:rsidR="00000000" w:rsidRPr="00000000">
        <w:rPr>
          <w:rtl w:val="0"/>
        </w:rPr>
        <w:t xml:space="preserve">. </w:t>
      </w:r>
      <w:r w:rsidDel="00000000" w:rsidR="00000000" w:rsidRPr="00000000">
        <w:rPr>
          <w:highlight w:val="white"/>
          <w:rtl w:val="0"/>
        </w:rPr>
        <w:t xml:space="preserve">(Accessed: 10 July 2024).</w:t>
      </w:r>
    </w:p>
    <w:p w:rsidR="00000000" w:rsidDel="00000000" w:rsidP="00000000" w:rsidRDefault="00000000" w:rsidRPr="00000000" w14:paraId="0000003E">
      <w:pPr>
        <w:spacing w:line="276" w:lineRule="auto"/>
        <w:ind w:left="0" w:firstLine="0"/>
        <w:rPr>
          <w:highlight w:val="white"/>
        </w:rPr>
      </w:pPr>
      <w:r w:rsidDel="00000000" w:rsidR="00000000" w:rsidRPr="00000000">
        <w:rPr>
          <w:highlight w:val="white"/>
          <w:rtl w:val="0"/>
        </w:rPr>
        <w:t xml:space="preserve">NHS. (2022) </w:t>
      </w:r>
      <w:r w:rsidDel="00000000" w:rsidR="00000000" w:rsidRPr="00000000">
        <w:rPr>
          <w:i w:val="1"/>
          <w:highlight w:val="white"/>
          <w:rtl w:val="0"/>
        </w:rPr>
        <w:t xml:space="preserve">NHS stop smoking services help you quit. </w:t>
      </w:r>
      <w:r w:rsidDel="00000000" w:rsidR="00000000" w:rsidRPr="00000000">
        <w:rPr>
          <w:highlight w:val="white"/>
          <w:rtl w:val="0"/>
        </w:rPr>
        <w:t xml:space="preserve">Available at: </w:t>
      </w:r>
      <w:hyperlink r:id="rId22">
        <w:r w:rsidDel="00000000" w:rsidR="00000000" w:rsidRPr="00000000">
          <w:rPr>
            <w:highlight w:val="white"/>
            <w:rtl w:val="0"/>
          </w:rPr>
          <w:t xml:space="preserve">https://www.nhs.uk/live-well/quit-smoking/nhs-stop-smoking-services-help-you-quit/</w:t>
        </w:r>
      </w:hyperlink>
      <w:r w:rsidDel="00000000" w:rsidR="00000000" w:rsidRPr="00000000">
        <w:rPr>
          <w:highlight w:val="white"/>
          <w:rtl w:val="0"/>
        </w:rPr>
        <w:t xml:space="preserve">. </w:t>
      </w:r>
      <w:r w:rsidDel="00000000" w:rsidR="00000000" w:rsidRPr="00000000">
        <w:rPr>
          <w:highlight w:val="white"/>
          <w:rtl w:val="0"/>
        </w:rPr>
        <w:t xml:space="preserve">(Accessed: 12 July 2024).</w:t>
      </w:r>
    </w:p>
    <w:p w:rsidR="00000000" w:rsidDel="00000000" w:rsidP="00000000" w:rsidRDefault="00000000" w:rsidRPr="00000000" w14:paraId="0000003F">
      <w:pPr>
        <w:spacing w:line="276" w:lineRule="auto"/>
        <w:ind w:left="0" w:firstLine="0"/>
        <w:rPr>
          <w:highlight w:val="white"/>
        </w:rPr>
      </w:pPr>
      <w:r w:rsidDel="00000000" w:rsidR="00000000" w:rsidRPr="00000000">
        <w:rPr>
          <w:rtl w:val="0"/>
        </w:rPr>
      </w:r>
    </w:p>
    <w:p w:rsidR="00000000" w:rsidDel="00000000" w:rsidP="00000000" w:rsidRDefault="00000000" w:rsidRPr="00000000" w14:paraId="00000040">
      <w:pPr>
        <w:spacing w:line="276" w:lineRule="auto"/>
        <w:ind w:left="0" w:firstLine="0"/>
        <w:rPr>
          <w:highlight w:val="white"/>
        </w:rPr>
      </w:pPr>
      <w:r w:rsidDel="00000000" w:rsidR="00000000" w:rsidRPr="00000000">
        <w:rPr>
          <w:rtl w:val="0"/>
        </w:rPr>
        <w:t xml:space="preserve">National Audit Office (NAO). (2022) </w:t>
      </w:r>
      <w:r w:rsidDel="00000000" w:rsidR="00000000" w:rsidRPr="00000000">
        <w:rPr>
          <w:i w:val="1"/>
          <w:rtl w:val="0"/>
        </w:rPr>
        <w:t xml:space="preserve">The adult social care workforce in England.</w:t>
      </w:r>
      <w:r w:rsidDel="00000000" w:rsidR="00000000" w:rsidRPr="00000000">
        <w:rPr>
          <w:rtl w:val="0"/>
        </w:rPr>
        <w:t xml:space="preserve"> Available at: </w:t>
      </w:r>
      <w:hyperlink r:id="rId23">
        <w:r w:rsidDel="00000000" w:rsidR="00000000" w:rsidRPr="00000000">
          <w:rPr>
            <w:rtl w:val="0"/>
          </w:rPr>
          <w:t xml:space="preserve"> </w:t>
        </w:r>
      </w:hyperlink>
      <w:hyperlink r:id="rId24">
        <w:r w:rsidDel="00000000" w:rsidR="00000000" w:rsidRPr="00000000">
          <w:rPr>
            <w:rtl w:val="0"/>
          </w:rPr>
          <w:t xml:space="preserve">https://www.nao.org.uk/reports/reforming-adult-social-care-in-england/</w:t>
        </w:r>
      </w:hyperlink>
      <w:r w:rsidDel="00000000" w:rsidR="00000000" w:rsidRPr="00000000">
        <w:rPr>
          <w:rtl w:val="0"/>
        </w:rPr>
        <w:t xml:space="preserve">. </w:t>
      </w:r>
      <w:r w:rsidDel="00000000" w:rsidR="00000000" w:rsidRPr="00000000">
        <w:rPr>
          <w:highlight w:val="white"/>
          <w:rtl w:val="0"/>
        </w:rPr>
        <w:t xml:space="preserve">(Accessed: 12 July 2024).</w:t>
      </w:r>
    </w:p>
    <w:p w:rsidR="00000000" w:rsidDel="00000000" w:rsidP="00000000" w:rsidRDefault="00000000" w:rsidRPr="00000000" w14:paraId="00000041">
      <w:pPr>
        <w:spacing w:line="276" w:lineRule="auto"/>
        <w:ind w:left="0" w:firstLine="0"/>
        <w:rPr/>
      </w:pPr>
      <w:r w:rsidDel="00000000" w:rsidR="00000000" w:rsidRPr="00000000">
        <w:rPr>
          <w:rtl w:val="0"/>
        </w:rPr>
        <w:t xml:space="preserve">Office for National Statistics (ONS). (2020) </w:t>
      </w:r>
      <w:r w:rsidDel="00000000" w:rsidR="00000000" w:rsidRPr="00000000">
        <w:rPr>
          <w:i w:val="1"/>
          <w:rtl w:val="0"/>
        </w:rPr>
        <w:t xml:space="preserve">Overview of the UK population</w:t>
      </w:r>
      <w:r w:rsidDel="00000000" w:rsidR="00000000" w:rsidRPr="00000000">
        <w:rPr>
          <w:rtl w:val="0"/>
        </w:rPr>
        <w:t xml:space="preserve">. Available at: </w:t>
      </w:r>
      <w:hyperlink r:id="rId25">
        <w:r w:rsidDel="00000000" w:rsidR="00000000" w:rsidRPr="00000000">
          <w:rPr>
            <w:rtl w:val="0"/>
          </w:rPr>
          <w:t xml:space="preserve">https://www.ons.gov.uk/peoplepopulationandcommunity/populationandmigration/populationestimates/articles/overviewoftheukpopulation/2020</w:t>
        </w:r>
      </w:hyperlink>
      <w:r w:rsidDel="00000000" w:rsidR="00000000" w:rsidRPr="00000000">
        <w:rPr>
          <w:rtl w:val="0"/>
        </w:rPr>
        <w:t xml:space="preserve">. </w:t>
      </w:r>
      <w:r w:rsidDel="00000000" w:rsidR="00000000" w:rsidRPr="00000000">
        <w:rPr>
          <w:rtl w:val="0"/>
        </w:rPr>
        <w:t xml:space="preserve"> </w:t>
      </w:r>
      <w:r w:rsidDel="00000000" w:rsidR="00000000" w:rsidRPr="00000000">
        <w:rPr>
          <w:highlight w:val="white"/>
          <w:rtl w:val="0"/>
        </w:rPr>
        <w:t xml:space="preserve">(Accessed: 12 July 2024).</w:t>
      </w:r>
      <w:r w:rsidDel="00000000" w:rsidR="00000000" w:rsidRPr="00000000">
        <w:rPr>
          <w:rtl w:val="0"/>
        </w:rPr>
      </w:r>
    </w:p>
    <w:p w:rsidR="00000000" w:rsidDel="00000000" w:rsidP="00000000" w:rsidRDefault="00000000" w:rsidRPr="00000000" w14:paraId="00000042">
      <w:pPr>
        <w:spacing w:line="276" w:lineRule="auto"/>
        <w:ind w:left="0" w:firstLine="0"/>
        <w:rPr>
          <w:highlight w:val="white"/>
        </w:rPr>
      </w:pPr>
      <w:r w:rsidDel="00000000" w:rsidR="00000000" w:rsidRPr="00000000">
        <w:rPr>
          <w:rtl w:val="0"/>
        </w:rPr>
      </w:r>
    </w:p>
    <w:p w:rsidR="00000000" w:rsidDel="00000000" w:rsidP="00000000" w:rsidRDefault="00000000" w:rsidRPr="00000000" w14:paraId="00000043">
      <w:pPr>
        <w:spacing w:line="276" w:lineRule="auto"/>
        <w:ind w:left="0" w:firstLine="0"/>
        <w:rPr/>
      </w:pPr>
      <w:r w:rsidDel="00000000" w:rsidR="00000000" w:rsidRPr="00000000">
        <w:rPr>
          <w:rtl w:val="0"/>
        </w:rPr>
        <w:t xml:space="preserve">Prince, M. J., </w:t>
      </w:r>
      <w:r w:rsidDel="00000000" w:rsidR="00000000" w:rsidRPr="00000000">
        <w:rPr>
          <w:i w:val="1"/>
          <w:rtl w:val="0"/>
        </w:rPr>
        <w:t xml:space="preserve">et al. </w:t>
      </w:r>
      <w:r w:rsidDel="00000000" w:rsidR="00000000" w:rsidRPr="00000000">
        <w:rPr>
          <w:rtl w:val="0"/>
        </w:rPr>
        <w:t xml:space="preserve">(2015) </w:t>
      </w:r>
      <w:r w:rsidDel="00000000" w:rsidR="00000000" w:rsidRPr="00000000">
        <w:rPr>
          <w:i w:val="1"/>
          <w:rtl w:val="0"/>
        </w:rPr>
        <w:t xml:space="preserve">The burden of disease in older people</w:t>
      </w:r>
      <w:r w:rsidDel="00000000" w:rsidR="00000000" w:rsidRPr="00000000">
        <w:rPr>
          <w:rtl w:val="0"/>
        </w:rPr>
        <w:t xml:space="preserve">. Available at: </w:t>
      </w:r>
      <w:r w:rsidDel="00000000" w:rsidR="00000000" w:rsidRPr="00000000">
        <w:rPr>
          <w:rtl w:val="0"/>
        </w:rPr>
        <w:t xml:space="preserve">DOI: </w:t>
      </w:r>
      <w:hyperlink r:id="rId26">
        <w:r w:rsidDel="00000000" w:rsidR="00000000" w:rsidRPr="00000000">
          <w:rPr>
            <w:rtl w:val="0"/>
          </w:rPr>
          <w:t xml:space="preserve">10.1016/S0140-6736(14)61347-7</w:t>
        </w:r>
      </w:hyperlink>
      <w:r w:rsidDel="00000000" w:rsidR="00000000" w:rsidRPr="00000000">
        <w:rPr>
          <w:rtl w:val="0"/>
        </w:rPr>
        <w:t xml:space="preserve">. </w:t>
      </w:r>
      <w:r w:rsidDel="00000000" w:rsidR="00000000" w:rsidRPr="00000000">
        <w:rPr>
          <w:highlight w:val="white"/>
          <w:rtl w:val="0"/>
        </w:rPr>
        <w:t xml:space="preserve">(Accessed: 12 July 2024).</w:t>
      </w:r>
      <w:r w:rsidDel="00000000" w:rsidR="00000000" w:rsidRPr="00000000">
        <w:rPr>
          <w:rtl w:val="0"/>
        </w:rPr>
      </w:r>
    </w:p>
    <w:p w:rsidR="00000000" w:rsidDel="00000000" w:rsidP="00000000" w:rsidRDefault="00000000" w:rsidRPr="00000000" w14:paraId="00000044">
      <w:pPr>
        <w:spacing w:line="276" w:lineRule="auto"/>
        <w:ind w:left="0" w:firstLine="0"/>
        <w:rPr/>
      </w:pPr>
      <w:r w:rsidDel="00000000" w:rsidR="00000000" w:rsidRPr="00000000">
        <w:rPr>
          <w:rtl w:val="0"/>
        </w:rPr>
      </w:r>
    </w:p>
    <w:p w:rsidR="00000000" w:rsidDel="00000000" w:rsidP="00000000" w:rsidRDefault="00000000" w:rsidRPr="00000000" w14:paraId="00000045">
      <w:pPr>
        <w:spacing w:line="276" w:lineRule="auto"/>
        <w:ind w:left="0" w:firstLine="0"/>
        <w:rPr>
          <w:highlight w:val="white"/>
        </w:rPr>
      </w:pPr>
      <w:r w:rsidDel="00000000" w:rsidR="00000000" w:rsidRPr="00000000">
        <w:rPr>
          <w:highlight w:val="white"/>
          <w:rtl w:val="0"/>
        </w:rPr>
        <w:t xml:space="preserve">Prince, M., Bryce, R., Albanese, E., Wimo, A., Ribeiro, W., &amp; Ferri, C.P.  (2013) ‘The global prevalence of dementia: a systematic review and metaanalysis’, </w:t>
      </w:r>
      <w:r w:rsidDel="00000000" w:rsidR="00000000" w:rsidRPr="00000000">
        <w:rPr>
          <w:i w:val="1"/>
          <w:highlight w:val="white"/>
          <w:rtl w:val="0"/>
        </w:rPr>
        <w:t xml:space="preserve">Alzheimers Dement, </w:t>
      </w:r>
      <w:r w:rsidDel="00000000" w:rsidR="00000000" w:rsidRPr="00000000">
        <w:rPr>
          <w:highlight w:val="white"/>
          <w:rtl w:val="0"/>
        </w:rPr>
        <w:t xml:space="preserve">9(1), pp.63-75. Available at: doi: </w:t>
      </w:r>
      <w:hyperlink r:id="rId27">
        <w:r w:rsidDel="00000000" w:rsidR="00000000" w:rsidRPr="00000000">
          <w:rPr>
            <w:highlight w:val="white"/>
            <w:rtl w:val="0"/>
          </w:rPr>
          <w:t xml:space="preserve">10.1016/j.jalz.2012.11.007</w:t>
        </w:r>
      </w:hyperlink>
      <w:r w:rsidDel="00000000" w:rsidR="00000000" w:rsidRPr="00000000">
        <w:rPr>
          <w:highlight w:val="white"/>
          <w:rtl w:val="0"/>
        </w:rPr>
        <w:t xml:space="preserve">. (Accessed: 10 July 2024).</w:t>
      </w:r>
    </w:p>
    <w:p w:rsidR="00000000" w:rsidDel="00000000" w:rsidP="00000000" w:rsidRDefault="00000000" w:rsidRPr="00000000" w14:paraId="00000046">
      <w:pPr>
        <w:spacing w:line="276" w:lineRule="auto"/>
        <w:ind w:left="0" w:firstLine="0"/>
        <w:rPr/>
      </w:pPr>
      <w:r w:rsidDel="00000000" w:rsidR="00000000" w:rsidRPr="00000000">
        <w:rPr>
          <w:rtl w:val="0"/>
        </w:rPr>
      </w:r>
    </w:p>
    <w:p w:rsidR="00000000" w:rsidDel="00000000" w:rsidP="00000000" w:rsidRDefault="00000000" w:rsidRPr="00000000" w14:paraId="00000047">
      <w:pPr>
        <w:spacing w:line="276" w:lineRule="auto"/>
        <w:ind w:left="0" w:firstLine="0"/>
        <w:rPr>
          <w:highlight w:val="white"/>
        </w:rPr>
      </w:pPr>
      <w:r w:rsidDel="00000000" w:rsidR="00000000" w:rsidRPr="00000000">
        <w:rPr>
          <w:rtl w:val="0"/>
        </w:rPr>
        <w:t xml:space="preserve">Skills for Care. (2022) </w:t>
      </w:r>
      <w:r w:rsidDel="00000000" w:rsidR="00000000" w:rsidRPr="00000000">
        <w:rPr>
          <w:i w:val="1"/>
          <w:rtl w:val="0"/>
        </w:rPr>
        <w:t xml:space="preserve">The state of the adult social care sector and workforce in England. </w:t>
      </w:r>
      <w:r w:rsidDel="00000000" w:rsidR="00000000" w:rsidRPr="00000000">
        <w:rPr>
          <w:rtl w:val="0"/>
        </w:rPr>
        <w:t xml:space="preserve">Available at: </w:t>
      </w:r>
      <w:hyperlink r:id="rId28">
        <w:r w:rsidDel="00000000" w:rsidR="00000000" w:rsidRPr="00000000">
          <w:rPr>
            <w:rtl w:val="0"/>
          </w:rPr>
          <w:t xml:space="preserve">https://www.skillsforcare.org.uk/Adult-Social-Care-Workforce-Data/Workforce-intelligence/documents/State-of-the-adult-social-care-sector/The-state-of-the-adult-social-care-sector-and-workforce-2022.pdf</w:t>
        </w:r>
      </w:hyperlink>
      <w:r w:rsidDel="00000000" w:rsidR="00000000" w:rsidRPr="00000000">
        <w:rPr>
          <w:rtl w:val="0"/>
        </w:rPr>
        <w:t xml:space="preserve">. </w:t>
      </w:r>
      <w:r w:rsidDel="00000000" w:rsidR="00000000" w:rsidRPr="00000000">
        <w:rPr>
          <w:highlight w:val="white"/>
          <w:rtl w:val="0"/>
        </w:rPr>
        <w:t xml:space="preserve">(Accessed: 12 July 2024).</w:t>
      </w:r>
    </w:p>
    <w:p w:rsidR="00000000" w:rsidDel="00000000" w:rsidP="00000000" w:rsidRDefault="00000000" w:rsidRPr="00000000" w14:paraId="00000048">
      <w:pPr>
        <w:spacing w:line="276" w:lineRule="auto"/>
        <w:ind w:left="0" w:firstLine="0"/>
        <w:rPr>
          <w:highlight w:val="white"/>
        </w:rPr>
      </w:pPr>
      <w:r w:rsidDel="00000000" w:rsidR="00000000" w:rsidRPr="00000000">
        <w:rPr>
          <w:rtl w:val="0"/>
        </w:rPr>
      </w:r>
    </w:p>
    <w:p w:rsidR="00000000" w:rsidDel="00000000" w:rsidP="00000000" w:rsidRDefault="00000000" w:rsidRPr="00000000" w14:paraId="00000049">
      <w:pPr>
        <w:spacing w:line="276" w:lineRule="auto"/>
        <w:ind w:left="0" w:firstLine="0"/>
        <w:rPr>
          <w:highlight w:val="white"/>
        </w:rPr>
      </w:pPr>
      <w:r w:rsidDel="00000000" w:rsidR="00000000" w:rsidRPr="00000000">
        <w:rPr>
          <w:highlight w:val="white"/>
          <w:rtl w:val="0"/>
        </w:rPr>
        <w:t xml:space="preserve">UK Government. (2014) </w:t>
      </w:r>
      <w:r w:rsidDel="00000000" w:rsidR="00000000" w:rsidRPr="00000000">
        <w:rPr>
          <w:i w:val="1"/>
          <w:highlight w:val="white"/>
          <w:rtl w:val="0"/>
        </w:rPr>
        <w:t xml:space="preserve">Care Act 2014</w:t>
      </w:r>
      <w:r w:rsidDel="00000000" w:rsidR="00000000" w:rsidRPr="00000000">
        <w:rPr>
          <w:highlight w:val="white"/>
          <w:rtl w:val="0"/>
        </w:rPr>
        <w:t xml:space="preserve">. Available at: </w:t>
      </w:r>
      <w:hyperlink r:id="rId29">
        <w:r w:rsidDel="00000000" w:rsidR="00000000" w:rsidRPr="00000000">
          <w:rPr>
            <w:highlight w:val="white"/>
            <w:rtl w:val="0"/>
          </w:rPr>
          <w:t xml:space="preserve">https://www.legislation.gov.uk/ukpga/2014/23/section/9</w:t>
        </w:r>
      </w:hyperlink>
      <w:r w:rsidDel="00000000" w:rsidR="00000000" w:rsidRPr="00000000">
        <w:rPr>
          <w:highlight w:val="white"/>
          <w:rtl w:val="0"/>
        </w:rPr>
        <w:t xml:space="preserve">. </w:t>
      </w:r>
      <w:r w:rsidDel="00000000" w:rsidR="00000000" w:rsidRPr="00000000">
        <w:rPr>
          <w:highlight w:val="white"/>
          <w:rtl w:val="0"/>
        </w:rPr>
        <w:t xml:space="preserve">(Accessed: 12 July 2024).</w:t>
      </w:r>
    </w:p>
    <w:p w:rsidR="00000000" w:rsidDel="00000000" w:rsidP="00000000" w:rsidRDefault="00000000" w:rsidRPr="00000000" w14:paraId="0000004A">
      <w:pPr>
        <w:spacing w:line="276" w:lineRule="auto"/>
        <w:ind w:left="0" w:firstLine="0"/>
        <w:rPr>
          <w:highlight w:val="white"/>
        </w:rPr>
      </w:pPr>
      <w:r w:rsidDel="00000000" w:rsidR="00000000" w:rsidRPr="00000000">
        <w:rPr>
          <w:rtl w:val="0"/>
        </w:rPr>
      </w:r>
    </w:p>
    <w:p w:rsidR="00000000" w:rsidDel="00000000" w:rsidP="00000000" w:rsidRDefault="00000000" w:rsidRPr="00000000" w14:paraId="0000004B">
      <w:pPr>
        <w:spacing w:line="276" w:lineRule="auto"/>
        <w:ind w:left="0" w:firstLine="0"/>
        <w:rPr/>
      </w:pPr>
      <w:r w:rsidDel="00000000" w:rsidR="00000000" w:rsidRPr="00000000">
        <w:rPr>
          <w:highlight w:val="white"/>
          <w:rtl w:val="0"/>
        </w:rPr>
        <w:t xml:space="preserve">UK Government. (2008)</w:t>
      </w:r>
      <w:r w:rsidDel="00000000" w:rsidR="00000000" w:rsidRPr="00000000">
        <w:rPr>
          <w:i w:val="1"/>
          <w:highlight w:val="white"/>
          <w:rtl w:val="0"/>
        </w:rPr>
        <w:t xml:space="preserve"> </w:t>
      </w:r>
      <w:r w:rsidDel="00000000" w:rsidR="00000000" w:rsidRPr="00000000">
        <w:rPr>
          <w:i w:val="1"/>
          <w:highlight w:val="white"/>
          <w:rtl w:val="0"/>
        </w:rPr>
        <w:t xml:space="preserve">Health and Social Care Act 2008.</w:t>
      </w:r>
      <w:r w:rsidDel="00000000" w:rsidR="00000000" w:rsidRPr="00000000">
        <w:rPr>
          <w:highlight w:val="white"/>
          <w:rtl w:val="0"/>
        </w:rPr>
        <w:t xml:space="preserve"> </w:t>
      </w:r>
      <w:r w:rsidDel="00000000" w:rsidR="00000000" w:rsidRPr="00000000">
        <w:rPr>
          <w:highlight w:val="white"/>
          <w:rtl w:val="0"/>
        </w:rPr>
        <w:t xml:space="preserve">Available at: </w:t>
      </w:r>
      <w:hyperlink r:id="rId30">
        <w:r w:rsidDel="00000000" w:rsidR="00000000" w:rsidRPr="00000000">
          <w:rPr>
            <w:highlight w:val="white"/>
            <w:rtl w:val="0"/>
          </w:rPr>
          <w:t xml:space="preserve">https://www.legislation.gov.uk/ukpga/2008/14/contents</w:t>
        </w:r>
      </w:hyperlink>
      <w:r w:rsidDel="00000000" w:rsidR="00000000" w:rsidRPr="00000000">
        <w:rPr>
          <w:highlight w:val="white"/>
          <w:rtl w:val="0"/>
        </w:rPr>
        <w:t xml:space="preserve">. </w:t>
      </w:r>
      <w:r w:rsidDel="00000000" w:rsidR="00000000" w:rsidRPr="00000000">
        <w:rPr>
          <w:rtl w:val="0"/>
        </w:rPr>
        <w:t xml:space="preserve"> </w:t>
      </w:r>
      <w:r w:rsidDel="00000000" w:rsidR="00000000" w:rsidRPr="00000000">
        <w:rPr>
          <w:highlight w:val="white"/>
          <w:rtl w:val="0"/>
        </w:rPr>
        <w:t xml:space="preserve">(Accessed: 12 July 2024).</w:t>
      </w:r>
      <w:r w:rsidDel="00000000" w:rsidR="00000000" w:rsidRPr="00000000">
        <w:rPr>
          <w:rtl w:val="0"/>
        </w:rPr>
      </w:r>
    </w:p>
    <w:p w:rsidR="00000000" w:rsidDel="00000000" w:rsidP="00000000" w:rsidRDefault="00000000" w:rsidRPr="00000000" w14:paraId="0000004C">
      <w:pPr>
        <w:spacing w:line="276" w:lineRule="auto"/>
        <w:ind w:left="0" w:firstLine="0"/>
        <w:rPr/>
      </w:pPr>
      <w:r w:rsidDel="00000000" w:rsidR="00000000" w:rsidRPr="00000000">
        <w:rPr>
          <w:rtl w:val="0"/>
        </w:rPr>
      </w:r>
    </w:p>
    <w:p w:rsidR="00000000" w:rsidDel="00000000" w:rsidP="00000000" w:rsidRDefault="00000000" w:rsidRPr="00000000" w14:paraId="0000004D">
      <w:pPr>
        <w:spacing w:line="276" w:lineRule="auto"/>
        <w:ind w:left="0" w:firstLine="0"/>
        <w:rPr/>
      </w:pPr>
      <w:r w:rsidDel="00000000" w:rsidR="00000000" w:rsidRPr="00000000">
        <w:rPr>
          <w:highlight w:val="white"/>
          <w:rtl w:val="0"/>
        </w:rPr>
        <w:t xml:space="preserve">UK Government. (2005) </w:t>
      </w:r>
      <w:r w:rsidDel="00000000" w:rsidR="00000000" w:rsidRPr="00000000">
        <w:rPr>
          <w:i w:val="1"/>
          <w:highlight w:val="white"/>
          <w:rtl w:val="0"/>
        </w:rPr>
        <w:t xml:space="preserve">Mental Capacity Act 2005</w:t>
      </w:r>
      <w:r w:rsidDel="00000000" w:rsidR="00000000" w:rsidRPr="00000000">
        <w:rPr>
          <w:highlight w:val="white"/>
          <w:rtl w:val="0"/>
        </w:rPr>
        <w:t xml:space="preserve"> (amended 2019). Available at: </w:t>
      </w:r>
      <w:hyperlink r:id="rId31">
        <w:r w:rsidDel="00000000" w:rsidR="00000000" w:rsidRPr="00000000">
          <w:rPr>
            <w:highlight w:val="white"/>
            <w:rtl w:val="0"/>
          </w:rPr>
          <w:t xml:space="preserve">https://www.legislation.gov.uk/ukpga/2005/9/contents</w:t>
        </w:r>
      </w:hyperlink>
      <w:r w:rsidDel="00000000" w:rsidR="00000000" w:rsidRPr="00000000">
        <w:rPr>
          <w:highlight w:val="white"/>
          <w:rtl w:val="0"/>
        </w:rPr>
        <w:t xml:space="preserve">.  </w:t>
      </w:r>
      <w:r w:rsidDel="00000000" w:rsidR="00000000" w:rsidRPr="00000000">
        <w:rPr>
          <w:rtl w:val="0"/>
        </w:rPr>
        <w:t xml:space="preserve"> </w:t>
      </w:r>
      <w:r w:rsidDel="00000000" w:rsidR="00000000" w:rsidRPr="00000000">
        <w:rPr>
          <w:highlight w:val="white"/>
          <w:rtl w:val="0"/>
        </w:rPr>
        <w:t xml:space="preserve">(Accessed: 12 July 2024).</w:t>
      </w:r>
      <w:r w:rsidDel="00000000" w:rsidR="00000000" w:rsidRPr="00000000">
        <w:rPr>
          <w:rtl w:val="0"/>
        </w:rPr>
      </w:r>
    </w:p>
    <w:p w:rsidR="00000000" w:rsidDel="00000000" w:rsidP="00000000" w:rsidRDefault="00000000" w:rsidRPr="00000000" w14:paraId="0000004E">
      <w:pPr>
        <w:spacing w:line="276" w:lineRule="auto"/>
        <w:ind w:left="0" w:firstLine="0"/>
        <w:rPr>
          <w:highlight w:val="white"/>
        </w:rPr>
      </w:pPr>
      <w:r w:rsidDel="00000000" w:rsidR="00000000" w:rsidRPr="00000000">
        <w:rPr>
          <w:highlight w:val="white"/>
          <w:rtl w:val="0"/>
        </w:rPr>
        <w:t xml:space="preserve">UK Government. (2010) </w:t>
      </w:r>
      <w:r w:rsidDel="00000000" w:rsidR="00000000" w:rsidRPr="00000000">
        <w:rPr>
          <w:i w:val="1"/>
          <w:highlight w:val="white"/>
          <w:rtl w:val="0"/>
        </w:rPr>
        <w:t xml:space="preserve">The Equality Act 2010</w:t>
      </w:r>
      <w:r w:rsidDel="00000000" w:rsidR="00000000" w:rsidRPr="00000000">
        <w:rPr>
          <w:highlight w:val="white"/>
          <w:rtl w:val="0"/>
        </w:rPr>
        <w:t xml:space="preserve">. Available at: </w:t>
      </w:r>
      <w:hyperlink r:id="rId32">
        <w:r w:rsidDel="00000000" w:rsidR="00000000" w:rsidRPr="00000000">
          <w:rPr>
            <w:highlight w:val="white"/>
            <w:rtl w:val="0"/>
          </w:rPr>
          <w:t xml:space="preserve">https://www.legislation.gov.uk/ukpga/2010/15/contents</w:t>
        </w:r>
      </w:hyperlink>
      <w:r w:rsidDel="00000000" w:rsidR="00000000" w:rsidRPr="00000000">
        <w:rPr>
          <w:highlight w:val="white"/>
          <w:rtl w:val="0"/>
        </w:rPr>
        <w:t xml:space="preserve">. </w:t>
      </w:r>
      <w:r w:rsidDel="00000000" w:rsidR="00000000" w:rsidRPr="00000000">
        <w:rPr>
          <w:rtl w:val="0"/>
        </w:rPr>
        <w:t xml:space="preserve"> </w:t>
      </w:r>
      <w:r w:rsidDel="00000000" w:rsidR="00000000" w:rsidRPr="00000000">
        <w:rPr>
          <w:highlight w:val="white"/>
          <w:rtl w:val="0"/>
        </w:rPr>
        <w:t xml:space="preserve">(Accessed: 12 July 2024).</w:t>
      </w:r>
    </w:p>
    <w:p w:rsidR="00000000" w:rsidDel="00000000" w:rsidP="00000000" w:rsidRDefault="00000000" w:rsidRPr="00000000" w14:paraId="0000004F">
      <w:pPr>
        <w:spacing w:line="276" w:lineRule="auto"/>
        <w:ind w:left="0" w:firstLine="0"/>
        <w:rPr>
          <w:highlight w:val="white"/>
        </w:rPr>
      </w:pPr>
      <w:r w:rsidDel="00000000" w:rsidR="00000000" w:rsidRPr="00000000">
        <w:rPr>
          <w:rtl w:val="0"/>
        </w:rPr>
      </w:r>
    </w:p>
    <w:p w:rsidR="00000000" w:rsidDel="00000000" w:rsidP="00000000" w:rsidRDefault="00000000" w:rsidRPr="00000000" w14:paraId="00000050">
      <w:pPr>
        <w:spacing w:line="276" w:lineRule="auto"/>
        <w:ind w:left="0" w:firstLine="0"/>
        <w:rPr/>
      </w:pPr>
      <w:r w:rsidDel="00000000" w:rsidR="00000000" w:rsidRPr="00000000">
        <w:rPr>
          <w:rtl w:val="0"/>
        </w:rPr>
        <w:t xml:space="preserve">WHO. (2022) </w:t>
      </w:r>
      <w:r w:rsidDel="00000000" w:rsidR="00000000" w:rsidRPr="00000000">
        <w:rPr>
          <w:i w:val="1"/>
          <w:rtl w:val="0"/>
        </w:rPr>
        <w:t xml:space="preserve">Ageing and health.</w:t>
      </w:r>
      <w:r w:rsidDel="00000000" w:rsidR="00000000" w:rsidRPr="00000000">
        <w:rPr>
          <w:rtl w:val="0"/>
        </w:rPr>
        <w:t xml:space="preserve"> Available at: </w:t>
      </w:r>
      <w:hyperlink r:id="rId33">
        <w:r w:rsidDel="00000000" w:rsidR="00000000" w:rsidRPr="00000000">
          <w:rPr>
            <w:rtl w:val="0"/>
          </w:rPr>
          <w:t xml:space="preserve">https://www.who.int/news-room/fact-sheets/detail/ageing-and-health</w:t>
        </w:r>
      </w:hyperlink>
      <w:r w:rsidDel="00000000" w:rsidR="00000000" w:rsidRPr="00000000">
        <w:rPr>
          <w:rtl w:val="0"/>
        </w:rPr>
        <w:t xml:space="preserve">. </w:t>
      </w:r>
      <w:r w:rsidDel="00000000" w:rsidR="00000000" w:rsidRPr="00000000">
        <w:rPr>
          <w:rtl w:val="0"/>
        </w:rPr>
        <w:t xml:space="preserve"> </w:t>
      </w:r>
      <w:r w:rsidDel="00000000" w:rsidR="00000000" w:rsidRPr="00000000">
        <w:rPr>
          <w:highlight w:val="white"/>
          <w:rtl w:val="0"/>
        </w:rPr>
        <w:t xml:space="preserve">(Accessed: 12 July 2024).</w:t>
      </w:r>
      <w:r w:rsidDel="00000000" w:rsidR="00000000" w:rsidRPr="00000000">
        <w:rPr>
          <w:rtl w:val="0"/>
        </w:rPr>
      </w:r>
    </w:p>
    <w:p w:rsidR="00000000" w:rsidDel="00000000" w:rsidP="00000000" w:rsidRDefault="00000000" w:rsidRPr="00000000" w14:paraId="00000051">
      <w:pPr>
        <w:widowControl w:val="0"/>
        <w:spacing w:before="160" w:line="256.8" w:lineRule="auto"/>
        <w:ind w:left="0" w:firstLine="0"/>
        <w:rPr/>
      </w:pPr>
      <w:r w:rsidDel="00000000" w:rsidR="00000000" w:rsidRPr="00000000">
        <w:rPr>
          <w:rtl w:val="0"/>
        </w:rPr>
        <w:t xml:space="preserve">Wang, M. (ed.) (2012) </w:t>
      </w:r>
      <w:r w:rsidDel="00000000" w:rsidR="00000000" w:rsidRPr="00000000">
        <w:rPr>
          <w:i w:val="1"/>
          <w:rtl w:val="0"/>
        </w:rPr>
        <w:t xml:space="preserve">The Oxford Handbook of Retirement. </w:t>
      </w:r>
      <w:r w:rsidDel="00000000" w:rsidR="00000000" w:rsidRPr="00000000">
        <w:rPr>
          <w:rtl w:val="0"/>
        </w:rPr>
        <w:t xml:space="preserve">Oxford: Oxford University Press. </w:t>
      </w:r>
    </w:p>
    <w:p w:rsidR="00000000" w:rsidDel="00000000" w:rsidP="00000000" w:rsidRDefault="00000000" w:rsidRPr="00000000" w14:paraId="00000052">
      <w:pPr>
        <w:spacing w:line="276" w:lineRule="auto"/>
        <w:ind w:left="720" w:firstLine="0"/>
        <w:rPr/>
      </w:pPr>
      <w:r w:rsidDel="00000000" w:rsidR="00000000" w:rsidRPr="00000000">
        <w:rPr>
          <w:rtl w:val="0"/>
        </w:rPr>
      </w:r>
    </w:p>
    <w:p w:rsidR="00000000" w:rsidDel="00000000" w:rsidP="00000000" w:rsidRDefault="00000000" w:rsidRPr="00000000" w14:paraId="00000053">
      <w:pPr>
        <w:spacing w:line="276" w:lineRule="auto"/>
        <w:ind w:left="720" w:firstLine="0"/>
        <w:rPr>
          <w:highlight w:val="white"/>
        </w:rPr>
      </w:pPr>
      <w:r w:rsidDel="00000000" w:rsidR="00000000" w:rsidRPr="00000000">
        <w:rPr>
          <w:rtl w:val="0"/>
        </w:rPr>
      </w:r>
    </w:p>
    <w:p w:rsidR="00000000" w:rsidDel="00000000" w:rsidP="00000000" w:rsidRDefault="00000000" w:rsidRPr="00000000" w14:paraId="00000054">
      <w:pPr>
        <w:spacing w:line="276" w:lineRule="auto"/>
        <w:ind w:left="720" w:firstLine="0"/>
        <w:rPr>
          <w:highlight w:val="white"/>
        </w:rPr>
      </w:pPr>
      <w:r w:rsidDel="00000000" w:rsidR="00000000" w:rsidRPr="00000000">
        <w:rPr>
          <w:rtl w:val="0"/>
        </w:rPr>
      </w:r>
    </w:p>
    <w:p w:rsidR="00000000" w:rsidDel="00000000" w:rsidP="00000000" w:rsidRDefault="00000000" w:rsidRPr="00000000" w14:paraId="00000055">
      <w:pPr>
        <w:spacing w:line="276" w:lineRule="auto"/>
        <w:ind w:left="720" w:firstLine="0"/>
        <w:rPr>
          <w:highlight w:val="white"/>
        </w:rPr>
      </w:pPr>
      <w:r w:rsidDel="00000000" w:rsidR="00000000" w:rsidRPr="00000000">
        <w:rPr>
          <w:rtl w:val="0"/>
        </w:rPr>
      </w:r>
    </w:p>
    <w:p w:rsidR="00000000" w:rsidDel="00000000" w:rsidP="00000000" w:rsidRDefault="00000000" w:rsidRPr="00000000" w14:paraId="00000056">
      <w:pPr>
        <w:spacing w:line="276" w:lineRule="auto"/>
        <w:ind w:left="720" w:firstLine="0"/>
        <w:rPr>
          <w:highlight w:val="white"/>
        </w:rPr>
      </w:pPr>
      <w:r w:rsidDel="00000000" w:rsidR="00000000" w:rsidRPr="00000000">
        <w:rPr>
          <w:rtl w:val="0"/>
        </w:rPr>
      </w:r>
    </w:p>
    <w:p w:rsidR="00000000" w:rsidDel="00000000" w:rsidP="00000000" w:rsidRDefault="00000000" w:rsidRPr="00000000" w14:paraId="00000057">
      <w:pPr>
        <w:spacing w:line="276" w:lineRule="auto"/>
        <w:ind w:left="720" w:firstLine="0"/>
        <w:rPr>
          <w:rFonts w:ascii="Roboto" w:cs="Roboto" w:eastAsia="Roboto" w:hAnsi="Roboto"/>
          <w:color w:val="212121"/>
          <w:sz w:val="24"/>
          <w:szCs w:val="24"/>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Verdan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psycnet.apa.org/doi/10.1037/h0054346" TargetMode="External"/><Relationship Id="rId22" Type="http://schemas.openxmlformats.org/officeDocument/2006/relationships/hyperlink" Target="https://www.nhs.uk/live-well/quit-smoking/nhs-stop-smoking-services-help-you-quit/" TargetMode="External"/><Relationship Id="rId21" Type="http://schemas.openxmlformats.org/officeDocument/2006/relationships/hyperlink" Target="https://www.longtermplan.nhs.uk/" TargetMode="External"/><Relationship Id="rId24" Type="http://schemas.openxmlformats.org/officeDocument/2006/relationships/hyperlink" Target="https://www.nao.org.uk/reports/reforming-adult-social-care-in-england/" TargetMode="External"/><Relationship Id="rId23" Type="http://schemas.openxmlformats.org/officeDocument/2006/relationships/hyperlink" Target="https://www.nao.org.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geuk.org.uk/globalassets/age-uk/documents/reports-and-publications/reports-and-briefings/money-matters/poverty-in-later-life-briefing-january-2022-.pdf" TargetMode="External"/><Relationship Id="rId26" Type="http://schemas.openxmlformats.org/officeDocument/2006/relationships/hyperlink" Target="https://doi.org/10.1016/s0140-6736(14)61347-7" TargetMode="External"/><Relationship Id="rId25" Type="http://schemas.openxmlformats.org/officeDocument/2006/relationships/hyperlink" Target="https://www.ons.gov.uk/peoplepopulationandcommunity/populationandmigration/populationestimates/articles/overviewoftheukpopulation/2020" TargetMode="External"/><Relationship Id="rId28" Type="http://schemas.openxmlformats.org/officeDocument/2006/relationships/hyperlink" Target="https://www.skillsforcare.org.uk/Adult-Social-Care-Workforce-Data/Workforce-intelligence/documents/State-of-the-adult-social-care-sector/The-state-of-the-adult-social-care-sector-and-workforce-2022.pdf" TargetMode="External"/><Relationship Id="rId27" Type="http://schemas.openxmlformats.org/officeDocument/2006/relationships/hyperlink" Target="https://doi.org/10.1016/j.jalz.2012.11.007" TargetMode="External"/><Relationship Id="rId5" Type="http://schemas.openxmlformats.org/officeDocument/2006/relationships/styles" Target="styles.xml"/><Relationship Id="rId6" Type="http://schemas.openxmlformats.org/officeDocument/2006/relationships/hyperlink" Target="https://doi.org/10.1093/geront/29.2.183" TargetMode="External"/><Relationship Id="rId29" Type="http://schemas.openxmlformats.org/officeDocument/2006/relationships/hyperlink" Target="https://www.legislation.gov.uk/ukpga/2014/23/section/9" TargetMode="External"/><Relationship Id="rId7" Type="http://schemas.openxmlformats.org/officeDocument/2006/relationships/hyperlink" Target="https://www.ageuk.org.uk/globalassets/age-uk/documents/reports-and-publications/reports-and-briefings/health--wellbeing/rb_june15_lonelines_in_later_life_evidence_review.pdf" TargetMode="External"/><Relationship Id="rId8" Type="http://schemas.openxmlformats.org/officeDocument/2006/relationships/hyperlink" Target="https://www.ageuk.org.uk/globalassets/age-uk/documents/reports-and-publications/later_life_uk_factsheet.pdf" TargetMode="External"/><Relationship Id="rId31" Type="http://schemas.openxmlformats.org/officeDocument/2006/relationships/hyperlink" Target="https://www.legislation.gov.uk/ukpga/2005/9/contents" TargetMode="External"/><Relationship Id="rId30" Type="http://schemas.openxmlformats.org/officeDocument/2006/relationships/hyperlink" Target="https://www.legislation.gov.uk/ukpga/2008/14/contents" TargetMode="External"/><Relationship Id="rId11" Type="http://schemas.openxmlformats.org/officeDocument/2006/relationships/hyperlink" Target="https://ltccovid.org/wp-content/uploads/2021/02/LTC_COVID_19_international_report_January-1-February-1-2.pdf" TargetMode="External"/><Relationship Id="rId33" Type="http://schemas.openxmlformats.org/officeDocument/2006/relationships/hyperlink" Target="https://www.who.int/news-room/fact-sheets/detail/ageing-and-health" TargetMode="External"/><Relationship Id="rId10" Type="http://schemas.openxmlformats.org/officeDocument/2006/relationships/hyperlink" Target="https://doi.org/10.1177/07334648221146252" TargetMode="External"/><Relationship Id="rId32" Type="http://schemas.openxmlformats.org/officeDocument/2006/relationships/hyperlink" Target="https://www.legislation.gov.uk/ukpga/2010/15/contents" TargetMode="External"/><Relationship Id="rId13" Type="http://schemas.openxmlformats.org/officeDocument/2006/relationships/hyperlink" Target="https://www.ageing-better.org.uk/sites/default/files/2018-07/Ageing-Better-Transforming-Later-Lives.pdf" TargetMode="External"/><Relationship Id="rId12" Type="http://schemas.openxmlformats.org/officeDocument/2006/relationships/hyperlink" Target="https://www.ageing-better.org.uk/about-us/our-vision-mission" TargetMode="External"/><Relationship Id="rId15" Type="http://schemas.openxmlformats.org/officeDocument/2006/relationships/hyperlink" Target="https://www.cqc.org.uk/sites/default/files/2023-10/20231030_stateofcare2223_print.pdf" TargetMode="External"/><Relationship Id="rId14" Type="http://schemas.openxmlformats.org/officeDocument/2006/relationships/hyperlink" Target="http://www.cpa.org.uk/cpa/policies_on_ageing.html" TargetMode="External"/><Relationship Id="rId17" Type="http://schemas.openxmlformats.org/officeDocument/2006/relationships/hyperlink" Target="https://doi.org/10.1093/geront/1.1.8" TargetMode="External"/><Relationship Id="rId16" Type="http://schemas.openxmlformats.org/officeDocument/2006/relationships/hyperlink" Target="https://doi.org/10.1001/jamainternmed.2020.1562" TargetMode="External"/><Relationship Id="rId19" Type="http://schemas.openxmlformats.org/officeDocument/2006/relationships/hyperlink" Target="https://www.laingbuisson.com" TargetMode="External"/><Relationship Id="rId18" Type="http://schemas.openxmlformats.org/officeDocument/2006/relationships/hyperlink" Target="https://www.kingsfund.org.uk/insight-and-analysis/long-reads/nhs-long-term-plan-explained"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