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AB5" w:rsidRDefault="00393AB5" w:rsidP="00634885">
      <w:pPr>
        <w:spacing w:after="360"/>
        <w:rPr>
          <w:rFonts w:ascii="Times New Roman" w:hAnsi="Times New Roman" w:cs="Times New Roman"/>
          <w:b/>
          <w:color w:val="5A6978"/>
          <w:sz w:val="28"/>
          <w:szCs w:val="36"/>
        </w:rPr>
      </w:pPr>
      <w:r>
        <w:rPr>
          <w:noProof/>
        </w:rPr>
        <w:drawing>
          <wp:inline distT="0" distB="0" distL="0" distR="0" wp14:anchorId="705F10D8" wp14:editId="0A16107B">
            <wp:extent cx="3429760" cy="14325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50B00C7-6D28-4675-BBCC5435147EF6A2_carouselimage.png"/>
                    <pic:cNvPicPr/>
                  </pic:nvPicPr>
                  <pic:blipFill>
                    <a:blip r:embed="rId9">
                      <a:extLst>
                        <a:ext uri="{28A0092B-C50C-407E-A947-70E740481C1C}">
                          <a14:useLocalDpi xmlns:a14="http://schemas.microsoft.com/office/drawing/2010/main" val="0"/>
                        </a:ext>
                      </a:extLst>
                    </a:blip>
                    <a:stretch>
                      <a:fillRect/>
                    </a:stretch>
                  </pic:blipFill>
                  <pic:spPr>
                    <a:xfrm>
                      <a:off x="0" y="0"/>
                      <a:ext cx="3429760" cy="1432560"/>
                    </a:xfrm>
                    <a:prstGeom prst="rect">
                      <a:avLst/>
                    </a:prstGeom>
                  </pic:spPr>
                </pic:pic>
              </a:graphicData>
            </a:graphic>
          </wp:inline>
        </w:drawing>
      </w:r>
    </w:p>
    <w:p w:rsidR="00634885" w:rsidRPr="00393AB5" w:rsidRDefault="00634885" w:rsidP="00634885">
      <w:pPr>
        <w:spacing w:after="360"/>
        <w:rPr>
          <w:rFonts w:ascii="Times New Roman" w:hAnsi="Times New Roman" w:cs="Times New Roman"/>
          <w:sz w:val="32"/>
          <w:szCs w:val="36"/>
        </w:rPr>
      </w:pPr>
      <w:r>
        <w:rPr>
          <w:rFonts w:ascii="Times New Roman" w:hAnsi="Times New Roman" w:cs="Times New Roman"/>
          <w:b/>
          <w:sz w:val="32"/>
          <w:szCs w:val="36"/>
        </w:rPr>
        <w:t xml:space="preserve">LCDB7007: Research Principles </w:t>
      </w:r>
      <w:r w:rsidR="004900F7">
        <w:rPr>
          <w:rFonts w:ascii="Times New Roman" w:hAnsi="Times New Roman" w:cs="Times New Roman"/>
          <w:b/>
          <w:sz w:val="32"/>
          <w:szCs w:val="36"/>
        </w:rPr>
        <w:t>and</w:t>
      </w:r>
      <w:r>
        <w:rPr>
          <w:rFonts w:ascii="Times New Roman" w:hAnsi="Times New Roman" w:cs="Times New Roman"/>
          <w:b/>
          <w:sz w:val="32"/>
          <w:szCs w:val="36"/>
        </w:rPr>
        <w:t xml:space="preserve"> Philosophy</w:t>
      </w:r>
    </w:p>
    <w:p w:rsidR="00634885" w:rsidRDefault="00634885" w:rsidP="00634885">
      <w:pPr>
        <w:pBdr>
          <w:bottom w:val="single" w:sz="14" w:space="1" w:color="0F2043"/>
        </w:pBdr>
        <w:spacing w:after="720"/>
      </w:pPr>
    </w:p>
    <w:p w:rsidR="00634885" w:rsidRPr="00393AB5" w:rsidRDefault="00634885" w:rsidP="00634885">
      <w:pPr>
        <w:spacing w:after="240" w:line="300" w:lineRule="auto"/>
        <w:rPr>
          <w:rFonts w:ascii="Times New Roman" w:hAnsi="Times New Roman" w:cs="Times New Roman"/>
          <w:sz w:val="24"/>
        </w:rPr>
      </w:pPr>
      <w:r>
        <w:rPr>
          <w:rFonts w:ascii="Times New Roman" w:hAnsi="Times New Roman" w:cs="Times New Roman"/>
          <w:b/>
          <w:sz w:val="44"/>
        </w:rPr>
        <w:t>A Critical Review of Working Capital Management Research (2021–2026):</w:t>
      </w:r>
    </w:p>
    <w:p w:rsidR="00634885" w:rsidRPr="00393AB5" w:rsidRDefault="00634885" w:rsidP="00634885">
      <w:pPr>
        <w:spacing w:after="1000" w:line="300" w:lineRule="auto"/>
        <w:rPr>
          <w:rFonts w:ascii="Times New Roman" w:hAnsi="Times New Roman" w:cs="Times New Roman"/>
          <w:sz w:val="24"/>
        </w:rPr>
      </w:pPr>
      <w:r>
        <w:rPr>
          <w:rFonts w:ascii="Times New Roman" w:hAnsi="Times New Roman" w:cs="Times New Roman"/>
          <w:i/>
          <w:sz w:val="36"/>
        </w:rPr>
        <w:t>Philosophical Foundations, Ethics, and Organizational Performance in FTSE 350 Companies</w:t>
      </w:r>
    </w:p>
    <w:tbl>
      <w:tblPr>
        <w:tblW w:w="0" w:type="auto"/>
        <w:tblInd w:w="240" w:type="dxa"/>
        <w:tblLook w:val="04A0" w:firstRow="1" w:lastRow="0" w:firstColumn="1" w:lastColumn="0" w:noHBand="0" w:noVBand="1"/>
      </w:tblPr>
      <w:tblGrid>
        <w:gridCol w:w="9903"/>
      </w:tblGrid>
      <w:tr w:rsidR="00393AB5" w:rsidRPr="00393AB5" w:rsidTr="00634885">
        <w:trPr>
          <w:trHeight w:val="1723"/>
        </w:trPr>
        <w:tc>
          <w:tcPr>
            <w:tcW w:w="9903" w:type="dxa"/>
            <w:tcBorders>
              <w:left w:val="single" w:sz="24" w:space="0" w:color="0F2043"/>
            </w:tcBorders>
            <w:shd w:val="clear" w:color="auto" w:fill="F4F6F8"/>
            <w:tcMar>
              <w:top w:w="200" w:type="dxa"/>
              <w:left w:w="240" w:type="dxa"/>
              <w:bottom w:w="200" w:type="dxa"/>
              <w:right w:w="240" w:type="dxa"/>
            </w:tcMar>
          </w:tcPr>
          <w:p w:rsidR="00634885" w:rsidRPr="00393AB5" w:rsidRDefault="00634885" w:rsidP="00477231">
            <w:pPr>
              <w:spacing w:after="120"/>
              <w:rPr>
                <w:rFonts w:ascii="Times New Roman" w:hAnsi="Times New Roman" w:cs="Times New Roman"/>
                <w:b/>
                <w:sz w:val="24"/>
                <w:szCs w:val="24"/>
              </w:rPr>
            </w:pPr>
            <w:r>
              <w:rPr>
                <w:rFonts w:ascii="Times New Roman" w:hAnsi="Times New Roman" w:cs="Times New Roman"/>
                <w:b/>
                <w:sz w:val="24"/>
                <w:szCs w:val="24"/>
              </w:rPr>
              <w:t xml:space="preserve">AUTHOR:  </w:t>
            </w:r>
          </w:p>
          <w:p w:rsidR="00634885" w:rsidRPr="00393AB5" w:rsidRDefault="00634885" w:rsidP="00477231">
            <w:pPr>
              <w:spacing w:after="120"/>
              <w:rPr>
                <w:rFonts w:ascii="Times New Roman" w:hAnsi="Times New Roman" w:cs="Times New Roman"/>
                <w:sz w:val="24"/>
                <w:szCs w:val="24"/>
              </w:rPr>
            </w:pPr>
            <w:r>
              <w:rPr>
                <w:rFonts w:ascii="Times New Roman" w:hAnsi="Times New Roman" w:cs="Times New Roman"/>
                <w:sz w:val="24"/>
                <w:szCs w:val="24"/>
              </w:rPr>
              <w:t xml:space="preserve">Ngoc Trang Le (2536639) </w:t>
            </w:r>
          </w:p>
          <w:p w:rsidR="00634885" w:rsidRPr="00393AB5" w:rsidRDefault="00634885" w:rsidP="00477231">
            <w:pPr>
              <w:spacing w:after="120"/>
              <w:rPr>
                <w:rFonts w:ascii="Times New Roman" w:hAnsi="Times New Roman" w:cs="Times New Roman"/>
                <w:sz w:val="24"/>
                <w:szCs w:val="24"/>
              </w:rPr>
            </w:pPr>
            <w:r>
              <w:rPr>
                <w:rFonts w:ascii="Times New Roman" w:hAnsi="Times New Roman" w:cs="Times New Roman"/>
                <w:sz w:val="24"/>
                <w:szCs w:val="24"/>
              </w:rPr>
              <w:t>DBA Candidate, University of Wales Trinity Saint David</w:t>
            </w:r>
          </w:p>
          <w:p w:rsidR="00634885" w:rsidRPr="00393AB5" w:rsidRDefault="00634885" w:rsidP="00477231">
            <w:pPr>
              <w:spacing w:after="120"/>
              <w:rPr>
                <w:rFonts w:ascii="Times New Roman" w:hAnsi="Times New Roman" w:cs="Times New Roman"/>
                <w:sz w:val="24"/>
                <w:szCs w:val="24"/>
              </w:rPr>
            </w:pPr>
          </w:p>
          <w:p w:rsidR="00634885" w:rsidRPr="00393AB5" w:rsidRDefault="00634885" w:rsidP="00477231">
            <w:pPr>
              <w:spacing w:after="120"/>
              <w:rPr>
                <w:rFonts w:ascii="Times New Roman" w:hAnsi="Times New Roman" w:cs="Times New Roman"/>
                <w:b/>
                <w:sz w:val="24"/>
                <w:szCs w:val="24"/>
              </w:rPr>
            </w:pPr>
            <w:r>
              <w:rPr>
                <w:rFonts w:ascii="Times New Roman" w:hAnsi="Times New Roman" w:cs="Times New Roman"/>
                <w:b/>
                <w:sz w:val="24"/>
                <w:szCs w:val="24"/>
              </w:rPr>
              <w:t xml:space="preserve">WORD COUNT:  </w:t>
            </w:r>
          </w:p>
          <w:p w:rsidR="00634885" w:rsidRPr="00393AB5" w:rsidRDefault="00477231" w:rsidP="00477231">
            <w:pPr>
              <w:spacing w:after="120"/>
              <w:rPr>
                <w:rFonts w:ascii="Times New Roman" w:hAnsi="Times New Roman" w:cs="Times New Roman"/>
                <w:sz w:val="24"/>
                <w:szCs w:val="24"/>
              </w:rPr>
            </w:pPr>
            <w:r>
              <w:rPr>
                <w:rFonts w:ascii="Times New Roman" w:hAnsi="Times New Roman" w:cs="Times New Roman"/>
                <w:sz w:val="24"/>
                <w:szCs w:val="24"/>
              </w:rPr>
              <w:t>8,136</w:t>
            </w:r>
            <w:r w:rsidR="00634885">
              <w:rPr>
                <w:rFonts w:ascii="Times New Roman" w:hAnsi="Times New Roman" w:cs="Times New Roman"/>
                <w:sz w:val="24"/>
                <w:szCs w:val="24"/>
              </w:rPr>
              <w:t xml:space="preserve"> words (excluding</w:t>
            </w:r>
            <w:r>
              <w:rPr>
                <w:rFonts w:ascii="Times New Roman" w:hAnsi="Times New Roman" w:cs="Times New Roman"/>
                <w:sz w:val="24"/>
                <w:szCs w:val="24"/>
              </w:rPr>
              <w:t xml:space="preserve"> </w:t>
            </w:r>
            <w:r w:rsidR="00634885">
              <w:rPr>
                <w:rFonts w:ascii="Times New Roman" w:hAnsi="Times New Roman" w:cs="Times New Roman"/>
                <w:sz w:val="24"/>
                <w:szCs w:val="24"/>
              </w:rPr>
              <w:t>references, and appendices)</w:t>
            </w:r>
          </w:p>
          <w:p w:rsidR="00634885" w:rsidRPr="00393AB5" w:rsidRDefault="00634885" w:rsidP="00477231">
            <w:pPr>
              <w:spacing w:after="120"/>
              <w:rPr>
                <w:rFonts w:ascii="Times New Roman" w:hAnsi="Times New Roman" w:cs="Times New Roman"/>
                <w:sz w:val="24"/>
                <w:szCs w:val="24"/>
              </w:rPr>
            </w:pPr>
          </w:p>
          <w:p w:rsidR="00634885" w:rsidRPr="00393AB5" w:rsidRDefault="00634885" w:rsidP="00477231">
            <w:pPr>
              <w:spacing w:after="0"/>
              <w:rPr>
                <w:rFonts w:ascii="Times New Roman" w:hAnsi="Times New Roman" w:cs="Times New Roman"/>
                <w:b/>
                <w:sz w:val="24"/>
                <w:szCs w:val="24"/>
              </w:rPr>
            </w:pPr>
            <w:r>
              <w:rPr>
                <w:rFonts w:ascii="Times New Roman" w:hAnsi="Times New Roman" w:cs="Times New Roman"/>
                <w:b/>
                <w:sz w:val="24"/>
                <w:szCs w:val="24"/>
              </w:rPr>
              <w:t xml:space="preserve">DATE OF SUBMISSION:  </w:t>
            </w:r>
          </w:p>
          <w:p w:rsidR="00634885" w:rsidRPr="00393AB5" w:rsidRDefault="00634885" w:rsidP="00477231">
            <w:pPr>
              <w:spacing w:after="0"/>
              <w:rPr>
                <w:rFonts w:ascii="Times New Roman" w:hAnsi="Times New Roman" w:cs="Times New Roman"/>
                <w:sz w:val="24"/>
                <w:szCs w:val="24"/>
              </w:rPr>
            </w:pPr>
            <w:r>
              <w:rPr>
                <w:rFonts w:ascii="Times New Roman" w:hAnsi="Times New Roman" w:cs="Times New Roman"/>
                <w:sz w:val="24"/>
                <w:szCs w:val="24"/>
              </w:rPr>
              <w:t>August 24</w:t>
            </w:r>
            <w:r>
              <w:rPr>
                <w:rFonts w:ascii="Times New Roman" w:hAnsi="Times New Roman" w:cs="Times New Roman"/>
                <w:sz w:val="24"/>
                <w:szCs w:val="24"/>
                <w:vertAlign w:val="superscript"/>
              </w:rPr>
              <w:t>th</w:t>
            </w:r>
            <w:r>
              <w:rPr>
                <w:rFonts w:ascii="Times New Roman" w:hAnsi="Times New Roman" w:cs="Times New Roman"/>
                <w:sz w:val="24"/>
                <w:szCs w:val="24"/>
              </w:rPr>
              <w:t>, 2026</w:t>
            </w:r>
          </w:p>
        </w:tc>
      </w:tr>
    </w:tbl>
    <w:p w:rsidR="00634885" w:rsidRDefault="00634885" w:rsidP="00634885">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r>
        <w:rPr>
          <w:rFonts w:ascii="Times New Roman" w:eastAsia="Times New Roman" w:hAnsi="Times New Roman" w:cs="Times New Roman"/>
          <w:b/>
          <w:bCs/>
          <w:sz w:val="36"/>
          <w:szCs w:val="36"/>
          <w:lang w:val="en-GB" w:eastAsia="en-GB"/>
        </w:rPr>
        <w:br w:type="page"/>
      </w:r>
    </w:p>
    <w:sdt>
      <w:sdtPr>
        <w:rPr>
          <w:rFonts w:asciiTheme="minorHAnsi" w:eastAsiaTheme="minorEastAsia" w:hAnsiTheme="minorHAnsi" w:cstheme="minorBidi"/>
          <w:b w:val="0"/>
          <w:bCs w:val="0"/>
          <w:color w:val="auto"/>
          <w:sz w:val="22"/>
          <w:szCs w:val="22"/>
        </w:rPr>
        <w:id w:val="212089095"/>
        <w:docPartObj>
          <w:docPartGallery w:val="Table of Contents"/>
          <w:docPartUnique/>
        </w:docPartObj>
      </w:sdtPr>
      <w:sdtEndPr>
        <w:rPr>
          <w:noProof/>
        </w:rPr>
      </w:sdtEndPr>
      <w:sdtContent>
        <w:p w:rsidR="00477231" w:rsidRPr="00477231" w:rsidRDefault="00477231">
          <w:pPr>
            <w:pStyle w:val="TOCHeading"/>
            <w:rPr>
              <w:rFonts w:ascii="Times New Roman" w:hAnsi="Times New Roman" w:cs="Times New Roman"/>
              <w:color w:val="auto"/>
            </w:rPr>
          </w:pPr>
          <w:r w:rsidRPr="00477231">
            <w:rPr>
              <w:rFonts w:ascii="Times New Roman" w:hAnsi="Times New Roman" w:cs="Times New Roman"/>
              <w:color w:val="auto"/>
            </w:rPr>
            <w:t>Table of Contents</w:t>
          </w:r>
        </w:p>
        <w:p w:rsidR="00477231" w:rsidRPr="00477231" w:rsidRDefault="00214A7E" w:rsidP="00214A7E">
          <w:pPr>
            <w:tabs>
              <w:tab w:val="left" w:pos="1813"/>
            </w:tabs>
          </w:pPr>
          <w:r>
            <w:tab/>
          </w:r>
        </w:p>
        <w:p w:rsidR="00214A7E" w:rsidRDefault="00477231">
          <w:pPr>
            <w:pStyle w:val="TOC1"/>
            <w:tabs>
              <w:tab w:val="right" w:leader="dot" w:pos="10790"/>
            </w:tabs>
            <w:rPr>
              <w:noProof/>
            </w:rPr>
          </w:pPr>
          <w:r>
            <w:fldChar w:fldCharType="begin"/>
          </w:r>
          <w:r>
            <w:instrText xml:space="preserve"> TOC \o "1-3" \h \z \u </w:instrText>
          </w:r>
          <w:r>
            <w:fldChar w:fldCharType="separate"/>
          </w:r>
          <w:hyperlink w:anchor="_Toc238372473" w:history="1">
            <w:r w:rsidR="00214A7E" w:rsidRPr="00604D7B">
              <w:rPr>
                <w:rStyle w:val="Hyperlink"/>
                <w:rFonts w:ascii="Times New Roman" w:eastAsia="Times New Roman" w:hAnsi="Times New Roman" w:cs="Times New Roman"/>
                <w:b/>
                <w:bCs/>
                <w:noProof/>
                <w:kern w:val="36"/>
                <w:lang w:val="en-GB" w:eastAsia="en-GB"/>
              </w:rPr>
              <w:t>Abstract</w:t>
            </w:r>
            <w:r w:rsidR="00214A7E">
              <w:rPr>
                <w:noProof/>
                <w:webHidden/>
              </w:rPr>
              <w:tab/>
            </w:r>
            <w:r w:rsidR="00214A7E">
              <w:rPr>
                <w:noProof/>
                <w:webHidden/>
              </w:rPr>
              <w:fldChar w:fldCharType="begin"/>
            </w:r>
            <w:r w:rsidR="00214A7E">
              <w:rPr>
                <w:noProof/>
                <w:webHidden/>
              </w:rPr>
              <w:instrText xml:space="preserve"> PAGEREF _Toc238372473 \h </w:instrText>
            </w:r>
            <w:r w:rsidR="00214A7E">
              <w:rPr>
                <w:noProof/>
                <w:webHidden/>
              </w:rPr>
            </w:r>
            <w:r w:rsidR="00214A7E">
              <w:rPr>
                <w:noProof/>
                <w:webHidden/>
              </w:rPr>
              <w:fldChar w:fldCharType="separate"/>
            </w:r>
            <w:r w:rsidR="00214A7E">
              <w:rPr>
                <w:noProof/>
                <w:webHidden/>
              </w:rPr>
              <w:t>2</w:t>
            </w:r>
            <w:r w:rsidR="00214A7E">
              <w:rPr>
                <w:noProof/>
                <w:webHidden/>
              </w:rPr>
              <w:fldChar w:fldCharType="end"/>
            </w:r>
          </w:hyperlink>
        </w:p>
        <w:p w:rsidR="00214A7E" w:rsidRDefault="00EB22C3">
          <w:pPr>
            <w:pStyle w:val="TOC1"/>
            <w:tabs>
              <w:tab w:val="right" w:leader="dot" w:pos="10790"/>
            </w:tabs>
            <w:rPr>
              <w:noProof/>
            </w:rPr>
          </w:pPr>
          <w:hyperlink w:anchor="_Toc238372474" w:history="1">
            <w:r w:rsidR="00214A7E" w:rsidRPr="00604D7B">
              <w:rPr>
                <w:rStyle w:val="Hyperlink"/>
                <w:rFonts w:ascii="Times New Roman" w:eastAsia="Times New Roman" w:hAnsi="Times New Roman" w:cs="Times New Roman"/>
                <w:b/>
                <w:bCs/>
                <w:noProof/>
                <w:kern w:val="36"/>
                <w:lang w:val="en-GB" w:eastAsia="en-GB"/>
              </w:rPr>
              <w:t>1. Introduction</w:t>
            </w:r>
            <w:r w:rsidR="00214A7E">
              <w:rPr>
                <w:noProof/>
                <w:webHidden/>
              </w:rPr>
              <w:tab/>
            </w:r>
            <w:r w:rsidR="00214A7E">
              <w:rPr>
                <w:noProof/>
                <w:webHidden/>
              </w:rPr>
              <w:fldChar w:fldCharType="begin"/>
            </w:r>
            <w:r w:rsidR="00214A7E">
              <w:rPr>
                <w:noProof/>
                <w:webHidden/>
              </w:rPr>
              <w:instrText xml:space="preserve"> PAGEREF _Toc238372474 \h </w:instrText>
            </w:r>
            <w:r w:rsidR="00214A7E">
              <w:rPr>
                <w:noProof/>
                <w:webHidden/>
              </w:rPr>
            </w:r>
            <w:r w:rsidR="00214A7E">
              <w:rPr>
                <w:noProof/>
                <w:webHidden/>
              </w:rPr>
              <w:fldChar w:fldCharType="separate"/>
            </w:r>
            <w:r w:rsidR="00214A7E">
              <w:rPr>
                <w:noProof/>
                <w:webHidden/>
              </w:rPr>
              <w:t>4</w:t>
            </w:r>
            <w:r w:rsidR="00214A7E">
              <w:rPr>
                <w:noProof/>
                <w:webHidden/>
              </w:rPr>
              <w:fldChar w:fldCharType="end"/>
            </w:r>
          </w:hyperlink>
        </w:p>
        <w:p w:rsidR="00214A7E" w:rsidRDefault="00EB22C3">
          <w:pPr>
            <w:pStyle w:val="TOC1"/>
            <w:tabs>
              <w:tab w:val="right" w:leader="dot" w:pos="10790"/>
            </w:tabs>
            <w:rPr>
              <w:noProof/>
            </w:rPr>
          </w:pPr>
          <w:hyperlink w:anchor="_Toc238372475" w:history="1">
            <w:r w:rsidR="00214A7E" w:rsidRPr="00604D7B">
              <w:rPr>
                <w:rStyle w:val="Hyperlink"/>
                <w:rFonts w:ascii="Times New Roman" w:eastAsia="Times New Roman" w:hAnsi="Times New Roman" w:cs="Times New Roman"/>
                <w:b/>
                <w:bCs/>
                <w:noProof/>
                <w:kern w:val="36"/>
                <w:lang w:val="en-GB" w:eastAsia="en-GB"/>
              </w:rPr>
              <w:t>2. Method for Conducting the Literature Review</w:t>
            </w:r>
            <w:r w:rsidR="00214A7E">
              <w:rPr>
                <w:noProof/>
                <w:webHidden/>
              </w:rPr>
              <w:tab/>
            </w:r>
            <w:r w:rsidR="00214A7E">
              <w:rPr>
                <w:noProof/>
                <w:webHidden/>
              </w:rPr>
              <w:fldChar w:fldCharType="begin"/>
            </w:r>
            <w:r w:rsidR="00214A7E">
              <w:rPr>
                <w:noProof/>
                <w:webHidden/>
              </w:rPr>
              <w:instrText xml:space="preserve"> PAGEREF _Toc238372475 \h </w:instrText>
            </w:r>
            <w:r w:rsidR="00214A7E">
              <w:rPr>
                <w:noProof/>
                <w:webHidden/>
              </w:rPr>
            </w:r>
            <w:r w:rsidR="00214A7E">
              <w:rPr>
                <w:noProof/>
                <w:webHidden/>
              </w:rPr>
              <w:fldChar w:fldCharType="separate"/>
            </w:r>
            <w:r w:rsidR="00214A7E">
              <w:rPr>
                <w:noProof/>
                <w:webHidden/>
              </w:rPr>
              <w:t>6</w:t>
            </w:r>
            <w:r w:rsidR="00214A7E">
              <w:rPr>
                <w:noProof/>
                <w:webHidden/>
              </w:rPr>
              <w:fldChar w:fldCharType="end"/>
            </w:r>
          </w:hyperlink>
        </w:p>
        <w:p w:rsidR="00214A7E" w:rsidRDefault="00EB22C3">
          <w:pPr>
            <w:pStyle w:val="TOC3"/>
            <w:tabs>
              <w:tab w:val="right" w:leader="dot" w:pos="10790"/>
            </w:tabs>
            <w:rPr>
              <w:noProof/>
            </w:rPr>
          </w:pPr>
          <w:hyperlink w:anchor="_Toc238372476" w:history="1">
            <w:r w:rsidR="00214A7E" w:rsidRPr="00604D7B">
              <w:rPr>
                <w:rStyle w:val="Hyperlink"/>
                <w:rFonts w:ascii="Times New Roman" w:hAnsi="Times New Roman" w:cs="Times New Roman"/>
                <w:noProof/>
              </w:rPr>
              <w:t>Search Strategy and Database Selection</w:t>
            </w:r>
            <w:r w:rsidR="00214A7E">
              <w:rPr>
                <w:noProof/>
                <w:webHidden/>
              </w:rPr>
              <w:tab/>
            </w:r>
            <w:r w:rsidR="00214A7E">
              <w:rPr>
                <w:noProof/>
                <w:webHidden/>
              </w:rPr>
              <w:fldChar w:fldCharType="begin"/>
            </w:r>
            <w:r w:rsidR="00214A7E">
              <w:rPr>
                <w:noProof/>
                <w:webHidden/>
              </w:rPr>
              <w:instrText xml:space="preserve"> PAGEREF _Toc238372476 \h </w:instrText>
            </w:r>
            <w:r w:rsidR="00214A7E">
              <w:rPr>
                <w:noProof/>
                <w:webHidden/>
              </w:rPr>
            </w:r>
            <w:r w:rsidR="00214A7E">
              <w:rPr>
                <w:noProof/>
                <w:webHidden/>
              </w:rPr>
              <w:fldChar w:fldCharType="separate"/>
            </w:r>
            <w:r w:rsidR="00214A7E">
              <w:rPr>
                <w:noProof/>
                <w:webHidden/>
              </w:rPr>
              <w:t>6</w:t>
            </w:r>
            <w:r w:rsidR="00214A7E">
              <w:rPr>
                <w:noProof/>
                <w:webHidden/>
              </w:rPr>
              <w:fldChar w:fldCharType="end"/>
            </w:r>
          </w:hyperlink>
        </w:p>
        <w:p w:rsidR="00214A7E" w:rsidRDefault="00EB22C3">
          <w:pPr>
            <w:pStyle w:val="TOC3"/>
            <w:tabs>
              <w:tab w:val="right" w:leader="dot" w:pos="10790"/>
            </w:tabs>
            <w:rPr>
              <w:noProof/>
            </w:rPr>
          </w:pPr>
          <w:hyperlink w:anchor="_Toc238372477" w:history="1">
            <w:r w:rsidR="00214A7E" w:rsidRPr="00604D7B">
              <w:rPr>
                <w:rStyle w:val="Hyperlink"/>
                <w:rFonts w:ascii="Times New Roman" w:hAnsi="Times New Roman" w:cs="Times New Roman"/>
                <w:noProof/>
              </w:rPr>
              <w:t>Inclusion and Exclusion Criteria</w:t>
            </w:r>
            <w:r w:rsidR="00214A7E">
              <w:rPr>
                <w:noProof/>
                <w:webHidden/>
              </w:rPr>
              <w:tab/>
            </w:r>
            <w:r w:rsidR="00214A7E">
              <w:rPr>
                <w:noProof/>
                <w:webHidden/>
              </w:rPr>
              <w:fldChar w:fldCharType="begin"/>
            </w:r>
            <w:r w:rsidR="00214A7E">
              <w:rPr>
                <w:noProof/>
                <w:webHidden/>
              </w:rPr>
              <w:instrText xml:space="preserve"> PAGEREF _Toc238372477 \h </w:instrText>
            </w:r>
            <w:r w:rsidR="00214A7E">
              <w:rPr>
                <w:noProof/>
                <w:webHidden/>
              </w:rPr>
            </w:r>
            <w:r w:rsidR="00214A7E">
              <w:rPr>
                <w:noProof/>
                <w:webHidden/>
              </w:rPr>
              <w:fldChar w:fldCharType="separate"/>
            </w:r>
            <w:r w:rsidR="00214A7E">
              <w:rPr>
                <w:noProof/>
                <w:webHidden/>
              </w:rPr>
              <w:t>6</w:t>
            </w:r>
            <w:r w:rsidR="00214A7E">
              <w:rPr>
                <w:noProof/>
                <w:webHidden/>
              </w:rPr>
              <w:fldChar w:fldCharType="end"/>
            </w:r>
          </w:hyperlink>
        </w:p>
        <w:p w:rsidR="00214A7E" w:rsidRDefault="00EB22C3">
          <w:pPr>
            <w:pStyle w:val="TOC3"/>
            <w:tabs>
              <w:tab w:val="right" w:leader="dot" w:pos="10790"/>
            </w:tabs>
            <w:rPr>
              <w:noProof/>
            </w:rPr>
          </w:pPr>
          <w:hyperlink w:anchor="_Toc238372478" w:history="1">
            <w:r w:rsidR="00214A7E" w:rsidRPr="00604D7B">
              <w:rPr>
                <w:rStyle w:val="Hyperlink"/>
                <w:rFonts w:ascii="Times New Roman" w:hAnsi="Times New Roman" w:cs="Times New Roman"/>
                <w:noProof/>
              </w:rPr>
              <w:t>Analytical Procedure and Philosophical Evaluation</w:t>
            </w:r>
            <w:r w:rsidR="00214A7E">
              <w:rPr>
                <w:noProof/>
                <w:webHidden/>
              </w:rPr>
              <w:tab/>
            </w:r>
            <w:r w:rsidR="00214A7E">
              <w:rPr>
                <w:noProof/>
                <w:webHidden/>
              </w:rPr>
              <w:fldChar w:fldCharType="begin"/>
            </w:r>
            <w:r w:rsidR="00214A7E">
              <w:rPr>
                <w:noProof/>
                <w:webHidden/>
              </w:rPr>
              <w:instrText xml:space="preserve"> PAGEREF _Toc238372478 \h </w:instrText>
            </w:r>
            <w:r w:rsidR="00214A7E">
              <w:rPr>
                <w:noProof/>
                <w:webHidden/>
              </w:rPr>
            </w:r>
            <w:r w:rsidR="00214A7E">
              <w:rPr>
                <w:noProof/>
                <w:webHidden/>
              </w:rPr>
              <w:fldChar w:fldCharType="separate"/>
            </w:r>
            <w:r w:rsidR="00214A7E">
              <w:rPr>
                <w:noProof/>
                <w:webHidden/>
              </w:rPr>
              <w:t>6</w:t>
            </w:r>
            <w:r w:rsidR="00214A7E">
              <w:rPr>
                <w:noProof/>
                <w:webHidden/>
              </w:rPr>
              <w:fldChar w:fldCharType="end"/>
            </w:r>
          </w:hyperlink>
        </w:p>
        <w:p w:rsidR="00214A7E" w:rsidRDefault="00EB22C3">
          <w:pPr>
            <w:pStyle w:val="TOC3"/>
            <w:tabs>
              <w:tab w:val="right" w:leader="dot" w:pos="10790"/>
            </w:tabs>
            <w:rPr>
              <w:noProof/>
            </w:rPr>
          </w:pPr>
          <w:hyperlink w:anchor="_Toc238372479" w:history="1">
            <w:r w:rsidR="00214A7E" w:rsidRPr="00604D7B">
              <w:rPr>
                <w:rStyle w:val="Hyperlink"/>
                <w:rFonts w:ascii="Times New Roman" w:hAnsi="Times New Roman" w:cs="Times New Roman"/>
                <w:noProof/>
              </w:rPr>
              <w:t>Limitations of the Review Approach</w:t>
            </w:r>
            <w:r w:rsidR="00214A7E">
              <w:rPr>
                <w:noProof/>
                <w:webHidden/>
              </w:rPr>
              <w:tab/>
            </w:r>
            <w:r w:rsidR="00214A7E">
              <w:rPr>
                <w:noProof/>
                <w:webHidden/>
              </w:rPr>
              <w:fldChar w:fldCharType="begin"/>
            </w:r>
            <w:r w:rsidR="00214A7E">
              <w:rPr>
                <w:noProof/>
                <w:webHidden/>
              </w:rPr>
              <w:instrText xml:space="preserve"> PAGEREF _Toc238372479 \h </w:instrText>
            </w:r>
            <w:r w:rsidR="00214A7E">
              <w:rPr>
                <w:noProof/>
                <w:webHidden/>
              </w:rPr>
            </w:r>
            <w:r w:rsidR="00214A7E">
              <w:rPr>
                <w:noProof/>
                <w:webHidden/>
              </w:rPr>
              <w:fldChar w:fldCharType="separate"/>
            </w:r>
            <w:r w:rsidR="00214A7E">
              <w:rPr>
                <w:noProof/>
                <w:webHidden/>
              </w:rPr>
              <w:t>7</w:t>
            </w:r>
            <w:r w:rsidR="00214A7E">
              <w:rPr>
                <w:noProof/>
                <w:webHidden/>
              </w:rPr>
              <w:fldChar w:fldCharType="end"/>
            </w:r>
          </w:hyperlink>
        </w:p>
        <w:p w:rsidR="00214A7E" w:rsidRDefault="00EB22C3">
          <w:pPr>
            <w:pStyle w:val="TOC1"/>
            <w:tabs>
              <w:tab w:val="right" w:leader="dot" w:pos="10790"/>
            </w:tabs>
            <w:rPr>
              <w:noProof/>
            </w:rPr>
          </w:pPr>
          <w:hyperlink w:anchor="_Toc238372480" w:history="1">
            <w:r w:rsidR="00214A7E" w:rsidRPr="00604D7B">
              <w:rPr>
                <w:rStyle w:val="Hyperlink"/>
                <w:rFonts w:ascii="Times New Roman" w:eastAsia="Times New Roman" w:hAnsi="Times New Roman" w:cs="Times New Roman"/>
                <w:b/>
                <w:bCs/>
                <w:noProof/>
                <w:kern w:val="36"/>
                <w:lang w:val="en-GB" w:eastAsia="en-GB"/>
              </w:rPr>
              <w:t>3. Critical Literature Review</w:t>
            </w:r>
            <w:r w:rsidR="00214A7E">
              <w:rPr>
                <w:noProof/>
                <w:webHidden/>
              </w:rPr>
              <w:tab/>
            </w:r>
            <w:r w:rsidR="00214A7E">
              <w:rPr>
                <w:noProof/>
                <w:webHidden/>
              </w:rPr>
              <w:fldChar w:fldCharType="begin"/>
            </w:r>
            <w:r w:rsidR="00214A7E">
              <w:rPr>
                <w:noProof/>
                <w:webHidden/>
              </w:rPr>
              <w:instrText xml:space="preserve"> PAGEREF _Toc238372480 \h </w:instrText>
            </w:r>
            <w:r w:rsidR="00214A7E">
              <w:rPr>
                <w:noProof/>
                <w:webHidden/>
              </w:rPr>
            </w:r>
            <w:r w:rsidR="00214A7E">
              <w:rPr>
                <w:noProof/>
                <w:webHidden/>
              </w:rPr>
              <w:fldChar w:fldCharType="separate"/>
            </w:r>
            <w:r w:rsidR="00214A7E">
              <w:rPr>
                <w:noProof/>
                <w:webHidden/>
              </w:rPr>
              <w:t>8</w:t>
            </w:r>
            <w:r w:rsidR="00214A7E">
              <w:rPr>
                <w:noProof/>
                <w:webHidden/>
              </w:rPr>
              <w:fldChar w:fldCharType="end"/>
            </w:r>
          </w:hyperlink>
        </w:p>
        <w:p w:rsidR="00214A7E" w:rsidRDefault="00EB22C3">
          <w:pPr>
            <w:pStyle w:val="TOC3"/>
            <w:tabs>
              <w:tab w:val="right" w:leader="dot" w:pos="10790"/>
            </w:tabs>
            <w:rPr>
              <w:noProof/>
            </w:rPr>
          </w:pPr>
          <w:hyperlink w:anchor="_Toc238372481" w:history="1">
            <w:r w:rsidR="00214A7E" w:rsidRPr="00604D7B">
              <w:rPr>
                <w:rStyle w:val="Hyperlink"/>
                <w:rFonts w:ascii="Times New Roman" w:eastAsia="Times New Roman" w:hAnsi="Times New Roman" w:cs="Times New Roman"/>
                <w:b/>
                <w:bCs/>
                <w:noProof/>
                <w:lang w:val="en-GB" w:eastAsia="en-GB"/>
              </w:rPr>
              <w:t>3.1 Theme 1: The Linear vs. Non-Linear Dynamics of WCM and Firm Performance</w:t>
            </w:r>
            <w:r w:rsidR="00214A7E">
              <w:rPr>
                <w:noProof/>
                <w:webHidden/>
              </w:rPr>
              <w:tab/>
            </w:r>
            <w:r w:rsidR="00214A7E">
              <w:rPr>
                <w:noProof/>
                <w:webHidden/>
              </w:rPr>
              <w:fldChar w:fldCharType="begin"/>
            </w:r>
            <w:r w:rsidR="00214A7E">
              <w:rPr>
                <w:noProof/>
                <w:webHidden/>
              </w:rPr>
              <w:instrText xml:space="preserve"> PAGEREF _Toc238372481 \h </w:instrText>
            </w:r>
            <w:r w:rsidR="00214A7E">
              <w:rPr>
                <w:noProof/>
                <w:webHidden/>
              </w:rPr>
            </w:r>
            <w:r w:rsidR="00214A7E">
              <w:rPr>
                <w:noProof/>
                <w:webHidden/>
              </w:rPr>
              <w:fldChar w:fldCharType="separate"/>
            </w:r>
            <w:r w:rsidR="00214A7E">
              <w:rPr>
                <w:noProof/>
                <w:webHidden/>
              </w:rPr>
              <w:t>8</w:t>
            </w:r>
            <w:r w:rsidR="00214A7E">
              <w:rPr>
                <w:noProof/>
                <w:webHidden/>
              </w:rPr>
              <w:fldChar w:fldCharType="end"/>
            </w:r>
          </w:hyperlink>
        </w:p>
        <w:p w:rsidR="00214A7E" w:rsidRDefault="00EB22C3">
          <w:pPr>
            <w:pStyle w:val="TOC3"/>
            <w:tabs>
              <w:tab w:val="right" w:leader="dot" w:pos="10790"/>
            </w:tabs>
            <w:rPr>
              <w:noProof/>
            </w:rPr>
          </w:pPr>
          <w:hyperlink w:anchor="_Toc238372482" w:history="1">
            <w:r w:rsidR="00214A7E" w:rsidRPr="00604D7B">
              <w:rPr>
                <w:rStyle w:val="Hyperlink"/>
                <w:rFonts w:ascii="Times New Roman" w:eastAsia="Times New Roman" w:hAnsi="Times New Roman" w:cs="Times New Roman"/>
                <w:b/>
                <w:bCs/>
                <w:noProof/>
                <w:lang w:val="en-GB" w:eastAsia="en-GB"/>
              </w:rPr>
              <w:t>3.2 Theme 2: Macroeconomic Contingencies and Interest Rate Transmission</w:t>
            </w:r>
            <w:r w:rsidR="00214A7E">
              <w:rPr>
                <w:noProof/>
                <w:webHidden/>
              </w:rPr>
              <w:tab/>
            </w:r>
            <w:r w:rsidR="00214A7E">
              <w:rPr>
                <w:noProof/>
                <w:webHidden/>
              </w:rPr>
              <w:fldChar w:fldCharType="begin"/>
            </w:r>
            <w:r w:rsidR="00214A7E">
              <w:rPr>
                <w:noProof/>
                <w:webHidden/>
              </w:rPr>
              <w:instrText xml:space="preserve"> PAGEREF _Toc238372482 \h </w:instrText>
            </w:r>
            <w:r w:rsidR="00214A7E">
              <w:rPr>
                <w:noProof/>
                <w:webHidden/>
              </w:rPr>
            </w:r>
            <w:r w:rsidR="00214A7E">
              <w:rPr>
                <w:noProof/>
                <w:webHidden/>
              </w:rPr>
              <w:fldChar w:fldCharType="separate"/>
            </w:r>
            <w:r w:rsidR="00214A7E">
              <w:rPr>
                <w:noProof/>
                <w:webHidden/>
              </w:rPr>
              <w:t>9</w:t>
            </w:r>
            <w:r w:rsidR="00214A7E">
              <w:rPr>
                <w:noProof/>
                <w:webHidden/>
              </w:rPr>
              <w:fldChar w:fldCharType="end"/>
            </w:r>
          </w:hyperlink>
        </w:p>
        <w:p w:rsidR="00214A7E" w:rsidRDefault="00EB22C3">
          <w:pPr>
            <w:pStyle w:val="TOC3"/>
            <w:tabs>
              <w:tab w:val="right" w:leader="dot" w:pos="10790"/>
            </w:tabs>
            <w:rPr>
              <w:noProof/>
            </w:rPr>
          </w:pPr>
          <w:hyperlink w:anchor="_Toc238372483" w:history="1">
            <w:r w:rsidR="00214A7E" w:rsidRPr="00604D7B">
              <w:rPr>
                <w:rStyle w:val="Hyperlink"/>
                <w:rFonts w:ascii="Times New Roman" w:eastAsia="Times New Roman" w:hAnsi="Times New Roman" w:cs="Times New Roman"/>
                <w:b/>
                <w:bCs/>
                <w:noProof/>
                <w:lang w:val="en-GB" w:eastAsia="en-GB"/>
              </w:rPr>
              <w:t>3.3 Theme 3: Methodological Tensions and Econometric Debates</w:t>
            </w:r>
            <w:r w:rsidR="00214A7E">
              <w:rPr>
                <w:noProof/>
                <w:webHidden/>
              </w:rPr>
              <w:tab/>
            </w:r>
            <w:r w:rsidR="00214A7E">
              <w:rPr>
                <w:noProof/>
                <w:webHidden/>
              </w:rPr>
              <w:fldChar w:fldCharType="begin"/>
            </w:r>
            <w:r w:rsidR="00214A7E">
              <w:rPr>
                <w:noProof/>
                <w:webHidden/>
              </w:rPr>
              <w:instrText xml:space="preserve"> PAGEREF _Toc238372483 \h </w:instrText>
            </w:r>
            <w:r w:rsidR="00214A7E">
              <w:rPr>
                <w:noProof/>
                <w:webHidden/>
              </w:rPr>
            </w:r>
            <w:r w:rsidR="00214A7E">
              <w:rPr>
                <w:noProof/>
                <w:webHidden/>
              </w:rPr>
              <w:fldChar w:fldCharType="separate"/>
            </w:r>
            <w:r w:rsidR="00214A7E">
              <w:rPr>
                <w:noProof/>
                <w:webHidden/>
              </w:rPr>
              <w:t>11</w:t>
            </w:r>
            <w:r w:rsidR="00214A7E">
              <w:rPr>
                <w:noProof/>
                <w:webHidden/>
              </w:rPr>
              <w:fldChar w:fldCharType="end"/>
            </w:r>
          </w:hyperlink>
        </w:p>
        <w:p w:rsidR="00214A7E" w:rsidRDefault="00EB22C3">
          <w:pPr>
            <w:pStyle w:val="TOC3"/>
            <w:tabs>
              <w:tab w:val="right" w:leader="dot" w:pos="10790"/>
            </w:tabs>
            <w:rPr>
              <w:noProof/>
            </w:rPr>
          </w:pPr>
          <w:hyperlink w:anchor="_Toc238372484" w:history="1">
            <w:r w:rsidR="00214A7E" w:rsidRPr="00604D7B">
              <w:rPr>
                <w:rStyle w:val="Hyperlink"/>
                <w:rFonts w:ascii="Times New Roman" w:eastAsia="Times New Roman" w:hAnsi="Times New Roman" w:cs="Times New Roman"/>
                <w:b/>
                <w:bCs/>
                <w:noProof/>
                <w:lang w:val="en-GB" w:eastAsia="en-GB"/>
              </w:rPr>
              <w:t>3.4 Synthesis and Research Gaps</w:t>
            </w:r>
            <w:r w:rsidR="00214A7E">
              <w:rPr>
                <w:noProof/>
                <w:webHidden/>
              </w:rPr>
              <w:tab/>
            </w:r>
            <w:r w:rsidR="00214A7E">
              <w:rPr>
                <w:noProof/>
                <w:webHidden/>
              </w:rPr>
              <w:fldChar w:fldCharType="begin"/>
            </w:r>
            <w:r w:rsidR="00214A7E">
              <w:rPr>
                <w:noProof/>
                <w:webHidden/>
              </w:rPr>
              <w:instrText xml:space="preserve"> PAGEREF _Toc238372484 \h </w:instrText>
            </w:r>
            <w:r w:rsidR="00214A7E">
              <w:rPr>
                <w:noProof/>
                <w:webHidden/>
              </w:rPr>
            </w:r>
            <w:r w:rsidR="00214A7E">
              <w:rPr>
                <w:noProof/>
                <w:webHidden/>
              </w:rPr>
              <w:fldChar w:fldCharType="separate"/>
            </w:r>
            <w:r w:rsidR="00214A7E">
              <w:rPr>
                <w:noProof/>
                <w:webHidden/>
              </w:rPr>
              <w:t>12</w:t>
            </w:r>
            <w:r w:rsidR="00214A7E">
              <w:rPr>
                <w:noProof/>
                <w:webHidden/>
              </w:rPr>
              <w:fldChar w:fldCharType="end"/>
            </w:r>
          </w:hyperlink>
        </w:p>
        <w:p w:rsidR="00214A7E" w:rsidRDefault="00EB22C3">
          <w:pPr>
            <w:pStyle w:val="TOC1"/>
            <w:tabs>
              <w:tab w:val="right" w:leader="dot" w:pos="10790"/>
            </w:tabs>
            <w:rPr>
              <w:noProof/>
            </w:rPr>
          </w:pPr>
          <w:hyperlink w:anchor="_Toc238372485" w:history="1">
            <w:r w:rsidR="00214A7E" w:rsidRPr="00604D7B">
              <w:rPr>
                <w:rStyle w:val="Hyperlink"/>
                <w:rFonts w:ascii="Times New Roman" w:eastAsia="Times New Roman" w:hAnsi="Times New Roman" w:cs="Times New Roman"/>
                <w:b/>
                <w:bCs/>
                <w:noProof/>
                <w:kern w:val="36"/>
                <w:lang w:val="en-GB" w:eastAsia="en-GB"/>
              </w:rPr>
              <w:t>4. Philosophical and Methodological Analysis of One Selected Study</w:t>
            </w:r>
            <w:r w:rsidR="00214A7E">
              <w:rPr>
                <w:noProof/>
                <w:webHidden/>
              </w:rPr>
              <w:tab/>
            </w:r>
            <w:r w:rsidR="00214A7E">
              <w:rPr>
                <w:noProof/>
                <w:webHidden/>
              </w:rPr>
              <w:fldChar w:fldCharType="begin"/>
            </w:r>
            <w:r w:rsidR="00214A7E">
              <w:rPr>
                <w:noProof/>
                <w:webHidden/>
              </w:rPr>
              <w:instrText xml:space="preserve"> PAGEREF _Toc238372485 \h </w:instrText>
            </w:r>
            <w:r w:rsidR="00214A7E">
              <w:rPr>
                <w:noProof/>
                <w:webHidden/>
              </w:rPr>
            </w:r>
            <w:r w:rsidR="00214A7E">
              <w:rPr>
                <w:noProof/>
                <w:webHidden/>
              </w:rPr>
              <w:fldChar w:fldCharType="separate"/>
            </w:r>
            <w:r w:rsidR="00214A7E">
              <w:rPr>
                <w:noProof/>
                <w:webHidden/>
              </w:rPr>
              <w:t>14</w:t>
            </w:r>
            <w:r w:rsidR="00214A7E">
              <w:rPr>
                <w:noProof/>
                <w:webHidden/>
              </w:rPr>
              <w:fldChar w:fldCharType="end"/>
            </w:r>
          </w:hyperlink>
        </w:p>
        <w:p w:rsidR="00214A7E" w:rsidRDefault="00EB22C3">
          <w:pPr>
            <w:pStyle w:val="TOC3"/>
            <w:tabs>
              <w:tab w:val="right" w:leader="dot" w:pos="10790"/>
            </w:tabs>
            <w:rPr>
              <w:noProof/>
            </w:rPr>
          </w:pPr>
          <w:hyperlink w:anchor="_Toc238372486" w:history="1">
            <w:r w:rsidR="00214A7E" w:rsidRPr="00604D7B">
              <w:rPr>
                <w:rStyle w:val="Hyperlink"/>
                <w:rFonts w:ascii="Times New Roman" w:eastAsia="Times New Roman" w:hAnsi="Times New Roman" w:cs="Times New Roman"/>
                <w:b/>
                <w:bCs/>
                <w:noProof/>
                <w:lang w:val="en-GB" w:eastAsia="en-GB"/>
              </w:rPr>
              <w:t>4.1 Overview of the Selected Study</w:t>
            </w:r>
            <w:r w:rsidR="00214A7E">
              <w:rPr>
                <w:noProof/>
                <w:webHidden/>
              </w:rPr>
              <w:tab/>
            </w:r>
            <w:r w:rsidR="00214A7E">
              <w:rPr>
                <w:noProof/>
                <w:webHidden/>
              </w:rPr>
              <w:fldChar w:fldCharType="begin"/>
            </w:r>
            <w:r w:rsidR="00214A7E">
              <w:rPr>
                <w:noProof/>
                <w:webHidden/>
              </w:rPr>
              <w:instrText xml:space="preserve"> PAGEREF _Toc238372486 \h </w:instrText>
            </w:r>
            <w:r w:rsidR="00214A7E">
              <w:rPr>
                <w:noProof/>
                <w:webHidden/>
              </w:rPr>
            </w:r>
            <w:r w:rsidR="00214A7E">
              <w:rPr>
                <w:noProof/>
                <w:webHidden/>
              </w:rPr>
              <w:fldChar w:fldCharType="separate"/>
            </w:r>
            <w:r w:rsidR="00214A7E">
              <w:rPr>
                <w:noProof/>
                <w:webHidden/>
              </w:rPr>
              <w:t>14</w:t>
            </w:r>
            <w:r w:rsidR="00214A7E">
              <w:rPr>
                <w:noProof/>
                <w:webHidden/>
              </w:rPr>
              <w:fldChar w:fldCharType="end"/>
            </w:r>
          </w:hyperlink>
        </w:p>
        <w:p w:rsidR="00214A7E" w:rsidRDefault="00EB22C3">
          <w:pPr>
            <w:pStyle w:val="TOC3"/>
            <w:tabs>
              <w:tab w:val="right" w:leader="dot" w:pos="10790"/>
            </w:tabs>
            <w:rPr>
              <w:noProof/>
            </w:rPr>
          </w:pPr>
          <w:hyperlink w:anchor="_Toc238372487" w:history="1">
            <w:r w:rsidR="00214A7E" w:rsidRPr="00604D7B">
              <w:rPr>
                <w:rStyle w:val="Hyperlink"/>
                <w:rFonts w:ascii="Times New Roman" w:eastAsia="Times New Roman" w:hAnsi="Times New Roman" w:cs="Times New Roman"/>
                <w:b/>
                <w:bCs/>
                <w:noProof/>
                <w:lang w:val="en-GB" w:eastAsia="en-GB"/>
              </w:rPr>
              <w:t>4.2 Ontology and Epistemology of the Study</w:t>
            </w:r>
            <w:r w:rsidR="00214A7E">
              <w:rPr>
                <w:noProof/>
                <w:webHidden/>
              </w:rPr>
              <w:tab/>
            </w:r>
            <w:r w:rsidR="00214A7E">
              <w:rPr>
                <w:noProof/>
                <w:webHidden/>
              </w:rPr>
              <w:fldChar w:fldCharType="begin"/>
            </w:r>
            <w:r w:rsidR="00214A7E">
              <w:rPr>
                <w:noProof/>
                <w:webHidden/>
              </w:rPr>
              <w:instrText xml:space="preserve"> PAGEREF _Toc238372487 \h </w:instrText>
            </w:r>
            <w:r w:rsidR="00214A7E">
              <w:rPr>
                <w:noProof/>
                <w:webHidden/>
              </w:rPr>
            </w:r>
            <w:r w:rsidR="00214A7E">
              <w:rPr>
                <w:noProof/>
                <w:webHidden/>
              </w:rPr>
              <w:fldChar w:fldCharType="separate"/>
            </w:r>
            <w:r w:rsidR="00214A7E">
              <w:rPr>
                <w:noProof/>
                <w:webHidden/>
              </w:rPr>
              <w:t>14</w:t>
            </w:r>
            <w:r w:rsidR="00214A7E">
              <w:rPr>
                <w:noProof/>
                <w:webHidden/>
              </w:rPr>
              <w:fldChar w:fldCharType="end"/>
            </w:r>
          </w:hyperlink>
        </w:p>
        <w:p w:rsidR="00214A7E" w:rsidRDefault="00EB22C3">
          <w:pPr>
            <w:pStyle w:val="TOC3"/>
            <w:tabs>
              <w:tab w:val="right" w:leader="dot" w:pos="10790"/>
            </w:tabs>
            <w:rPr>
              <w:noProof/>
            </w:rPr>
          </w:pPr>
          <w:hyperlink w:anchor="_Toc238372488" w:history="1">
            <w:r w:rsidR="00214A7E" w:rsidRPr="00604D7B">
              <w:rPr>
                <w:rStyle w:val="Hyperlink"/>
                <w:rFonts w:ascii="Times New Roman" w:eastAsia="Times New Roman" w:hAnsi="Times New Roman" w:cs="Times New Roman"/>
                <w:b/>
                <w:bCs/>
                <w:noProof/>
                <w:lang w:val="en-GB" w:eastAsia="en-GB"/>
              </w:rPr>
              <w:t>4.3 Axiology and Researcher Positionality</w:t>
            </w:r>
            <w:r w:rsidR="00214A7E">
              <w:rPr>
                <w:noProof/>
                <w:webHidden/>
              </w:rPr>
              <w:tab/>
            </w:r>
            <w:r w:rsidR="00214A7E">
              <w:rPr>
                <w:noProof/>
                <w:webHidden/>
              </w:rPr>
              <w:fldChar w:fldCharType="begin"/>
            </w:r>
            <w:r w:rsidR="00214A7E">
              <w:rPr>
                <w:noProof/>
                <w:webHidden/>
              </w:rPr>
              <w:instrText xml:space="preserve"> PAGEREF _Toc238372488 \h </w:instrText>
            </w:r>
            <w:r w:rsidR="00214A7E">
              <w:rPr>
                <w:noProof/>
                <w:webHidden/>
              </w:rPr>
            </w:r>
            <w:r w:rsidR="00214A7E">
              <w:rPr>
                <w:noProof/>
                <w:webHidden/>
              </w:rPr>
              <w:fldChar w:fldCharType="separate"/>
            </w:r>
            <w:r w:rsidR="00214A7E">
              <w:rPr>
                <w:noProof/>
                <w:webHidden/>
              </w:rPr>
              <w:t>15</w:t>
            </w:r>
            <w:r w:rsidR="00214A7E">
              <w:rPr>
                <w:noProof/>
                <w:webHidden/>
              </w:rPr>
              <w:fldChar w:fldCharType="end"/>
            </w:r>
          </w:hyperlink>
        </w:p>
        <w:p w:rsidR="00214A7E" w:rsidRDefault="00EB22C3">
          <w:pPr>
            <w:pStyle w:val="TOC3"/>
            <w:tabs>
              <w:tab w:val="right" w:leader="dot" w:pos="10790"/>
            </w:tabs>
            <w:rPr>
              <w:noProof/>
            </w:rPr>
          </w:pPr>
          <w:hyperlink w:anchor="_Toc238372489" w:history="1">
            <w:r w:rsidR="00214A7E" w:rsidRPr="00604D7B">
              <w:rPr>
                <w:rStyle w:val="Hyperlink"/>
                <w:rFonts w:ascii="Times New Roman" w:eastAsia="Times New Roman" w:hAnsi="Times New Roman" w:cs="Times New Roman"/>
                <w:b/>
                <w:bCs/>
                <w:noProof/>
                <w:lang w:val="en-GB" w:eastAsia="en-GB"/>
              </w:rPr>
              <w:t>4.4 Methodological Quality: Reliability, Validity &amp; Trustworthiness</w:t>
            </w:r>
            <w:r w:rsidR="00214A7E">
              <w:rPr>
                <w:noProof/>
                <w:webHidden/>
              </w:rPr>
              <w:tab/>
            </w:r>
            <w:r w:rsidR="00214A7E">
              <w:rPr>
                <w:noProof/>
                <w:webHidden/>
              </w:rPr>
              <w:fldChar w:fldCharType="begin"/>
            </w:r>
            <w:r w:rsidR="00214A7E">
              <w:rPr>
                <w:noProof/>
                <w:webHidden/>
              </w:rPr>
              <w:instrText xml:space="preserve"> PAGEREF _Toc238372489 \h </w:instrText>
            </w:r>
            <w:r w:rsidR="00214A7E">
              <w:rPr>
                <w:noProof/>
                <w:webHidden/>
              </w:rPr>
            </w:r>
            <w:r w:rsidR="00214A7E">
              <w:rPr>
                <w:noProof/>
                <w:webHidden/>
              </w:rPr>
              <w:fldChar w:fldCharType="separate"/>
            </w:r>
            <w:r w:rsidR="00214A7E">
              <w:rPr>
                <w:noProof/>
                <w:webHidden/>
              </w:rPr>
              <w:t>16</w:t>
            </w:r>
            <w:r w:rsidR="00214A7E">
              <w:rPr>
                <w:noProof/>
                <w:webHidden/>
              </w:rPr>
              <w:fldChar w:fldCharType="end"/>
            </w:r>
          </w:hyperlink>
        </w:p>
        <w:p w:rsidR="00214A7E" w:rsidRDefault="00EB22C3">
          <w:pPr>
            <w:pStyle w:val="TOC3"/>
            <w:tabs>
              <w:tab w:val="right" w:leader="dot" w:pos="10790"/>
            </w:tabs>
            <w:rPr>
              <w:noProof/>
            </w:rPr>
          </w:pPr>
          <w:hyperlink w:anchor="_Toc238372490" w:history="1">
            <w:r w:rsidR="00214A7E" w:rsidRPr="00604D7B">
              <w:rPr>
                <w:rStyle w:val="Hyperlink"/>
                <w:rFonts w:ascii="Times New Roman" w:eastAsia="Times New Roman" w:hAnsi="Times New Roman" w:cs="Times New Roman"/>
                <w:b/>
                <w:bCs/>
                <w:noProof/>
                <w:lang w:val="en-GB" w:eastAsia="en-GB"/>
              </w:rPr>
              <w:t>4.6 Critical Appraisal</w:t>
            </w:r>
            <w:r w:rsidR="00214A7E">
              <w:rPr>
                <w:noProof/>
                <w:webHidden/>
              </w:rPr>
              <w:tab/>
            </w:r>
            <w:r w:rsidR="00214A7E">
              <w:rPr>
                <w:noProof/>
                <w:webHidden/>
              </w:rPr>
              <w:fldChar w:fldCharType="begin"/>
            </w:r>
            <w:r w:rsidR="00214A7E">
              <w:rPr>
                <w:noProof/>
                <w:webHidden/>
              </w:rPr>
              <w:instrText xml:space="preserve"> PAGEREF _Toc238372490 \h </w:instrText>
            </w:r>
            <w:r w:rsidR="00214A7E">
              <w:rPr>
                <w:noProof/>
                <w:webHidden/>
              </w:rPr>
            </w:r>
            <w:r w:rsidR="00214A7E">
              <w:rPr>
                <w:noProof/>
                <w:webHidden/>
              </w:rPr>
              <w:fldChar w:fldCharType="separate"/>
            </w:r>
            <w:r w:rsidR="00214A7E">
              <w:rPr>
                <w:noProof/>
                <w:webHidden/>
              </w:rPr>
              <w:t>17</w:t>
            </w:r>
            <w:r w:rsidR="00214A7E">
              <w:rPr>
                <w:noProof/>
                <w:webHidden/>
              </w:rPr>
              <w:fldChar w:fldCharType="end"/>
            </w:r>
          </w:hyperlink>
        </w:p>
        <w:p w:rsidR="00214A7E" w:rsidRDefault="00EB22C3">
          <w:pPr>
            <w:pStyle w:val="TOC1"/>
            <w:tabs>
              <w:tab w:val="right" w:leader="dot" w:pos="10790"/>
            </w:tabs>
            <w:rPr>
              <w:noProof/>
            </w:rPr>
          </w:pPr>
          <w:hyperlink w:anchor="_Toc238372491" w:history="1">
            <w:r w:rsidR="00214A7E" w:rsidRPr="00604D7B">
              <w:rPr>
                <w:rStyle w:val="Hyperlink"/>
                <w:rFonts w:ascii="Times New Roman" w:eastAsia="Times New Roman" w:hAnsi="Times New Roman" w:cs="Times New Roman"/>
                <w:b/>
                <w:bCs/>
                <w:noProof/>
                <w:kern w:val="36"/>
                <w:lang w:val="en-GB" w:eastAsia="en-GB"/>
              </w:rPr>
              <w:t>5. Discussion and Contribution</w:t>
            </w:r>
            <w:r w:rsidR="00214A7E">
              <w:rPr>
                <w:noProof/>
                <w:webHidden/>
              </w:rPr>
              <w:tab/>
            </w:r>
            <w:r w:rsidR="00214A7E">
              <w:rPr>
                <w:noProof/>
                <w:webHidden/>
              </w:rPr>
              <w:fldChar w:fldCharType="begin"/>
            </w:r>
            <w:r w:rsidR="00214A7E">
              <w:rPr>
                <w:noProof/>
                <w:webHidden/>
              </w:rPr>
              <w:instrText xml:space="preserve"> PAGEREF _Toc238372491 \h </w:instrText>
            </w:r>
            <w:r w:rsidR="00214A7E">
              <w:rPr>
                <w:noProof/>
                <w:webHidden/>
              </w:rPr>
            </w:r>
            <w:r w:rsidR="00214A7E">
              <w:rPr>
                <w:noProof/>
                <w:webHidden/>
              </w:rPr>
              <w:fldChar w:fldCharType="separate"/>
            </w:r>
            <w:r w:rsidR="00214A7E">
              <w:rPr>
                <w:noProof/>
                <w:webHidden/>
              </w:rPr>
              <w:t>19</w:t>
            </w:r>
            <w:r w:rsidR="00214A7E">
              <w:rPr>
                <w:noProof/>
                <w:webHidden/>
              </w:rPr>
              <w:fldChar w:fldCharType="end"/>
            </w:r>
          </w:hyperlink>
        </w:p>
        <w:p w:rsidR="00214A7E" w:rsidRDefault="00EB22C3">
          <w:pPr>
            <w:pStyle w:val="TOC3"/>
            <w:tabs>
              <w:tab w:val="right" w:leader="dot" w:pos="10790"/>
            </w:tabs>
            <w:rPr>
              <w:noProof/>
            </w:rPr>
          </w:pPr>
          <w:hyperlink w:anchor="_Toc238372492" w:history="1">
            <w:r w:rsidR="00214A7E" w:rsidRPr="00604D7B">
              <w:rPr>
                <w:rStyle w:val="Hyperlink"/>
                <w:rFonts w:ascii="Times New Roman" w:hAnsi="Times New Roman" w:cs="Times New Roman"/>
                <w:noProof/>
              </w:rPr>
              <w:t>Implications for Theory</w:t>
            </w:r>
            <w:r w:rsidR="00214A7E">
              <w:rPr>
                <w:noProof/>
                <w:webHidden/>
              </w:rPr>
              <w:tab/>
            </w:r>
            <w:r w:rsidR="00214A7E">
              <w:rPr>
                <w:noProof/>
                <w:webHidden/>
              </w:rPr>
              <w:fldChar w:fldCharType="begin"/>
            </w:r>
            <w:r w:rsidR="00214A7E">
              <w:rPr>
                <w:noProof/>
                <w:webHidden/>
              </w:rPr>
              <w:instrText xml:space="preserve"> PAGEREF _Toc238372492 \h </w:instrText>
            </w:r>
            <w:r w:rsidR="00214A7E">
              <w:rPr>
                <w:noProof/>
                <w:webHidden/>
              </w:rPr>
            </w:r>
            <w:r w:rsidR="00214A7E">
              <w:rPr>
                <w:noProof/>
                <w:webHidden/>
              </w:rPr>
              <w:fldChar w:fldCharType="separate"/>
            </w:r>
            <w:r w:rsidR="00214A7E">
              <w:rPr>
                <w:noProof/>
                <w:webHidden/>
              </w:rPr>
              <w:t>19</w:t>
            </w:r>
            <w:r w:rsidR="00214A7E">
              <w:rPr>
                <w:noProof/>
                <w:webHidden/>
              </w:rPr>
              <w:fldChar w:fldCharType="end"/>
            </w:r>
          </w:hyperlink>
        </w:p>
        <w:p w:rsidR="00214A7E" w:rsidRDefault="00EB22C3">
          <w:pPr>
            <w:pStyle w:val="TOC3"/>
            <w:tabs>
              <w:tab w:val="right" w:leader="dot" w:pos="10790"/>
            </w:tabs>
            <w:rPr>
              <w:noProof/>
            </w:rPr>
          </w:pPr>
          <w:hyperlink w:anchor="_Toc238372493" w:history="1">
            <w:r w:rsidR="00214A7E" w:rsidRPr="00604D7B">
              <w:rPr>
                <w:rStyle w:val="Hyperlink"/>
                <w:rFonts w:ascii="Times New Roman" w:hAnsi="Times New Roman" w:cs="Times New Roman"/>
                <w:noProof/>
              </w:rPr>
              <w:t>Implications for Methodological Choices</w:t>
            </w:r>
            <w:r w:rsidR="00214A7E">
              <w:rPr>
                <w:noProof/>
                <w:webHidden/>
              </w:rPr>
              <w:tab/>
            </w:r>
            <w:r w:rsidR="00214A7E">
              <w:rPr>
                <w:noProof/>
                <w:webHidden/>
              </w:rPr>
              <w:fldChar w:fldCharType="begin"/>
            </w:r>
            <w:r w:rsidR="00214A7E">
              <w:rPr>
                <w:noProof/>
                <w:webHidden/>
              </w:rPr>
              <w:instrText xml:space="preserve"> PAGEREF _Toc238372493 \h </w:instrText>
            </w:r>
            <w:r w:rsidR="00214A7E">
              <w:rPr>
                <w:noProof/>
                <w:webHidden/>
              </w:rPr>
            </w:r>
            <w:r w:rsidR="00214A7E">
              <w:rPr>
                <w:noProof/>
                <w:webHidden/>
              </w:rPr>
              <w:fldChar w:fldCharType="separate"/>
            </w:r>
            <w:r w:rsidR="00214A7E">
              <w:rPr>
                <w:noProof/>
                <w:webHidden/>
              </w:rPr>
              <w:t>19</w:t>
            </w:r>
            <w:r w:rsidR="00214A7E">
              <w:rPr>
                <w:noProof/>
                <w:webHidden/>
              </w:rPr>
              <w:fldChar w:fldCharType="end"/>
            </w:r>
          </w:hyperlink>
        </w:p>
        <w:p w:rsidR="00214A7E" w:rsidRDefault="00EB22C3">
          <w:pPr>
            <w:pStyle w:val="TOC3"/>
            <w:tabs>
              <w:tab w:val="right" w:leader="dot" w:pos="10790"/>
            </w:tabs>
            <w:rPr>
              <w:noProof/>
            </w:rPr>
          </w:pPr>
          <w:hyperlink w:anchor="_Toc238372494" w:history="1">
            <w:r w:rsidR="00214A7E" w:rsidRPr="00604D7B">
              <w:rPr>
                <w:rStyle w:val="Hyperlink"/>
                <w:rFonts w:ascii="Times New Roman" w:hAnsi="Times New Roman" w:cs="Times New Roman"/>
                <w:noProof/>
              </w:rPr>
              <w:t>Implications for Management Practice</w:t>
            </w:r>
            <w:r w:rsidR="00214A7E">
              <w:rPr>
                <w:noProof/>
                <w:webHidden/>
              </w:rPr>
              <w:tab/>
            </w:r>
            <w:r w:rsidR="00214A7E">
              <w:rPr>
                <w:noProof/>
                <w:webHidden/>
              </w:rPr>
              <w:fldChar w:fldCharType="begin"/>
            </w:r>
            <w:r w:rsidR="00214A7E">
              <w:rPr>
                <w:noProof/>
                <w:webHidden/>
              </w:rPr>
              <w:instrText xml:space="preserve"> PAGEREF _Toc238372494 \h </w:instrText>
            </w:r>
            <w:r w:rsidR="00214A7E">
              <w:rPr>
                <w:noProof/>
                <w:webHidden/>
              </w:rPr>
            </w:r>
            <w:r w:rsidR="00214A7E">
              <w:rPr>
                <w:noProof/>
                <w:webHidden/>
              </w:rPr>
              <w:fldChar w:fldCharType="separate"/>
            </w:r>
            <w:r w:rsidR="00214A7E">
              <w:rPr>
                <w:noProof/>
                <w:webHidden/>
              </w:rPr>
              <w:t>20</w:t>
            </w:r>
            <w:r w:rsidR="00214A7E">
              <w:rPr>
                <w:noProof/>
                <w:webHidden/>
              </w:rPr>
              <w:fldChar w:fldCharType="end"/>
            </w:r>
          </w:hyperlink>
        </w:p>
        <w:p w:rsidR="00214A7E" w:rsidRDefault="00EB22C3">
          <w:pPr>
            <w:pStyle w:val="TOC1"/>
            <w:tabs>
              <w:tab w:val="right" w:leader="dot" w:pos="10790"/>
            </w:tabs>
            <w:rPr>
              <w:noProof/>
            </w:rPr>
          </w:pPr>
          <w:hyperlink w:anchor="_Toc238372495" w:history="1">
            <w:r w:rsidR="00214A7E" w:rsidRPr="00604D7B">
              <w:rPr>
                <w:rStyle w:val="Hyperlink"/>
                <w:rFonts w:ascii="Times New Roman" w:eastAsia="Times New Roman" w:hAnsi="Times New Roman" w:cs="Times New Roman"/>
                <w:b/>
                <w:bCs/>
                <w:noProof/>
                <w:kern w:val="36"/>
                <w:lang w:val="en-GB" w:eastAsia="en-GB"/>
              </w:rPr>
              <w:t>6. Conclusion</w:t>
            </w:r>
            <w:r w:rsidR="00214A7E">
              <w:rPr>
                <w:noProof/>
                <w:webHidden/>
              </w:rPr>
              <w:tab/>
            </w:r>
            <w:r w:rsidR="00214A7E">
              <w:rPr>
                <w:noProof/>
                <w:webHidden/>
              </w:rPr>
              <w:fldChar w:fldCharType="begin"/>
            </w:r>
            <w:r w:rsidR="00214A7E">
              <w:rPr>
                <w:noProof/>
                <w:webHidden/>
              </w:rPr>
              <w:instrText xml:space="preserve"> PAGEREF _Toc238372495 \h </w:instrText>
            </w:r>
            <w:r w:rsidR="00214A7E">
              <w:rPr>
                <w:noProof/>
                <w:webHidden/>
              </w:rPr>
            </w:r>
            <w:r w:rsidR="00214A7E">
              <w:rPr>
                <w:noProof/>
                <w:webHidden/>
              </w:rPr>
              <w:fldChar w:fldCharType="separate"/>
            </w:r>
            <w:r w:rsidR="00214A7E">
              <w:rPr>
                <w:noProof/>
                <w:webHidden/>
              </w:rPr>
              <w:t>21</w:t>
            </w:r>
            <w:r w:rsidR="00214A7E">
              <w:rPr>
                <w:noProof/>
                <w:webHidden/>
              </w:rPr>
              <w:fldChar w:fldCharType="end"/>
            </w:r>
          </w:hyperlink>
        </w:p>
        <w:p w:rsidR="00214A7E" w:rsidRDefault="00EB22C3">
          <w:pPr>
            <w:pStyle w:val="TOC3"/>
            <w:tabs>
              <w:tab w:val="right" w:leader="dot" w:pos="10790"/>
            </w:tabs>
            <w:rPr>
              <w:noProof/>
            </w:rPr>
          </w:pPr>
          <w:hyperlink w:anchor="_Toc238372496" w:history="1">
            <w:r w:rsidR="00214A7E" w:rsidRPr="00604D7B">
              <w:rPr>
                <w:rStyle w:val="Hyperlink"/>
                <w:rFonts w:ascii="Times New Roman" w:hAnsi="Times New Roman" w:cs="Times New Roman"/>
                <w:noProof/>
              </w:rPr>
              <w:t>Future Research Directions</w:t>
            </w:r>
            <w:r w:rsidR="00214A7E">
              <w:rPr>
                <w:noProof/>
                <w:webHidden/>
              </w:rPr>
              <w:tab/>
            </w:r>
            <w:r w:rsidR="00214A7E">
              <w:rPr>
                <w:noProof/>
                <w:webHidden/>
              </w:rPr>
              <w:fldChar w:fldCharType="begin"/>
            </w:r>
            <w:r w:rsidR="00214A7E">
              <w:rPr>
                <w:noProof/>
                <w:webHidden/>
              </w:rPr>
              <w:instrText xml:space="preserve"> PAGEREF _Toc238372496 \h </w:instrText>
            </w:r>
            <w:r w:rsidR="00214A7E">
              <w:rPr>
                <w:noProof/>
                <w:webHidden/>
              </w:rPr>
            </w:r>
            <w:r w:rsidR="00214A7E">
              <w:rPr>
                <w:noProof/>
                <w:webHidden/>
              </w:rPr>
              <w:fldChar w:fldCharType="separate"/>
            </w:r>
            <w:r w:rsidR="00214A7E">
              <w:rPr>
                <w:noProof/>
                <w:webHidden/>
              </w:rPr>
              <w:t>21</w:t>
            </w:r>
            <w:r w:rsidR="00214A7E">
              <w:rPr>
                <w:noProof/>
                <w:webHidden/>
              </w:rPr>
              <w:fldChar w:fldCharType="end"/>
            </w:r>
          </w:hyperlink>
        </w:p>
        <w:p w:rsidR="00214A7E" w:rsidRDefault="00EB22C3">
          <w:pPr>
            <w:pStyle w:val="TOC1"/>
            <w:tabs>
              <w:tab w:val="right" w:leader="dot" w:pos="10790"/>
            </w:tabs>
            <w:rPr>
              <w:noProof/>
            </w:rPr>
          </w:pPr>
          <w:hyperlink w:anchor="_Toc238372497" w:history="1">
            <w:r w:rsidR="00214A7E" w:rsidRPr="00604D7B">
              <w:rPr>
                <w:rStyle w:val="Hyperlink"/>
                <w:rFonts w:ascii="Times New Roman" w:eastAsia="Times New Roman" w:hAnsi="Times New Roman" w:cs="Times New Roman"/>
                <w:b/>
                <w:bCs/>
                <w:noProof/>
                <w:kern w:val="36"/>
                <w:lang w:val="en-GB" w:eastAsia="en-GB"/>
              </w:rPr>
              <w:t>References</w:t>
            </w:r>
            <w:r w:rsidR="00214A7E">
              <w:rPr>
                <w:noProof/>
                <w:webHidden/>
              </w:rPr>
              <w:tab/>
            </w:r>
            <w:r w:rsidR="00214A7E">
              <w:rPr>
                <w:noProof/>
                <w:webHidden/>
              </w:rPr>
              <w:fldChar w:fldCharType="begin"/>
            </w:r>
            <w:r w:rsidR="00214A7E">
              <w:rPr>
                <w:noProof/>
                <w:webHidden/>
              </w:rPr>
              <w:instrText xml:space="preserve"> PAGEREF _Toc238372497 \h </w:instrText>
            </w:r>
            <w:r w:rsidR="00214A7E">
              <w:rPr>
                <w:noProof/>
                <w:webHidden/>
              </w:rPr>
            </w:r>
            <w:r w:rsidR="00214A7E">
              <w:rPr>
                <w:noProof/>
                <w:webHidden/>
              </w:rPr>
              <w:fldChar w:fldCharType="separate"/>
            </w:r>
            <w:r w:rsidR="00214A7E">
              <w:rPr>
                <w:noProof/>
                <w:webHidden/>
              </w:rPr>
              <w:t>22</w:t>
            </w:r>
            <w:r w:rsidR="00214A7E">
              <w:rPr>
                <w:noProof/>
                <w:webHidden/>
              </w:rPr>
              <w:fldChar w:fldCharType="end"/>
            </w:r>
          </w:hyperlink>
        </w:p>
        <w:p w:rsidR="00214A7E" w:rsidRDefault="00EB22C3">
          <w:pPr>
            <w:pStyle w:val="TOC1"/>
            <w:tabs>
              <w:tab w:val="right" w:leader="dot" w:pos="10790"/>
            </w:tabs>
            <w:rPr>
              <w:noProof/>
            </w:rPr>
          </w:pPr>
          <w:hyperlink w:anchor="_Toc238372498" w:history="1">
            <w:r w:rsidR="00214A7E" w:rsidRPr="00604D7B">
              <w:rPr>
                <w:rStyle w:val="Hyperlink"/>
                <w:rFonts w:ascii="Times New Roman" w:eastAsia="Times New Roman" w:hAnsi="Times New Roman" w:cs="Times New Roman"/>
                <w:b/>
                <w:bCs/>
                <w:noProof/>
                <w:kern w:val="36"/>
                <w:lang w:val="en-GB" w:eastAsia="en-GB"/>
              </w:rPr>
              <w:t>Appendices</w:t>
            </w:r>
            <w:r w:rsidR="00214A7E">
              <w:rPr>
                <w:noProof/>
                <w:webHidden/>
              </w:rPr>
              <w:tab/>
            </w:r>
            <w:r w:rsidR="00214A7E">
              <w:rPr>
                <w:noProof/>
                <w:webHidden/>
              </w:rPr>
              <w:fldChar w:fldCharType="begin"/>
            </w:r>
            <w:r w:rsidR="00214A7E">
              <w:rPr>
                <w:noProof/>
                <w:webHidden/>
              </w:rPr>
              <w:instrText xml:space="preserve"> PAGEREF _Toc238372498 \h </w:instrText>
            </w:r>
            <w:r w:rsidR="00214A7E">
              <w:rPr>
                <w:noProof/>
                <w:webHidden/>
              </w:rPr>
            </w:r>
            <w:r w:rsidR="00214A7E">
              <w:rPr>
                <w:noProof/>
                <w:webHidden/>
              </w:rPr>
              <w:fldChar w:fldCharType="separate"/>
            </w:r>
            <w:r w:rsidR="00214A7E">
              <w:rPr>
                <w:noProof/>
                <w:webHidden/>
              </w:rPr>
              <w:t>24</w:t>
            </w:r>
            <w:r w:rsidR="00214A7E">
              <w:rPr>
                <w:noProof/>
                <w:webHidden/>
              </w:rPr>
              <w:fldChar w:fldCharType="end"/>
            </w:r>
          </w:hyperlink>
        </w:p>
        <w:p w:rsidR="00214A7E" w:rsidRDefault="00EB22C3">
          <w:pPr>
            <w:pStyle w:val="TOC2"/>
            <w:tabs>
              <w:tab w:val="right" w:leader="dot" w:pos="10790"/>
            </w:tabs>
            <w:rPr>
              <w:noProof/>
            </w:rPr>
          </w:pPr>
          <w:hyperlink w:anchor="_Toc238372499" w:history="1">
            <w:r w:rsidR="00214A7E" w:rsidRPr="00604D7B">
              <w:rPr>
                <w:rStyle w:val="Hyperlink"/>
                <w:noProof/>
              </w:rPr>
              <w:t>LITERATURE REVIEW MATRIX TABLE</w:t>
            </w:r>
            <w:r w:rsidR="00214A7E">
              <w:rPr>
                <w:noProof/>
                <w:webHidden/>
              </w:rPr>
              <w:tab/>
            </w:r>
            <w:r w:rsidR="00214A7E">
              <w:rPr>
                <w:noProof/>
                <w:webHidden/>
              </w:rPr>
              <w:fldChar w:fldCharType="begin"/>
            </w:r>
            <w:r w:rsidR="00214A7E">
              <w:rPr>
                <w:noProof/>
                <w:webHidden/>
              </w:rPr>
              <w:instrText xml:space="preserve"> PAGEREF _Toc238372499 \h </w:instrText>
            </w:r>
            <w:r w:rsidR="00214A7E">
              <w:rPr>
                <w:noProof/>
                <w:webHidden/>
              </w:rPr>
            </w:r>
            <w:r w:rsidR="00214A7E">
              <w:rPr>
                <w:noProof/>
                <w:webHidden/>
              </w:rPr>
              <w:fldChar w:fldCharType="separate"/>
            </w:r>
            <w:r w:rsidR="00214A7E">
              <w:rPr>
                <w:noProof/>
                <w:webHidden/>
              </w:rPr>
              <w:t>24</w:t>
            </w:r>
            <w:r w:rsidR="00214A7E">
              <w:rPr>
                <w:noProof/>
                <w:webHidden/>
              </w:rPr>
              <w:fldChar w:fldCharType="end"/>
            </w:r>
          </w:hyperlink>
        </w:p>
        <w:p w:rsidR="00477231" w:rsidRDefault="00477231">
          <w:r>
            <w:rPr>
              <w:b/>
              <w:bCs/>
              <w:noProof/>
            </w:rPr>
            <w:fldChar w:fldCharType="end"/>
          </w:r>
        </w:p>
      </w:sdtContent>
    </w:sdt>
    <w:p w:rsidR="00477231" w:rsidRDefault="00477231" w:rsidP="003A0A3E">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p>
    <w:p w:rsidR="00214A7E" w:rsidRDefault="00214A7E" w:rsidP="003A0A3E">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bookmarkStart w:id="0" w:name="_Toc238372473"/>
      <w:r>
        <w:rPr>
          <w:rFonts w:ascii="Times New Roman" w:eastAsia="Times New Roman" w:hAnsi="Times New Roman" w:cs="Times New Roman"/>
          <w:b/>
          <w:bCs/>
          <w:kern w:val="36"/>
          <w:sz w:val="48"/>
          <w:szCs w:val="48"/>
          <w:lang w:val="en-GB" w:eastAsia="en-GB"/>
        </w:rPr>
        <w:br w:type="page"/>
      </w:r>
    </w:p>
    <w:p w:rsidR="003A0A3E" w:rsidRPr="003A0A3E" w:rsidRDefault="00477231" w:rsidP="003A0A3E">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r>
        <w:rPr>
          <w:rFonts w:ascii="Times New Roman" w:eastAsia="Times New Roman" w:hAnsi="Times New Roman" w:cs="Times New Roman"/>
          <w:b/>
          <w:bCs/>
          <w:kern w:val="36"/>
          <w:sz w:val="48"/>
          <w:szCs w:val="48"/>
          <w:lang w:val="en-GB" w:eastAsia="en-GB"/>
        </w:rPr>
        <w:lastRenderedPageBreak/>
        <w:t>Abstract</w:t>
      </w:r>
      <w:bookmarkEnd w:id="0"/>
      <w:r>
        <w:rPr>
          <w:rFonts w:ascii="Times New Roman" w:eastAsia="Times New Roman" w:hAnsi="Times New Roman" w:cs="Times New Roman"/>
          <w:b/>
          <w:bCs/>
          <w:kern w:val="36"/>
          <w:sz w:val="48"/>
          <w:szCs w:val="48"/>
          <w:lang w:val="en-GB" w:eastAsia="en-GB"/>
        </w:rPr>
        <w:t xml:space="preserve"> </w:t>
      </w:r>
    </w:p>
    <w:p w:rsidR="002465D2" w:rsidRDefault="002465D2" w:rsidP="002465D2">
      <w:pPr>
        <w:pStyle w:val="NormalWeb"/>
        <w:jc w:val="both"/>
      </w:pPr>
      <w:r>
        <w:t xml:space="preserve">This report critically evaluates contemporary literature on Working Capital Management (WCM) and constructs a methodologically robust, contingency-based framework for enhancing organizational performance across FTSE 350 companies operating under changing interest rate environments. </w:t>
      </w:r>
    </w:p>
    <w:p w:rsidR="002465D2" w:rsidRDefault="002465D2" w:rsidP="002465D2">
      <w:pPr>
        <w:pStyle w:val="NormalWeb"/>
        <w:jc w:val="both"/>
      </w:pPr>
      <w:r>
        <w:t xml:space="preserve">A systematic literature search protocol was executed across major databases (Scopus, Web of Science, </w:t>
      </w:r>
      <w:proofErr w:type="gramStart"/>
      <w:r>
        <w:t>ScienceDirect</w:t>
      </w:r>
      <w:proofErr w:type="gramEnd"/>
      <w:r>
        <w:t xml:space="preserve">) to synthesize peer-reviewed empirical studies published primarily over the last five years (2021–2026). The review employs a thematic synthesis combined with a rigorous philosophical critique—analyzing ontological, epistemological, and axiological assumptions, alongside a detailed single-study methodological analysis of Tingbani et al. (2020). </w:t>
      </w:r>
    </w:p>
    <w:p w:rsidR="002465D2" w:rsidRDefault="002465D2" w:rsidP="002465D2">
      <w:pPr>
        <w:pStyle w:val="NormalWeb"/>
        <w:jc w:val="both"/>
      </w:pPr>
      <w:r>
        <w:t xml:space="preserve">The literature demonstrates a shift from linear paradigms toward a non-linear (inverted U-shaped) relationship between working capital levels and corporate profitability, where optimal thresholds are heavily moderated by interest rate transmission and macroeconomic shocks. Methodologically, static panel estimators (OLS, Fixed Effects) are shown to be vulnerable to endogeneity bias, and dynamic panel data models such as System GMM offer one credible, though not the only, route to more defensible causal inference where the data-generating process supports their underlying assumptions. </w:t>
      </w:r>
    </w:p>
    <w:p w:rsidR="002465D2" w:rsidRDefault="002465D2" w:rsidP="002465D2">
      <w:pPr>
        <w:pStyle w:val="NormalWeb"/>
        <w:jc w:val="both"/>
      </w:pPr>
      <w:r>
        <w:t xml:space="preserve">The report’s principal contribution is philosophical rather than purely econometric: it demonstrates that the WCM literature’s dominant positivist paradigm generates generalisable statistical patterns while structurally obscuring the managerial sense-making and axiological trade-offs that determine how those patterns are enacted in practice, and it uses this insight to advance a pragmatic framework enabling corporate decision-makers to dynamically calibrate short-term liquidity during monetary tightening cycles. </w:t>
      </w:r>
    </w:p>
    <w:p w:rsidR="002465D2" w:rsidRDefault="002465D2" w:rsidP="002465D2">
      <w:pPr>
        <w:pStyle w:val="NormalWeb"/>
        <w:jc w:val="both"/>
      </w:pPr>
      <w:r>
        <w:rPr>
          <w:b/>
          <w:bCs/>
        </w:rPr>
        <w:t>Keywords:</w:t>
      </w:r>
      <w:r>
        <w:t xml:space="preserve"> Working Capital Management, FTSE 350, Interest Rate Environment, Research Philosophy, System GMM, Contingency Theory. </w:t>
      </w:r>
    </w:p>
    <w:p w:rsidR="004525D5" w:rsidRDefault="004525D5" w:rsidP="003A0A3E">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r>
        <w:rPr>
          <w:rFonts w:ascii="Times New Roman" w:eastAsia="Times New Roman" w:hAnsi="Times New Roman" w:cs="Times New Roman"/>
          <w:b/>
          <w:bCs/>
          <w:kern w:val="36"/>
          <w:sz w:val="48"/>
          <w:szCs w:val="48"/>
          <w:lang w:val="en-GB" w:eastAsia="en-GB"/>
        </w:rPr>
        <w:br w:type="page"/>
      </w:r>
    </w:p>
    <w:p w:rsidR="003A0A3E" w:rsidRPr="003A0A3E" w:rsidRDefault="003A0A3E" w:rsidP="003A0A3E">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bookmarkStart w:id="1" w:name="_Toc238372474"/>
      <w:r>
        <w:rPr>
          <w:rFonts w:ascii="Times New Roman" w:eastAsia="Times New Roman" w:hAnsi="Times New Roman" w:cs="Times New Roman"/>
          <w:b/>
          <w:bCs/>
          <w:kern w:val="36"/>
          <w:sz w:val="48"/>
          <w:szCs w:val="48"/>
          <w:lang w:val="en-GB" w:eastAsia="en-GB"/>
        </w:rPr>
        <w:lastRenderedPageBreak/>
        <w:t>1. Introduction</w:t>
      </w:r>
      <w:bookmarkEnd w:id="1"/>
    </w:p>
    <w:p w:rsidR="00DA0274" w:rsidRDefault="00DA0274" w:rsidP="00DA0274">
      <w:pPr>
        <w:pStyle w:val="NormalWeb"/>
        <w:jc w:val="both"/>
      </w:pPr>
      <w:r>
        <w:t xml:space="preserve">Working Capital Management (WCM) represents a fundamental pillar of short-term corporate financial strategy, directly balancing organizational liquidity with operational profitability. In modern financial economics, the management of current assets and liabilities is no longer viewed merely as a routine accounting function, but as a crucial strategic lever that dictates a firm's resilience during macroeconomic volatility. Following the post-2022 global macroeconomic shift—characterized by aggressive central bank interest rate hikes, inflationary pressures, and heightened cost of capital—large-cap listed entities such as those constituent to the </w:t>
      </w:r>
      <w:r>
        <w:rPr>
          <w:b/>
          <w:bCs/>
        </w:rPr>
        <w:t>FTSE 350</w:t>
      </w:r>
      <w:r>
        <w:t xml:space="preserve"> index face unprecedented pressures on liquidity buffers and cash flow generation. Traditional, static approaches to managing trade credit, inventory levels, and short-term debt are increasingly insufficient when operating under changing interest rate environments. </w:t>
      </w:r>
    </w:p>
    <w:p w:rsidR="00B55E62" w:rsidRDefault="00477231">
      <w:pPr>
        <w:pStyle w:val="NormalWeb"/>
        <w:jc w:val="both"/>
      </w:pPr>
      <w:r>
        <w:t>This tightening cycle differs from the 2008 financial crisis in kind: 2008 was primarily a credit-supply shock, whereas the post-2022 environment is a cost-of-capital shock—credit remains available, but holding, financing, or forgoing working capital now costs materially more. This shifts the strategic question from ‘can we access liquidity?’ to ‘what is the optimal level of liquidity to hold, given its now-higher opportunity cost?’—a question existing WCM literature, much of which pre-dates this cycle, has yet to resolve for FTSE 350 constituents.</w:t>
      </w:r>
    </w:p>
    <w:p w:rsidR="00B55E62" w:rsidRDefault="00477231">
      <w:pPr>
        <w:pStyle w:val="NormalWeb"/>
        <w:jc w:val="both"/>
      </w:pPr>
      <w:r>
        <w:t>The report builds cumulatively toward a strategic, contingency-based WCM framework: Section 2 sets out the search and synthesis method; Section 3 reviews the literature across three themes (linear/non-linear dynamics, macroeconomic contingency, and methodological debates); Section 4 subjects a single focal study, Tingbani et al. (2020), to sustained ontological, epistemological, axiological, and methodological critique; and Sections 5 and 6 draw out the theoretical, methodological, and managerial implications.</w:t>
      </w:r>
    </w:p>
    <w:p w:rsidR="00DA0274" w:rsidRDefault="00DA0274" w:rsidP="00DA0274">
      <w:pPr>
        <w:pStyle w:val="NormalWeb"/>
        <w:jc w:val="both"/>
      </w:pPr>
      <w:r>
        <w:t xml:space="preserve">The primary purpose of this report is to critically evaluate existing academic literature on Working Capital Management and construct a strategic, methodologically robust framework for enhancing organizational performance under interest rate fluctuations. The report moves beyond a descriptive summary of empirical findings to provide a deep philosophical, epistemological, and ethical critique of corporate finance research. Specifically, this report fulfills two core module requirements: </w:t>
      </w:r>
    </w:p>
    <w:p w:rsidR="00DA0274" w:rsidRDefault="00DA0274" w:rsidP="00D3699A">
      <w:pPr>
        <w:pStyle w:val="NormalWeb"/>
        <w:numPr>
          <w:ilvl w:val="0"/>
          <w:numId w:val="23"/>
        </w:numPr>
        <w:jc w:val="both"/>
      </w:pPr>
      <w:r>
        <w:rPr>
          <w:b/>
          <w:bCs/>
        </w:rPr>
        <w:t>Critical Literature Review:</w:t>
      </w:r>
      <w:r>
        <w:t xml:space="preserve"> Conducting a systematic and thematic review of key empirical research published over the past five years (2021–2026), examining the linear, non-linear, and contingency-based relationships between WCM, macroeconomic shocks, and corporate performance. </w:t>
      </w:r>
    </w:p>
    <w:p w:rsidR="00DA0274" w:rsidRDefault="00DA0274" w:rsidP="00D3699A">
      <w:pPr>
        <w:pStyle w:val="NormalWeb"/>
        <w:numPr>
          <w:ilvl w:val="0"/>
          <w:numId w:val="23"/>
        </w:numPr>
        <w:jc w:val="both"/>
      </w:pPr>
      <w:r>
        <w:rPr>
          <w:b/>
          <w:bCs/>
        </w:rPr>
        <w:t>Philosophical and Methodological Analysis:</w:t>
      </w:r>
      <w:r>
        <w:t xml:space="preserve"> Delivering a rigorous, single-study case critique of a focal paper, Tingbani et al. (2020), focusing explicitly on research philosophy (ontology, epistemology, axiology), ethical considerations, and methodological quality (reliability, internal/external validity, and econometric endogeneity). </w:t>
      </w:r>
    </w:p>
    <w:p w:rsidR="00B55E62" w:rsidRDefault="00477231">
      <w:pPr>
        <w:pStyle w:val="NormalWeb"/>
        <w:jc w:val="both"/>
      </w:pPr>
      <w:r>
        <w:t xml:space="preserve">Underpinning both requirements is a single research-philosophy problem that this report treats as its central organising question, rather than as a preliminary formality: </w:t>
      </w:r>
    </w:p>
    <w:p w:rsidR="00B55E62" w:rsidRDefault="00477231">
      <w:pPr>
        <w:pStyle w:val="NormalWeb"/>
        <w:jc w:val="both"/>
      </w:pPr>
      <w:r>
        <w:rPr>
          <w:i/>
          <w:iCs/>
        </w:rPr>
        <w:t xml:space="preserve">How does a researcher’s underlying philosophical position—their assumptions about what working capital “reality” consists of, and about what counts as valid knowledge of it—shape the kind of understanding of WCM that empirical research can produce, and what it necessarily leaves out? </w:t>
      </w:r>
    </w:p>
    <w:p w:rsidR="00B55E62" w:rsidRDefault="00477231">
      <w:pPr>
        <w:pStyle w:val="NormalWeb"/>
        <w:jc w:val="both"/>
      </w:pPr>
      <w:r>
        <w:t xml:space="preserve">This central question is pursued through three supporting questions that structure Sections 3 to 5: (1) what does the recent empirical literature claim about the relationship between WCM and firm performance under changing interest rate conditions, and on what philosophical assumptions do those claims rest; (2) how defensible are those assumptions when a single influential study, Tingbani et al. (2020), is subjected to sustained ontological, </w:t>
      </w:r>
      <w:r>
        <w:lastRenderedPageBreak/>
        <w:t xml:space="preserve">epistemological, axiological, and methodological scrutiny; and (3) what becomes possible, and what remains closed off, when the dominant positivist paradigm in this literature is compared against interpretivist, critical realist, and pragmatist alternatives. Different ontological and epistemological starting points do not merely produce different statistical results; they produce different objects of study altogether—a measurable financial ratio for the positivist, a context-dependent managerial practice for the interpretivist—and it is this deeper divergence, rather than any single empirical finding, that this report treats as its primary object of critique. </w:t>
      </w:r>
    </w:p>
    <w:p w:rsidR="00DA0274" w:rsidRDefault="00DA0274" w:rsidP="00DA0274">
      <w:pPr>
        <w:pStyle w:val="NormalWeb"/>
        <w:jc w:val="both"/>
      </w:pPr>
      <w:r>
        <w:t>Before proceeding, it is necessary to operationalize the key constructs that recur throughout this report, in accordance with established corporate finance and management research conventions. Precise operationalization matters not only for methodological transparency, but also because—as Section 4 demonstrates—the way a construct is measured is itself a philosophical choice, reflecting underlying ontological assumptions about what counts as observable financial reality:</w:t>
      </w:r>
    </w:p>
    <w:p w:rsidR="00DA0274" w:rsidRDefault="00DA0274" w:rsidP="00D3699A">
      <w:pPr>
        <w:pStyle w:val="NormalWeb"/>
        <w:numPr>
          <w:ilvl w:val="0"/>
          <w:numId w:val="24"/>
        </w:numPr>
        <w:jc w:val="both"/>
      </w:pPr>
      <w:r>
        <w:rPr>
          <w:b/>
          <w:bCs/>
        </w:rPr>
        <w:t>Working Capital Management (WCM):</w:t>
      </w:r>
      <w:r>
        <w:t xml:space="preserve"> The strategic control of short-term operational assets and liabilities, commonly operationalized via the Cash Conversion Cycle (</w:t>
      </w:r>
      <w:r>
        <w:rPr>
          <w:rStyle w:val="math-inline"/>
        </w:rPr>
        <w:t>CCC</w:t>
      </w:r>
      <w:r>
        <w:t>), Working Capital Ratio (</w:t>
      </w:r>
      <w:r>
        <w:rPr>
          <w:rStyle w:val="math-inline"/>
        </w:rPr>
        <w:t>WKCR</w:t>
      </w:r>
      <w:r>
        <w:t>), or Net Trade Cycle (</w:t>
      </w:r>
      <w:r>
        <w:rPr>
          <w:rStyle w:val="math-inline"/>
        </w:rPr>
        <w:t>NTC</w:t>
      </w:r>
      <w:r>
        <w:t xml:space="preserve">). </w:t>
      </w:r>
    </w:p>
    <w:p w:rsidR="00DA0274" w:rsidRDefault="00DA0274" w:rsidP="00D3699A">
      <w:pPr>
        <w:pStyle w:val="NormalWeb"/>
        <w:numPr>
          <w:ilvl w:val="0"/>
          <w:numId w:val="24"/>
        </w:numPr>
        <w:jc w:val="both"/>
      </w:pPr>
      <w:r>
        <w:rPr>
          <w:b/>
          <w:bCs/>
        </w:rPr>
        <w:t>Organizational Performance:</w:t>
      </w:r>
      <w:r>
        <w:t xml:space="preserve"> The financial efficiency and valuation outcomes of a firm, proxied by Return on Assets (</w:t>
      </w:r>
      <w:r>
        <w:rPr>
          <w:rStyle w:val="math-inline"/>
        </w:rPr>
        <w:t>ROA</w:t>
      </w:r>
      <w:r>
        <w:t>), Operating Return on Assets (</w:t>
      </w:r>
      <w:r>
        <w:rPr>
          <w:rStyle w:val="math-inline"/>
        </w:rPr>
        <w:t>OROA</w:t>
      </w:r>
      <w:r>
        <w:t xml:space="preserve">), or Tobin's </w:t>
      </w:r>
      <w:r>
        <w:rPr>
          <w:rStyle w:val="math-inline"/>
        </w:rPr>
        <w:t>Q</w:t>
      </w:r>
      <w:r>
        <w:t xml:space="preserve">. </w:t>
      </w:r>
    </w:p>
    <w:p w:rsidR="00DA0274" w:rsidRDefault="00DA0274" w:rsidP="00D3699A">
      <w:pPr>
        <w:pStyle w:val="NormalWeb"/>
        <w:numPr>
          <w:ilvl w:val="0"/>
          <w:numId w:val="24"/>
        </w:numPr>
        <w:jc w:val="both"/>
      </w:pPr>
      <w:r>
        <w:rPr>
          <w:b/>
          <w:bCs/>
        </w:rPr>
        <w:t>Interest Rate Environment:</w:t>
      </w:r>
      <w:r>
        <w:t xml:space="preserve"> The exogenous macroeconomic setting dictated by central bank monetary policy tightening, directly influencing corporate borrowing costs and liquidity opportunity costs. </w:t>
      </w:r>
    </w:p>
    <w:p w:rsidR="00B55E62" w:rsidRDefault="00477231">
      <w:pPr>
        <w:pStyle w:val="NormalWeb"/>
        <w:numPr>
          <w:ilvl w:val="0"/>
          <w:numId w:val="24"/>
        </w:numPr>
        <w:jc w:val="both"/>
      </w:pPr>
      <w:r>
        <w:rPr>
          <w:b/>
          <w:bCs/>
        </w:rPr>
        <w:t>Contingency Theory:</w:t>
      </w:r>
      <w:r>
        <w:t xml:space="preserve"> The theoretical proposition, foundational to the analytical framework adopted in this report, that there is no single universally optimal working capital policy; rather, the effectiveness of any given WCM strategy is contingent upon, and moderated by, external environmental conditions such as the prevailing interest rate regime, industry sector, and firm size.</w:t>
      </w:r>
    </w:p>
    <w:p w:rsidR="004525D5" w:rsidRDefault="004525D5" w:rsidP="004525D5">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r>
        <w:rPr>
          <w:rFonts w:ascii="Times New Roman" w:eastAsia="Times New Roman" w:hAnsi="Times New Roman" w:cs="Times New Roman"/>
          <w:b/>
          <w:bCs/>
          <w:kern w:val="36"/>
          <w:sz w:val="48"/>
          <w:szCs w:val="48"/>
          <w:lang w:val="en-GB" w:eastAsia="en-GB"/>
        </w:rPr>
        <w:br w:type="page"/>
      </w:r>
    </w:p>
    <w:p w:rsidR="000F7E44" w:rsidRPr="000F7E44" w:rsidRDefault="000F7E44" w:rsidP="004525D5">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bookmarkStart w:id="2" w:name="_Toc238372475"/>
      <w:r>
        <w:rPr>
          <w:rFonts w:ascii="Times New Roman" w:eastAsia="Times New Roman" w:hAnsi="Times New Roman" w:cs="Times New Roman"/>
          <w:b/>
          <w:bCs/>
          <w:kern w:val="36"/>
          <w:sz w:val="48"/>
          <w:szCs w:val="48"/>
          <w:lang w:val="en-GB" w:eastAsia="en-GB"/>
        </w:rPr>
        <w:lastRenderedPageBreak/>
        <w:t>2. Method for Conducting the Literature Review</w:t>
      </w:r>
      <w:bookmarkEnd w:id="2"/>
    </w:p>
    <w:p w:rsidR="00DA0274" w:rsidRDefault="00DA0274" w:rsidP="002465D2">
      <w:pPr>
        <w:pStyle w:val="NormalWeb"/>
        <w:jc w:val="both"/>
      </w:pPr>
      <w:r>
        <w:t xml:space="preserve">To ensure methodological transparency, rigor, and replicability, the literature review in Section 3 was executed following a systematic literature search and thematic synthesis protocol. </w:t>
      </w:r>
    </w:p>
    <w:p w:rsidR="00DA0274" w:rsidRPr="00DA0274" w:rsidRDefault="00DA0274" w:rsidP="002465D2">
      <w:pPr>
        <w:pStyle w:val="Heading3"/>
        <w:jc w:val="both"/>
        <w:rPr>
          <w:rFonts w:ascii="Times New Roman" w:hAnsi="Times New Roman" w:cs="Times New Roman"/>
          <w:color w:val="auto"/>
          <w:sz w:val="24"/>
        </w:rPr>
      </w:pPr>
      <w:bookmarkStart w:id="3" w:name="_Toc238372476"/>
      <w:r>
        <w:rPr>
          <w:rFonts w:ascii="Times New Roman" w:hAnsi="Times New Roman" w:cs="Times New Roman"/>
          <w:color w:val="auto"/>
          <w:sz w:val="24"/>
        </w:rPr>
        <w:t>Search Strategy and Database Selection</w:t>
      </w:r>
      <w:bookmarkEnd w:id="3"/>
    </w:p>
    <w:p w:rsidR="00DA0274" w:rsidRDefault="00DA0274" w:rsidP="002465D2">
      <w:pPr>
        <w:pStyle w:val="NormalWeb"/>
        <w:jc w:val="both"/>
      </w:pPr>
      <w:r>
        <w:t xml:space="preserve">A comprehensive search was conducted across premier electronic academic databases, including </w:t>
      </w:r>
      <w:r>
        <w:rPr>
          <w:b/>
          <w:bCs/>
        </w:rPr>
        <w:t>Scopus</w:t>
      </w:r>
      <w:r>
        <w:t xml:space="preserve">, </w:t>
      </w:r>
      <w:r>
        <w:rPr>
          <w:b/>
          <w:bCs/>
        </w:rPr>
        <w:t>Web of Science</w:t>
      </w:r>
      <w:r>
        <w:t xml:space="preserve">, </w:t>
      </w:r>
      <w:r>
        <w:rPr>
          <w:b/>
          <w:bCs/>
        </w:rPr>
        <w:t>ScienceDirect</w:t>
      </w:r>
      <w:r>
        <w:t xml:space="preserve">, and </w:t>
      </w:r>
      <w:r>
        <w:rPr>
          <w:b/>
          <w:bCs/>
        </w:rPr>
        <w:t>Wiley Online Library</w:t>
      </w:r>
      <w:r>
        <w:t>. To meet the requirement of evaluating contemporary scholarly debates, the search strategy was primarily bounded to high-impact, peer-reviewed journal articles published within the last five years (</w:t>
      </w:r>
      <w:r>
        <w:rPr>
          <w:b/>
          <w:bCs/>
        </w:rPr>
        <w:t>2021 to 2026</w:t>
      </w:r>
      <w:r>
        <w:t xml:space="preserve">). However, select seminal papers (e.g., Baños-Caballero et al., 2014; Ghoshal, 1999) were retained to establish foundational theoretical frameworks such as Pecking Order Theory, Trade-off Theory, and Contingency Theory. </w:t>
      </w:r>
    </w:p>
    <w:p w:rsidR="00DA0274" w:rsidRPr="00DA0274" w:rsidRDefault="00DA0274" w:rsidP="002465D2">
      <w:pPr>
        <w:pStyle w:val="NormalWeb"/>
        <w:jc w:val="both"/>
      </w:pPr>
      <w:r>
        <w:t>Boolean operators (</w:t>
      </w:r>
      <w:r>
        <w:rPr>
          <w:rStyle w:val="HTMLCode"/>
          <w:rFonts w:ascii="Times New Roman" w:hAnsi="Times New Roman" w:cs="Times New Roman"/>
        </w:rPr>
        <w:t>AND</w:t>
      </w:r>
      <w:r>
        <w:t xml:space="preserve">, </w:t>
      </w:r>
      <w:r>
        <w:rPr>
          <w:rStyle w:val="HTMLCode"/>
          <w:rFonts w:ascii="Times New Roman" w:hAnsi="Times New Roman" w:cs="Times New Roman"/>
        </w:rPr>
        <w:t>OR</w:t>
      </w:r>
      <w:r>
        <w:t>) were applied to combine primary keyword strings:</w:t>
      </w:r>
    </w:p>
    <w:p w:rsidR="00DA0274" w:rsidRPr="00DA0274" w:rsidRDefault="00DA0274" w:rsidP="00D3699A">
      <w:pPr>
        <w:pStyle w:val="NormalWeb"/>
        <w:numPr>
          <w:ilvl w:val="0"/>
          <w:numId w:val="27"/>
        </w:numPr>
        <w:jc w:val="both"/>
      </w:pPr>
      <w:r>
        <w:rPr>
          <w:rStyle w:val="HTMLCode"/>
          <w:rFonts w:ascii="Times New Roman" w:hAnsi="Times New Roman" w:cs="Times New Roman"/>
          <w:sz w:val="24"/>
          <w:szCs w:val="24"/>
        </w:rPr>
        <w:t>("working capital management" OR "cash conversion cycle") AND ("firm performance" OR "profitability" OR "ROA") AND ("non-linear" OR "optimal")</w:t>
      </w:r>
    </w:p>
    <w:p w:rsidR="00DA0274" w:rsidRPr="00DA0274" w:rsidRDefault="00DA0274" w:rsidP="00D3699A">
      <w:pPr>
        <w:pStyle w:val="NormalWeb"/>
        <w:numPr>
          <w:ilvl w:val="0"/>
          <w:numId w:val="27"/>
        </w:numPr>
        <w:jc w:val="both"/>
      </w:pPr>
      <w:r>
        <w:rPr>
          <w:rStyle w:val="HTMLCode"/>
          <w:rFonts w:ascii="Times New Roman" w:hAnsi="Times New Roman" w:cs="Times New Roman"/>
          <w:sz w:val="24"/>
          <w:szCs w:val="24"/>
        </w:rPr>
        <w:t>("working capital") AND ("interest rates" OR "monetary policy" OR "macroeconomic shocks") AND ("listed firms" OR "FTSE")</w:t>
      </w:r>
    </w:p>
    <w:p w:rsidR="00DA0274" w:rsidRDefault="00DA0274" w:rsidP="00D3699A">
      <w:pPr>
        <w:pStyle w:val="NormalWeb"/>
        <w:numPr>
          <w:ilvl w:val="0"/>
          <w:numId w:val="27"/>
        </w:numPr>
        <w:jc w:val="both"/>
      </w:pPr>
      <w:r>
        <w:rPr>
          <w:rStyle w:val="HTMLCode"/>
          <w:rFonts w:ascii="Times New Roman" w:hAnsi="Times New Roman" w:cs="Times New Roman"/>
          <w:sz w:val="24"/>
          <w:szCs w:val="24"/>
        </w:rPr>
        <w:t>("working capital management") AND ("endogeneity" OR "System GMM" OR "dynamic panel")</w:t>
      </w:r>
    </w:p>
    <w:p w:rsidR="00DA0274" w:rsidRPr="00DA0274" w:rsidRDefault="00DA0274" w:rsidP="002465D2">
      <w:pPr>
        <w:pStyle w:val="Heading3"/>
        <w:jc w:val="both"/>
        <w:rPr>
          <w:rFonts w:ascii="Times New Roman" w:hAnsi="Times New Roman" w:cs="Times New Roman"/>
          <w:color w:val="auto"/>
          <w:sz w:val="24"/>
        </w:rPr>
      </w:pPr>
      <w:bookmarkStart w:id="4" w:name="_Toc238372477"/>
      <w:r>
        <w:rPr>
          <w:rFonts w:ascii="Times New Roman" w:hAnsi="Times New Roman" w:cs="Times New Roman"/>
          <w:color w:val="auto"/>
          <w:sz w:val="24"/>
        </w:rPr>
        <w:t>Inclusion and Exclusion Criteria</w:t>
      </w:r>
      <w:bookmarkEnd w:id="4"/>
    </w:p>
    <w:p w:rsidR="00DA0274" w:rsidRDefault="00DA0274" w:rsidP="002465D2">
      <w:pPr>
        <w:pStyle w:val="NormalWeb"/>
        <w:jc w:val="both"/>
      </w:pPr>
      <w:r>
        <w:t>Studies were included if they met the following strict criteria:</w:t>
      </w:r>
    </w:p>
    <w:p w:rsidR="00DA0274" w:rsidRDefault="00DA0274" w:rsidP="00D3699A">
      <w:pPr>
        <w:pStyle w:val="NormalWeb"/>
        <w:numPr>
          <w:ilvl w:val="0"/>
          <w:numId w:val="25"/>
        </w:numPr>
        <w:jc w:val="both"/>
      </w:pPr>
      <w:r>
        <w:rPr>
          <w:b/>
          <w:bCs/>
        </w:rPr>
        <w:t>Publication Type:</w:t>
      </w:r>
      <w:r>
        <w:t xml:space="preserve"> Empirical, peer-reviewed journal articles published in ranked finance, accounting, or business management journals. </w:t>
      </w:r>
    </w:p>
    <w:p w:rsidR="00DA0274" w:rsidRDefault="00DA0274" w:rsidP="00D3699A">
      <w:pPr>
        <w:pStyle w:val="NormalWeb"/>
        <w:numPr>
          <w:ilvl w:val="0"/>
          <w:numId w:val="25"/>
        </w:numPr>
        <w:jc w:val="both"/>
      </w:pPr>
      <w:r>
        <w:rPr>
          <w:b/>
          <w:bCs/>
        </w:rPr>
        <w:t>Topical Relevance:</w:t>
      </w:r>
      <w:r>
        <w:t xml:space="preserve"> Explicit focus on working capital strategies, corporate liquidity, or short-term financial decision-making under macroeconomic contingencies. </w:t>
      </w:r>
    </w:p>
    <w:p w:rsidR="00DA0274" w:rsidRDefault="00DA0274" w:rsidP="00D3699A">
      <w:pPr>
        <w:pStyle w:val="NormalWeb"/>
        <w:numPr>
          <w:ilvl w:val="0"/>
          <w:numId w:val="25"/>
        </w:numPr>
        <w:jc w:val="both"/>
      </w:pPr>
      <w:r>
        <w:rPr>
          <w:b/>
          <w:bCs/>
        </w:rPr>
        <w:t>Methodological Rigor:</w:t>
      </w:r>
      <w:r>
        <w:t xml:space="preserve"> Clear specification of econometric techniques (e.g., OLS, Fixed Effects, System GMM, PCSE). </w:t>
      </w:r>
    </w:p>
    <w:p w:rsidR="00DA0274" w:rsidRDefault="00DA0274" w:rsidP="002465D2">
      <w:pPr>
        <w:pStyle w:val="NormalWeb"/>
        <w:jc w:val="both"/>
      </w:pPr>
      <w:r>
        <w:t xml:space="preserve">Articles were excluded if they were non-peer-reviewed trade publications, lacked clear econometric methodologies, or focused exclusively on micro-SME contexts with no transferability to large-cap listed entities such as the FTSE 350. Applying these criteria, an initial search returned approximately 260 records; after de-duplication and screening, 35 met all inclusion criteria and were incorporated into the Literature Review Matrix (indicative figures, reconstructed retrospectively rather than tracked via a formal PRISMA protocol). </w:t>
      </w:r>
    </w:p>
    <w:p w:rsidR="00DA0274" w:rsidRPr="00DA0274" w:rsidRDefault="00DA0274" w:rsidP="002465D2">
      <w:pPr>
        <w:pStyle w:val="Heading3"/>
        <w:jc w:val="both"/>
        <w:rPr>
          <w:rFonts w:ascii="Times New Roman" w:hAnsi="Times New Roman" w:cs="Times New Roman"/>
          <w:color w:val="auto"/>
          <w:sz w:val="24"/>
        </w:rPr>
      </w:pPr>
      <w:bookmarkStart w:id="5" w:name="_Toc238372478"/>
      <w:r>
        <w:rPr>
          <w:rFonts w:ascii="Times New Roman" w:hAnsi="Times New Roman" w:cs="Times New Roman"/>
          <w:color w:val="auto"/>
          <w:sz w:val="24"/>
        </w:rPr>
        <w:t>Analytical Procedure and Philosophical Evaluation</w:t>
      </w:r>
      <w:bookmarkEnd w:id="5"/>
    </w:p>
    <w:p w:rsidR="00DA0274" w:rsidRDefault="00DA0274" w:rsidP="002465D2">
      <w:pPr>
        <w:pStyle w:val="NormalWeb"/>
        <w:jc w:val="both"/>
      </w:pPr>
      <w:r>
        <w:t xml:space="preserve">The extracted literature was organized using a </w:t>
      </w:r>
      <w:r>
        <w:rPr>
          <w:b/>
          <w:bCs/>
        </w:rPr>
        <w:t>Literature Review Matrix Table</w:t>
      </w:r>
      <w:r>
        <w:t xml:space="preserve"> (presented in the Appendix). A thematic synthesis approach was employed to categorize findings into three core thematic pillars: </w:t>
      </w:r>
    </w:p>
    <w:p w:rsidR="00B55E62" w:rsidRDefault="00477231">
      <w:pPr>
        <w:pStyle w:val="NormalWeb"/>
        <w:jc w:val="both"/>
      </w:pPr>
      <w:r>
        <w:t xml:space="preserve">Each study’s research philosophy was assessed as part of this synthesis using three consistent criteria: its implicit ontological stance (objective, measurable reality versus socially constructed practice); its epistemological validation criterion (statistical generalisability versus participant-verified meaning); and its </w:t>
      </w:r>
      <w:r>
        <w:lastRenderedPageBreak/>
        <w:t xml:space="preserve">methodological logic (deductive hypothesis-testing versus inductive exploration). This allowed studies to be located along a positivist-to-interpretivist spectrum rather than assigned a single static label. </w:t>
      </w:r>
    </w:p>
    <w:p w:rsidR="00DA0274" w:rsidRDefault="00DA0274" w:rsidP="00D3699A">
      <w:pPr>
        <w:pStyle w:val="NormalWeb"/>
        <w:numPr>
          <w:ilvl w:val="0"/>
          <w:numId w:val="26"/>
        </w:numPr>
        <w:jc w:val="both"/>
      </w:pPr>
      <w:r>
        <w:rPr>
          <w:i/>
          <w:iCs/>
        </w:rPr>
        <w:t>Theme 3.1:</w:t>
      </w:r>
      <w:r>
        <w:t xml:space="preserve"> Linear vs. Non-linear Dynamics </w:t>
      </w:r>
    </w:p>
    <w:p w:rsidR="00DA0274" w:rsidRDefault="00DA0274" w:rsidP="00D3699A">
      <w:pPr>
        <w:pStyle w:val="NormalWeb"/>
        <w:numPr>
          <w:ilvl w:val="0"/>
          <w:numId w:val="26"/>
        </w:numPr>
        <w:jc w:val="both"/>
      </w:pPr>
      <w:r>
        <w:rPr>
          <w:i/>
          <w:iCs/>
        </w:rPr>
        <w:t>Theme 3.2:</w:t>
      </w:r>
      <w:r>
        <w:t xml:space="preserve"> Macroeconomic Contingencies and Interest Rates </w:t>
      </w:r>
    </w:p>
    <w:p w:rsidR="00DA0274" w:rsidRDefault="00DA0274" w:rsidP="00D3699A">
      <w:pPr>
        <w:pStyle w:val="NormalWeb"/>
        <w:numPr>
          <w:ilvl w:val="0"/>
          <w:numId w:val="26"/>
        </w:numPr>
        <w:jc w:val="both"/>
      </w:pPr>
      <w:r>
        <w:rPr>
          <w:i/>
          <w:iCs/>
        </w:rPr>
        <w:t>Theme 3.3:</w:t>
      </w:r>
      <w:r>
        <w:t xml:space="preserve"> Methodological and Econometric Debates </w:t>
      </w:r>
    </w:p>
    <w:p w:rsidR="00DA0274" w:rsidRDefault="00DA0274" w:rsidP="002465D2">
      <w:pPr>
        <w:pStyle w:val="NormalWeb"/>
        <w:jc w:val="both"/>
      </w:pPr>
      <w:r>
        <w:t xml:space="preserve">Crucially, in alignment with DBA-level inquiry, each study was not merely summarized for its empirical outcomes, but critically evaluated for its underlying </w:t>
      </w:r>
      <w:r>
        <w:rPr>
          <w:b/>
          <w:bCs/>
        </w:rPr>
        <w:t>ontological</w:t>
      </w:r>
      <w:r>
        <w:t xml:space="preserve"> (e.g., Realism vs. Constructivism) and </w:t>
      </w:r>
      <w:r>
        <w:rPr>
          <w:b/>
          <w:bCs/>
        </w:rPr>
        <w:t>epistemological</w:t>
      </w:r>
      <w:r>
        <w:t xml:space="preserve"> assumptions (e.g., Positivism vs. Interpretivism), as well as its handling of econometric endogeneity. </w:t>
      </w:r>
    </w:p>
    <w:p w:rsidR="00DA0274" w:rsidRPr="00DA0274" w:rsidRDefault="00DA0274" w:rsidP="002465D2">
      <w:pPr>
        <w:pStyle w:val="Heading3"/>
        <w:jc w:val="both"/>
        <w:rPr>
          <w:rFonts w:ascii="Times New Roman" w:hAnsi="Times New Roman" w:cs="Times New Roman"/>
          <w:color w:val="auto"/>
          <w:sz w:val="24"/>
        </w:rPr>
      </w:pPr>
      <w:bookmarkStart w:id="6" w:name="_Toc238372479"/>
      <w:r>
        <w:rPr>
          <w:rFonts w:ascii="Times New Roman" w:hAnsi="Times New Roman" w:cs="Times New Roman"/>
          <w:color w:val="auto"/>
          <w:sz w:val="24"/>
        </w:rPr>
        <w:t>Limitations of the Review Approach</w:t>
      </w:r>
      <w:bookmarkEnd w:id="6"/>
    </w:p>
    <w:p w:rsidR="004525D5" w:rsidRPr="00393AB5" w:rsidRDefault="00DA0274" w:rsidP="00393AB5">
      <w:pPr>
        <w:pStyle w:val="NormalWeb"/>
        <w:jc w:val="both"/>
      </w:pPr>
      <w:r>
        <w:t xml:space="preserve">Despite systematic rigor, this review approach exhibits inherent boundaries. Bounding the literature primarily to quantitative, database-driven empirical studies introduces a positivist publication bias, as qualitative studies exploring the behavioral decision-making of CFOs during liquidity shocks remain underrepresented in corporate finance journals. </w:t>
      </w:r>
      <w:r>
        <w:rPr>
          <w:b/>
          <w:bCs/>
          <w:kern w:val="36"/>
          <w:sz w:val="48"/>
          <w:szCs w:val="48"/>
          <w:lang w:val="en-GB" w:eastAsia="en-GB"/>
        </w:rPr>
        <w:br w:type="page"/>
      </w:r>
    </w:p>
    <w:p w:rsidR="003A0A3E" w:rsidRPr="003A0A3E" w:rsidRDefault="003A0A3E" w:rsidP="004525D5">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bookmarkStart w:id="7" w:name="_Toc238372480"/>
      <w:r>
        <w:rPr>
          <w:rFonts w:ascii="Times New Roman" w:eastAsia="Times New Roman" w:hAnsi="Times New Roman" w:cs="Times New Roman"/>
          <w:b/>
          <w:bCs/>
          <w:kern w:val="36"/>
          <w:sz w:val="48"/>
          <w:szCs w:val="48"/>
          <w:lang w:val="en-GB" w:eastAsia="en-GB"/>
        </w:rPr>
        <w:lastRenderedPageBreak/>
        <w:t>3. Critical Literature Review</w:t>
      </w:r>
      <w:bookmarkEnd w:id="7"/>
      <w:r>
        <w:rPr>
          <w:rFonts w:ascii="Times New Roman" w:eastAsia="Times New Roman" w:hAnsi="Times New Roman" w:cs="Times New Roman"/>
          <w:b/>
          <w:bCs/>
          <w:kern w:val="36"/>
          <w:sz w:val="48"/>
          <w:szCs w:val="48"/>
          <w:lang w:val="en-GB" w:eastAsia="en-GB"/>
        </w:rPr>
        <w:t xml:space="preserve"> </w:t>
      </w:r>
    </w:p>
    <w:p w:rsidR="003A0A3E" w:rsidRPr="003A0A3E" w:rsidRDefault="00AB066D" w:rsidP="003A0A3E">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bookmarkStart w:id="8" w:name="_Toc238372481"/>
      <w:r>
        <w:rPr>
          <w:rFonts w:ascii="Times New Roman" w:eastAsia="Times New Roman" w:hAnsi="Times New Roman" w:cs="Times New Roman"/>
          <w:b/>
          <w:bCs/>
          <w:sz w:val="27"/>
          <w:szCs w:val="27"/>
          <w:lang w:val="en-GB" w:eastAsia="en-GB"/>
        </w:rPr>
        <w:t>3.1 Theme 1: The Linear vs. Non-Linear Dynamics of WCM and Firm Performance</w:t>
      </w:r>
      <w:bookmarkEnd w:id="8"/>
    </w:p>
    <w:p w:rsidR="00AB066D" w:rsidRDefault="00AB066D" w:rsidP="00AB066D">
      <w:pPr>
        <w:pStyle w:val="NormalWeb"/>
        <w:jc w:val="both"/>
      </w:pPr>
      <w:r>
        <w:t xml:space="preserve">The relationship between Working Capital Management (WCM) and organizational performance represents one of the most widely debated domains in corporate finance. Historically, classical financial literature assumed a linear association, proposing that aggressive working capital strategies—characterized by minimizing the Cash Conversion Cycle (CCC)—consistently enhance profitability by unlocking operational liquidity. However, contemporary empirical literature over the last five years has increasingly challenged this linear paradigm, establishing that the relationship is fundamentally non-linear and concave, exhibiting an inverted U-shape. </w:t>
      </w:r>
    </w:p>
    <w:p w:rsidR="00AB066D" w:rsidRDefault="00AB066D" w:rsidP="00AB066D">
      <w:pPr>
        <w:pStyle w:val="NormalWeb"/>
        <w:jc w:val="both"/>
      </w:pPr>
      <w:r>
        <w:t>Under the traditional Trade-off Theory, investments in working capital involve a balance between operational benefits and holding costs. Low working capital levels expose firms to stockout risks, supply chain disruptions, and missed early-payment trade discounts. Conversely, holding excessive working capital incurs substantial opportunity costs, increased storage expenses, and heightened interest charges on short-term debt. This theoretical trade-off was empirically validated by Anton and Nucu (2021) across 719 listed European firms. Utilizing Pooled OLS, Fixed Effects, and Panel-Corrected Standard Errors (PCSE) models, their findings confirm that working capital levels initially exert a positive effect on Return on Assets (</w:t>
      </w:r>
      <w:r>
        <w:rPr>
          <w:rStyle w:val="math-inline"/>
        </w:rPr>
        <w:t>ROA</w:t>
      </w:r>
      <w:r>
        <w:t xml:space="preserve">) up to a specific break-even threshold, beyond which further working capital accumulation systematically degrades corporate profitability. </w:t>
      </w:r>
    </w:p>
    <w:p w:rsidR="00AB066D" w:rsidRDefault="00AB066D" w:rsidP="00AB066D">
      <w:pPr>
        <w:pStyle w:val="NormalWeb"/>
        <w:jc w:val="both"/>
      </w:pPr>
      <w:r>
        <w:t>Recent literature has expanded this non-linear framework globally. Arshad Akhund and Qazi (2023) demonstrated that holding excess working capital beyond the optimal threshold creates severe agency costs and financial inefficiency. Similarly, Hieu et al. (2025) provided robust cross-country evidence confirming that the concave relationship between working capital ratio and performance persists across both developed and emerging market settings. Expanding upon this, Banerjee and Guha Deb (2024) integrated Upper Echelons Theory into the non-linear debate, revealing that managerial capability acts as a crucial internal moderator: highly capable financial executives can extend the optimal break-even point by optimizing inventory turnover and account collection without sacrificing operational flexibility.</w:t>
      </w:r>
    </w:p>
    <w:p w:rsidR="003A0A3E" w:rsidRPr="00AB066D" w:rsidRDefault="00AB066D" w:rsidP="00AB066D">
      <w:pPr>
        <w:pStyle w:val="NormalWeb"/>
        <w:jc w:val="both"/>
      </w:pPr>
      <w:r>
        <w:t xml:space="preserve">From a critical philosophical perspective, Theme 1 is overwhelmingly anchored in an </w:t>
      </w:r>
      <w:r>
        <w:rPr>
          <w:b/>
          <w:bCs/>
        </w:rPr>
        <w:t>objectivist ontology</w:t>
      </w:r>
      <w:r>
        <w:t xml:space="preserve"> and a </w:t>
      </w:r>
      <w:r>
        <w:rPr>
          <w:b/>
          <w:bCs/>
        </w:rPr>
        <w:t>positivist epistemology</w:t>
      </w:r>
      <w:r>
        <w:t>. Researchers in this stream treat working capital metrics (</w:t>
      </w:r>
      <w:r>
        <w:rPr>
          <w:rStyle w:val="math-inline"/>
        </w:rPr>
        <w:t>CCC</w:t>
      </w:r>
      <w:r>
        <w:t xml:space="preserve">, </w:t>
      </w:r>
      <w:r>
        <w:rPr>
          <w:rStyle w:val="math-inline"/>
        </w:rPr>
        <w:t>DSO</w:t>
      </w:r>
      <w:r>
        <w:t xml:space="preserve">, </w:t>
      </w:r>
      <w:r>
        <w:rPr>
          <w:rStyle w:val="math-inline"/>
        </w:rPr>
        <w:t>DIO</w:t>
      </w:r>
      <w:r>
        <w:t>) and corporate performance outcomes (</w:t>
      </w:r>
      <w:r>
        <w:rPr>
          <w:rStyle w:val="math-inline"/>
        </w:rPr>
        <w:t>ROA</w:t>
      </w:r>
      <w:r>
        <w:t xml:space="preserve">, </w:t>
      </w:r>
      <w:r>
        <w:rPr>
          <w:rStyle w:val="math-inline"/>
        </w:rPr>
        <w:t>ROE</w:t>
      </w:r>
      <w:r>
        <w:t xml:space="preserve">, Tobin’s </w:t>
      </w:r>
      <w:r>
        <w:rPr>
          <w:rStyle w:val="math-inline"/>
        </w:rPr>
        <w:t>Q</w:t>
      </w:r>
      <w:r>
        <w:t xml:space="preserve">) as objective, quantifiable realities that exist independently of managerial perception. Knowledge is generated through deductive hypothesis testing, using large-scale audited financial databases to establish generalizable laws. While this positivist paradigm ensures high measurement precision and comparability, it exhibits an ontological limitation: it reduces short-term financial management to static accounting ratios, failing to capture the lived experiences, risk perceptions, and behavioral negotiations of CFOs managing liquidity in real time. </w:t>
      </w:r>
    </w:p>
    <w:p w:rsidR="00B55E62" w:rsidRDefault="00477231">
      <w:pPr>
        <w:pStyle w:val="NormalWeb"/>
        <w:jc w:val="both"/>
      </w:pPr>
      <w:r>
        <w:t xml:space="preserve">This objectivist strand of the literature is further nuanced once firm-level heterogeneity is taken into account. Dalci et al. (2019) demonstrate that firm size moderates the strength of the WCM–profitability relationship, with smaller listed firms exhibiting a steeper sensitivity to changes in the cash conversion cycle than their larger counterparts. In a complementary vein, Mahmood et al. (2019) show, using a large Chinese listed-firm sample, that both firm size and financial leverage jointly condition the working-capital–finance–profitability relationship, such that highly leveraged firms face a narrower optimal working capital band before profitability begins to erode. Taken together with the cross-country evidence assembled by Baños-Caballero et al. (2020), these findings suggest that the inverted U-shaped relationship established by Anton and Nucu (2021) and others is not a fixed structural constant, but a threshold that itself shifts according to firm-specific financial </w:t>
      </w:r>
      <w:r>
        <w:lastRenderedPageBreak/>
        <w:t>architecture—a point of direct relevance to FTSE 350 companies, which vary considerably in leverage and market capitalisation despite sharing index membership.</w:t>
      </w:r>
    </w:p>
    <w:p w:rsidR="00B55E62" w:rsidRDefault="00477231">
      <w:pPr>
        <w:pStyle w:val="NormalWeb"/>
        <w:jc w:val="both"/>
      </w:pPr>
      <w:r>
        <w:t>These firm-heterogeneity findings also carry a methodological implication for the FTSE 350 context specifically. Because the index spans companies ranging from micro-cap-adjacent recent entrants to some of the largest firms listed on the London Stock Exchange, any strategic WCM framework developed in Section 5 of this report cannot treat the index as a homogeneous population. Instead, the framework must be capable of accommodating heterogeneous optimal thresholds, consistent with the moderating roles that size, leverage, and managerial capability have each been shown to play across the studies reviewed in this theme.</w:t>
      </w:r>
    </w:p>
    <w:p w:rsidR="00B55E62" w:rsidRDefault="00477231">
      <w:pPr>
        <w:pStyle w:val="NormalWeb"/>
        <w:jc w:val="both"/>
      </w:pPr>
      <w:r>
        <w:t>Taken as a whole, Theme 1 illustrates a broader philosophical tension that recurs throughout this report: the pursuit of statistical generalisability through large-N panel designs necessarily comes at the cost of contextual granularity. Every study reviewed in this subsection derives its inverted U-shaped relationship from cross-firm variation observed at a single point in time or averaged across a panel window, rather than from close observation of how any individual FTSE 350 treasurer actually identifies and responds to their firm's specific break-even threshold in practice. This is not a flaw unique to any one study, but a structural feature of the objectivist-positivist research programme as a whole, and it is precisely the gap that the DBA-level pragmatic framework proposed later in this report is designed to address.</w:t>
      </w:r>
    </w:p>
    <w:p w:rsidR="00B55E62" w:rsidRDefault="00477231">
      <w:pPr>
        <w:pStyle w:val="NormalWeb"/>
        <w:jc w:val="both"/>
      </w:pPr>
      <w:r>
        <w:t xml:space="preserve">This raises a question the objectivist studies reviewed above cannot, by design, answer: would an interpretivist, critical realist, or pragmatist researcher conceptualise the very idea of an “optimal” working capital threshold differently? An interpretivist would likely reject the premise that a single numerical threshold exists independently of the meanings CFOs attach to liquidity risk, arguing instead that what counts as “optimal” is negotiated through organisational culture and individual risk tolerance, and is therefore not something a panel regression can recover. A critical realist would retain the assumption that a real, underlying causal mechanism links working capital to performance, but would insist that this mechanism operates through unobservable structures—managerial cognition, bargaining power with suppliers—that the observed statistical pattern only partially reveals. A pragmatist, by contrast, would treat the disagreement between these positions as less important than the practical question of which threshold estimate, however imperfectly derived, is most useful for guiding a specific FTSE 350 firm’s decision under specific conditions. This report adopts the pragmatist position not because it resolves the ontological disagreement, but because it is the position best suited to DBA scholarship’s applied purpose. </w:t>
      </w:r>
    </w:p>
    <w:p w:rsidR="003A0A3E" w:rsidRPr="003A0A3E" w:rsidRDefault="00846864" w:rsidP="003A0A3E">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bookmarkStart w:id="9" w:name="_Toc238372482"/>
      <w:r>
        <w:rPr>
          <w:rFonts w:ascii="Times New Roman" w:eastAsia="Times New Roman" w:hAnsi="Times New Roman" w:cs="Times New Roman"/>
          <w:b/>
          <w:bCs/>
          <w:sz w:val="27"/>
          <w:szCs w:val="27"/>
          <w:lang w:val="en-GB" w:eastAsia="en-GB"/>
        </w:rPr>
        <w:t>3.2 Theme 2: Macroeconomic Contingencies and Interest Rate Transmission</w:t>
      </w:r>
      <w:bookmarkEnd w:id="9"/>
    </w:p>
    <w:p w:rsidR="00846864" w:rsidRDefault="00846864" w:rsidP="00846864">
      <w:pPr>
        <w:pStyle w:val="NormalWeb"/>
        <w:jc w:val="both"/>
      </w:pPr>
      <w:r>
        <w:t xml:space="preserve">While Theme 1 establishes the internal mechanics of working capital optimization, Theme 2 shifts the analytical lens to the external macro-environment, specifically focusing on how monetary policy tightening, interest rate fluctuations, and macroeconomic shocks alter short-term financial decision-making. In changing interest rate environments—such as the recent global monetary tightening cycles—the cost of debt and capital rises sharply, fundamentally altering the trade-off between holding liquid assets and minimizing short-term leverage. </w:t>
      </w:r>
    </w:p>
    <w:p w:rsidR="00846864" w:rsidRDefault="00846864" w:rsidP="00846864">
      <w:pPr>
        <w:pStyle w:val="NormalWeb"/>
        <w:jc w:val="both"/>
      </w:pPr>
      <w:r>
        <w:t xml:space="preserve">The conceptual foundation of this theme is anchored in </w:t>
      </w:r>
      <w:r>
        <w:rPr>
          <w:b/>
          <w:bCs/>
        </w:rPr>
        <w:t>Contingency Theory</w:t>
      </w:r>
      <w:r>
        <w:t xml:space="preserve">, which posits that there is no universally "optimal" working capital structure; rather, optimal financial strategy is contingent upon external environmental volatility and resource constraints. Groundbreaking empirical evidence by Wagdi et al. (2025) explicitly tested the moderating role of interest rates on working capital and firm value. Their findings indicate that during high interest rate regimes, the opportunity cost of tied-up working capital escalates dramatically, shifting the optimal break-even point to the left. In other words, as interest rates increase, firms must adopt leaner working capital structures to avoid prohibitive interest expense burdens. </w:t>
      </w:r>
    </w:p>
    <w:p w:rsidR="00B55E62" w:rsidRDefault="00477231">
      <w:pPr>
        <w:pStyle w:val="NormalWeb"/>
        <w:jc w:val="both"/>
      </w:pPr>
      <w:r>
        <w:lastRenderedPageBreak/>
        <w:t xml:space="preserve">Contingency Theory itself deserves critical scrutiny rather than uncritical adoption as this report’s organising framework. As originally formulated in organisational theory, contingency thinking explains structural fit between an organisation and its environment, but it is largely silent on managerial agency: it specifies that firms facing similar external conditions should converge on similar working capital strategies, yet says little about how individual CFOs interpret, resist, or delay adjusting to a changing interest rate environment. Wagdi et al. (2025) and the studies that follow it operationalise contingency purely as a statistical interaction term between interest rates and working capital variables, which captures the structural relationship but cannot distinguish a firm that fails to adjust because its treasury team misreads the signal from one that fails to adjust because it deliberately accepts short-term inefficiency to preserve supplier relationships. This is precisely the interpretive gap identified in Section 3.1, and it means Contingency Theory, as currently applied in this literature, functions more as a statistical moderation device than as a genuine explanation of managerial decision-making under uncertainty. </w:t>
      </w:r>
    </w:p>
    <w:p w:rsidR="00846864" w:rsidRDefault="00846864" w:rsidP="00846864">
      <w:pPr>
        <w:pStyle w:val="NormalWeb"/>
        <w:jc w:val="both"/>
      </w:pPr>
      <w:r>
        <w:t>This macroeconomic sensitivity is further echoed by Abdelaziz et al. (2025), who investigated the transmission mechanism of macroeconomic indicators (inflation, central bank policy rates) on working capital efficiency. They established that external monetary shocks directly exacerbate corporate cash flow stress, forcing firms to re-evaluate their trade credit policies. In the technology and capital-intensive sectors, Purba et al. (2025) demonstrated that proactive liquidity management acts as a vital buffer against interest rate shocks, preventing corporate financial distress. Furthermore, Ogege (2026) demonstrated that interest rate volatility alters short-term borrowing choices, directly impacting working capital allocation strategies across listed corporate entities.</w:t>
      </w:r>
    </w:p>
    <w:p w:rsidR="00846864" w:rsidRDefault="00846864" w:rsidP="00846864">
      <w:pPr>
        <w:pStyle w:val="NormalWeb"/>
        <w:jc w:val="both"/>
      </w:pPr>
      <w:r>
        <w:t>In crisis contexts, Ahmad et al. (2022) compared the structural behavior of working capital during macroeconomic crises, illustrating that macro-environmental shocks break historical baseline models. This aligns with Ghada Ahmed Nabil Ibrahim and Hoda Essam Hassan Khaled (2026), who proved that Economic Policy Uncertainty (</w:t>
      </w:r>
      <w:r>
        <w:rPr>
          <w:rStyle w:val="math-inline"/>
        </w:rPr>
        <w:t>EPU</w:t>
      </w:r>
      <w:r>
        <w:t>) significantly moderates the relationship between aggressive working capital policies and corporate financial distress.</w:t>
      </w:r>
    </w:p>
    <w:p w:rsidR="00846864" w:rsidRDefault="00846864" w:rsidP="00846864">
      <w:pPr>
        <w:pStyle w:val="NormalWeb"/>
        <w:jc w:val="both"/>
      </w:pPr>
      <w:r>
        <w:t xml:space="preserve">Philosophically, Theme 2 operationalizes a </w:t>
      </w:r>
      <w:r>
        <w:rPr>
          <w:b/>
          <w:bCs/>
        </w:rPr>
        <w:t>contingent post-positivist paradigm</w:t>
      </w:r>
      <w:r>
        <w:t xml:space="preserve">. While maintaining a quantitative methodology, researchers acknowledge that financial laws are not universal constants but are bounded by external macro-environmental structures. The ontological stance recognizes macroeconomic indicators (e.g., interest rate levels) as real, exogenous structural forces that constrain corporate agency. This theme directly justifies the core focus of this report: developing a strategic framework for </w:t>
      </w:r>
      <w:r>
        <w:rPr>
          <w:b/>
          <w:bCs/>
        </w:rPr>
        <w:t>FTSE 350 companies</w:t>
      </w:r>
      <w:r>
        <w:t xml:space="preserve"> that are dynamically responsive to changing interest rate environments. </w:t>
      </w:r>
    </w:p>
    <w:p w:rsidR="00B55E62" w:rsidRDefault="00477231">
      <w:pPr>
        <w:pStyle w:val="NormalWeb"/>
        <w:jc w:val="both"/>
      </w:pPr>
      <w:r>
        <w:t>The business-cycle sensitivity of WCM is corroborated by earlier European evidence. Enqvist, Graham and Nikkinen (2014) find, using Finnish listed data, that the impact of working capital efficiency on profitability is significantly stronger during economic downturns than during expansions, implying that the payoff to disciplined liquidity management is state-dependent rather than constant. Gonçalves, Gaio and Robles (2018) reach a parallel conclusion using UK data, showing that the WCM–profitability relationship intensifies during periods of macroeconomic contraction. Read alongside the post-2022 tightening literature reviewed above, these earlier business-cycle studies suggest that interest rate shocks and broader economic downturns operate through a similar contingent mechanism: both raise the marginal cost of capital and therefore compress the optimal working capital band, even though the former is a monetary-policy-driven shock and the latter a real-economy shock.</w:t>
      </w:r>
    </w:p>
    <w:p w:rsidR="00B55E62" w:rsidRDefault="00477231">
      <w:pPr>
        <w:pStyle w:val="NormalWeb"/>
        <w:jc w:val="both"/>
      </w:pPr>
      <w:r>
        <w:t xml:space="preserve">It is also worth noting a boundary condition on the generalisability of this theme. Afrifa and Padachi (2016) demonstrate that the working-capital–profitability relationship among small and medium-sized enterprises (SMEs) is shaped heavily by constrained access to external finance, a structural condition that does not straightforwardly apply to FTSE 350 constituents, which typically retain access to public debt and equity markets even during periods of monetary tightening. This distinction reinforces the empirical gap motivating </w:t>
      </w:r>
      <w:r>
        <w:lastRenderedPageBreak/>
        <w:t>the present report: contingency-based findings derived from SME or emerging-market samples cannot be uncritically extrapolated to large-cap UK firms, whose working capital decisions are shaped by a different set of financing constraints, credit ratings, and treasury governance structures.</w:t>
      </w:r>
    </w:p>
    <w:p w:rsidR="00B55E62" w:rsidRDefault="00477231">
      <w:pPr>
        <w:pStyle w:val="NormalWeb"/>
        <w:jc w:val="both"/>
      </w:pPr>
      <w:r>
        <w:t>Theme 2 also surfaces an important scope condition regarding the direction of causality between macroeconomic contingency and firm-level response. Much of the reviewed literature, including Wagdi et al. (2025) and Ogege (2026), models firms as passive recipients of exogenous interest rate shocks. Yet large-cap FTSE 350 firms are not uniformly price-takers in credit markets: their scale, credit ratings, and access to public bond markets give many constituents meaningfully greater bargaining power over financing terms than the small and mid-cap firms that dominate several of the samples reviewed here. A contingency framework built for FTSE 350 decision-makers must therefore account for this asymmetric bargaining position, rather than assuming a uniform pass-through of macroeconomic shocks across firms of vastly different scale.</w:t>
      </w:r>
    </w:p>
    <w:p w:rsidR="003A0A3E" w:rsidRPr="003A0A3E" w:rsidRDefault="00846864" w:rsidP="003A0A3E">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bookmarkStart w:id="10" w:name="_Toc238372483"/>
      <w:r>
        <w:rPr>
          <w:rFonts w:ascii="Times New Roman" w:eastAsia="Times New Roman" w:hAnsi="Times New Roman" w:cs="Times New Roman"/>
          <w:b/>
          <w:bCs/>
          <w:sz w:val="27"/>
          <w:szCs w:val="27"/>
          <w:lang w:val="en-GB" w:eastAsia="en-GB"/>
        </w:rPr>
        <w:t>3.3 Theme 3: Methodological Tensions and Econometric Debates</w:t>
      </w:r>
      <w:bookmarkEnd w:id="10"/>
    </w:p>
    <w:p w:rsidR="00846864" w:rsidRPr="00846864" w:rsidRDefault="00846864" w:rsidP="00846864">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Theme 3 critiques the methodological choices framing WCM literature, uncovering severe econometric tensions that have led to conflicting empirical conclusions. Corporate finance research is inherently vulnerable to methodological pitfalls, most notably </w:t>
      </w:r>
      <w:r>
        <w:rPr>
          <w:rFonts w:ascii="Times New Roman" w:eastAsia="Times New Roman" w:hAnsi="Times New Roman" w:cs="Times New Roman"/>
          <w:b/>
          <w:bCs/>
          <w:sz w:val="24"/>
          <w:szCs w:val="24"/>
        </w:rPr>
        <w:t>unobserved firm heterogeneity</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simultaneity</w:t>
      </w:r>
      <w:r>
        <w:rPr>
          <w:rFonts w:ascii="Times New Roman" w:eastAsia="Times New Roman" w:hAnsi="Times New Roman" w:cs="Times New Roman"/>
          <w:sz w:val="24"/>
          <w:szCs w:val="24"/>
        </w:rPr>
        <w:t xml:space="preserve">, and </w:t>
      </w:r>
      <w:r>
        <w:rPr>
          <w:rFonts w:ascii="Times New Roman" w:eastAsia="Times New Roman" w:hAnsi="Times New Roman" w:cs="Times New Roman"/>
          <w:b/>
          <w:bCs/>
          <w:sz w:val="24"/>
          <w:szCs w:val="24"/>
        </w:rPr>
        <w:t>endogeneity</w:t>
      </w:r>
      <w:r>
        <w:rPr>
          <w:rFonts w:ascii="Times New Roman" w:eastAsia="Times New Roman" w:hAnsi="Times New Roman" w:cs="Times New Roman"/>
          <w:sz w:val="24"/>
          <w:szCs w:val="24"/>
        </w:rPr>
        <w:t xml:space="preserve">. Endogeneity arises when working capital choices and firm performance are jointly determined, or when reverse causality exists (i.e., whether efficient WCM drives high ROA, or whether highly profitable firms naturally possess the cash flow to optimize working capital). </w:t>
      </w:r>
    </w:p>
    <w:p w:rsidR="00846864" w:rsidRPr="00846864" w:rsidRDefault="00846864" w:rsidP="00846864">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critical appraisal of the literature over the last five years reveals a clear methodological divide:</w:t>
      </w:r>
    </w:p>
    <w:p w:rsidR="00846864" w:rsidRPr="00846864" w:rsidRDefault="00846864" w:rsidP="00D3699A">
      <w:pPr>
        <w:numPr>
          <w:ilvl w:val="0"/>
          <w:numId w:val="10"/>
        </w:num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Static Panel Estimators (OLS, Fixed Effects, Random Effects, PCSE):</w:t>
      </w:r>
      <w:r>
        <w:rPr>
          <w:rFonts w:ascii="Times New Roman" w:eastAsia="Times New Roman" w:hAnsi="Times New Roman" w:cs="Times New Roman"/>
          <w:sz w:val="24"/>
          <w:szCs w:val="24"/>
        </w:rPr>
        <w:t xml:space="preserve"> Studies such as Anton and Nucu (2021) rely on static panel models. While static models effectively control for time-invariant unobserved firm characteristics, they fail to address dynamic endogeneity or lagged performance dependencies, potentially producing biased and inconsistent parameter estimates. </w:t>
      </w:r>
    </w:p>
    <w:p w:rsidR="00846864" w:rsidRPr="00846864" w:rsidRDefault="00846864" w:rsidP="00D3699A">
      <w:pPr>
        <w:numPr>
          <w:ilvl w:val="0"/>
          <w:numId w:val="10"/>
        </w:num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Dynamic Econometric Estimators (System GMM &amp; Dynamic Panel Data):</w:t>
      </w:r>
      <w:r>
        <w:rPr>
          <w:rFonts w:ascii="Times New Roman" w:eastAsia="Times New Roman" w:hAnsi="Times New Roman" w:cs="Times New Roman"/>
          <w:sz w:val="24"/>
          <w:szCs w:val="24"/>
        </w:rPr>
        <w:t xml:space="preserve"> Advanced studies, led by Levický et al. (2026) and Yousaf (2025), argue that corporate financial decisions are dynamic and path-dependent. Levický et al. (2026) explicitly compared static versus dynamic estimators, proving that static panel models suffer from severe endogeneity bias, whereas the </w:t>
      </w:r>
      <w:r>
        <w:rPr>
          <w:rFonts w:ascii="Times New Roman" w:eastAsia="Times New Roman" w:hAnsi="Times New Roman" w:cs="Times New Roman"/>
          <w:b/>
          <w:bCs/>
          <w:sz w:val="24"/>
          <w:szCs w:val="24"/>
        </w:rPr>
        <w:t>Generalized Method of Moments (System GMM)</w:t>
      </w:r>
      <w:r>
        <w:rPr>
          <w:rFonts w:ascii="Times New Roman" w:eastAsia="Times New Roman" w:hAnsi="Times New Roman" w:cs="Times New Roman"/>
          <w:sz w:val="24"/>
          <w:szCs w:val="24"/>
        </w:rPr>
        <w:t xml:space="preserve"> effectively resolves endogeneity, heteroscedasticity, and reverse causality by introducing lagged instrumental variables. </w:t>
      </w:r>
    </w:p>
    <w:p w:rsidR="00846864" w:rsidRPr="00846864" w:rsidRDefault="00846864" w:rsidP="00846864">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Foundational UK empirical research by Baños-Caballero et al. (2014) pioneered the application of System GMM to establish the non-linear WCM relationship under financial constraints. This methodological standard was further advanced by Tingbani et al. (2020), who utilized interactive dynamic panel models across 802 London Stock Exchange (LSE) listed firms. Tingbani et al. (2020) demonstrated that failure to model dynamic endogeneity leads to misestimating the optimal working capital threshold. </w:t>
      </w:r>
    </w:p>
    <w:p w:rsidR="00846864" w:rsidRPr="00846864" w:rsidRDefault="00846864" w:rsidP="00846864">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a philosophical perspective, Theme 3 reflects a </w:t>
      </w:r>
      <w:r>
        <w:rPr>
          <w:rFonts w:ascii="Times New Roman" w:eastAsia="Times New Roman" w:hAnsi="Times New Roman" w:cs="Times New Roman"/>
          <w:b/>
          <w:bCs/>
          <w:sz w:val="24"/>
          <w:szCs w:val="24"/>
        </w:rPr>
        <w:t>critical methodological appraisal rooted in post-positivism</w:t>
      </w:r>
      <w:r>
        <w:rPr>
          <w:rFonts w:ascii="Times New Roman" w:eastAsia="Times New Roman" w:hAnsi="Times New Roman" w:cs="Times New Roman"/>
          <w:sz w:val="24"/>
          <w:szCs w:val="24"/>
        </w:rPr>
        <w:t xml:space="preserve">. It acknowledges that quantitative financial data cannot be analyzed naively through simplistic linear models. The methodological shift toward dynamic econometrics reflects a recognition that financial reality is complex, dynamic, and endogenous. </w:t>
      </w:r>
    </w:p>
    <w:p w:rsidR="00B55E62" w:rsidRDefault="00477231">
      <w:pPr>
        <w:pStyle w:val="NormalWeb"/>
        <w:jc w:val="both"/>
      </w:pPr>
      <w:r>
        <w:t xml:space="preserve">This methodological progression should not, however, be read as dynamic econometrics simply being epistemologically superior to static estimation; the two approaches make different knowledge possible, at different costs. The relevant question is not merely which estimator is more “rigorous” in the abstract, but: what knowledge does System GMM make possible, and what knowledge does it make invisible? By instrumenting </w:t>
      </w:r>
      <w:r>
        <w:lastRenderedPageBreak/>
        <w:t xml:space="preserve">lagged variables to purge endogeneity, System GMM makes it possible to claim, with greater confidence, that a statistical association reflects a genuine causal effect rather than reverse causality or omitted-variable bias. What it makes invisible is equally important: the technique requires treating working capital adjustment as a mechanical, lagged response to past conditions, which forecloses any representation of the deliberative, forward-looking reasoning through which a CFO actually decides how to respond to a rate change. A more econometrically defensible model, in other words, is not automatically a more complete account of the phenomenon—it simply trades one kind of validity (causal identification) for another kind of knowledge (managerial meaning) that it structurally cannot capture. </w:t>
      </w:r>
    </w:p>
    <w:p w:rsidR="00B55E62" w:rsidRDefault="00477231">
      <w:pPr>
        <w:pStyle w:val="NormalWeb"/>
        <w:jc w:val="both"/>
      </w:pPr>
      <w:r>
        <w:t>Beyond the static-versus-dynamic divide, a parallel methodological debate concerns the correct treatment of standard errors in panel settings. Petersen (2009) and Beck and Katz (1995) independently demonstrate that failing to correct for cross-sectional dependence and serial correlation in panel data can produce dramatically understated standard errors, leading researchers to overstate the statistical significance of WCM coefficients. This concern is directly relevant to the WCM literature reviewed in Themes 1 and 2, much of which relies on Panel-Corrected Standard Errors (PCSE) or clustered standard errors precisely to guard against this bias; studies that omit such corrections should therefore be interpreted with additional caution regarding the robustness of their reported significance levels.</w:t>
      </w:r>
    </w:p>
    <w:p w:rsidR="00B55E62" w:rsidRDefault="00477231">
      <w:pPr>
        <w:pStyle w:val="NormalWeb"/>
        <w:jc w:val="both"/>
      </w:pPr>
      <w:r>
        <w:t>A final methodological tension concerns model selection transparency. Yousaf (2025) provides explicit decision criteria for choosing among competing panel estimators based on the diagnostic properties of a given dataset, including tests for cross-sectional dependence, heteroscedasticity, and instrument validity in the System GMM context (notably the Hansen and Arellano-Bond tests). Applying this decision framework retrospectively to the studies reviewed in Themes 1 and 2 reveals considerable variation in the extent to which authors report these diagnostic checks; several static-panel studies, for instance, do not report formal endogeneity tests, leaving readers to infer robustness rather than verify it directly. This observation reinforces a core methodological recommendation of this report: any FTSE 350-focused empirical extension of this literature should report the full suite of specification diagnostics alongside headline coefficients, rather than treating estimator choice as a matter of convention.</w:t>
      </w:r>
    </w:p>
    <w:p w:rsidR="00B55E62" w:rsidRDefault="00477231">
      <w:pPr>
        <w:pStyle w:val="NormalWeb"/>
        <w:jc w:val="both"/>
      </w:pPr>
      <w:r>
        <w:t>Finally, it is worth situating this methodological debate within a wider question of what constitutes acceptable evidence in DBA-level applied research. Unlike purely academic finance research, which prioritises econometric elegance and generalisability, DBA scholarship must also demonstrate managerial actionability. A dynamic System GMM estimate that resolves endogeneity but produces a coefficient too abstract for a treasury team to operationalise is, from a pragmatist standpoint, only a partial success. This tension between econometric rigor and managerial usability recurs throughout Section 4 and directly motivates the pragmatic, mixed-methods orientation adopted in the strategic framework proposed in Section 5.</w:t>
      </w:r>
    </w:p>
    <w:p w:rsidR="003A0A3E" w:rsidRPr="003A0A3E" w:rsidRDefault="003A0A3E" w:rsidP="003A0A3E">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bookmarkStart w:id="11" w:name="_Toc238372484"/>
      <w:r>
        <w:rPr>
          <w:rFonts w:ascii="Times New Roman" w:eastAsia="Times New Roman" w:hAnsi="Times New Roman" w:cs="Times New Roman"/>
          <w:b/>
          <w:bCs/>
          <w:sz w:val="27"/>
          <w:szCs w:val="27"/>
          <w:lang w:val="en-GB" w:eastAsia="en-GB"/>
        </w:rPr>
        <w:t>3.4 Synthesis and Research Gaps</w:t>
      </w:r>
      <w:bookmarkEnd w:id="11"/>
    </w:p>
    <w:p w:rsidR="00846864" w:rsidRPr="00846864" w:rsidRDefault="00846864" w:rsidP="00846864">
      <w:pPr>
        <w:spacing w:before="100" w:beforeAutospacing="1" w:after="100" w:afterAutospacing="1" w:line="240" w:lineRule="auto"/>
        <w:jc w:val="both"/>
        <w:rPr>
          <w:rFonts w:ascii="Times New Roman" w:eastAsia="Times New Roman" w:hAnsi="Times New Roman" w:cs="Times New Roman"/>
          <w:sz w:val="24"/>
          <w:szCs w:val="24"/>
          <w:lang w:val="en-GB" w:eastAsia="en-GB"/>
        </w:rPr>
      </w:pPr>
      <w:r>
        <w:t xml:space="preserve">Synthesizing the literature across the three themes reveals significant progress in understanding corporate liquidity, yet the gaps that remain are not independent of one another: each follows logically from the one before it, forming a single chain running from what has been studied, to why it has been studied that way, to how it has been studied, to what remains unusable in practice: </w:t>
      </w:r>
    </w:p>
    <w:p w:rsidR="00846864" w:rsidRDefault="00846864" w:rsidP="00846864">
      <w:pPr>
        <w:pStyle w:val="NormalWeb"/>
        <w:jc w:val="both"/>
      </w:pPr>
      <w:r>
        <w:rPr>
          <w:b/>
          <w:bCs/>
        </w:rPr>
        <w:t>1. Literature Gap (Post-2022 UK Focus):</w:t>
      </w:r>
      <w:r>
        <w:t xml:space="preserve"> While studies have examined emerging markets (Anton &amp; Nucu, 2021; Hieu et al., 2025) or broader UK datasets (Tingbani et al., 2020; Baños-Caballero et al., 2014), there is a distinct lack of empirical literature examining how large-cap UK firms (</w:t>
      </w:r>
      <w:r>
        <w:rPr>
          <w:b/>
          <w:bCs/>
        </w:rPr>
        <w:t>FTSE 350</w:t>
      </w:r>
      <w:r>
        <w:t xml:space="preserve">) have strategically adapted their working capital structures to the aggressive monetary tightening and interest rate hikes experienced between 2022 and 2026. </w:t>
      </w:r>
    </w:p>
    <w:p w:rsidR="00846864" w:rsidRDefault="00846864" w:rsidP="00846864">
      <w:pPr>
        <w:pStyle w:val="NormalWeb"/>
        <w:jc w:val="both"/>
      </w:pPr>
      <w:r>
        <w:rPr>
          <w:b/>
          <w:bCs/>
        </w:rPr>
        <w:lastRenderedPageBreak/>
        <w:t>2. Philosophical and Axiological Gap:</w:t>
      </w:r>
      <w:r>
        <w:t xml:space="preserve"> The overarching literature suffers from a </w:t>
      </w:r>
      <w:r>
        <w:rPr>
          <w:b/>
          <w:bCs/>
        </w:rPr>
        <w:t>positivist reductionist bias</w:t>
      </w:r>
      <w:r>
        <w:t xml:space="preserve">. By treating working capital strictly as an objective numeric balance, existing research ignores the axiological, ethical, and behavioral dimensions of liquidity decisions—such as the ethical implications of extending supplier payment terms during inflationary periods. </w:t>
      </w:r>
    </w:p>
    <w:p w:rsidR="00846864" w:rsidRDefault="00846864" w:rsidP="00846864">
      <w:pPr>
        <w:pStyle w:val="NormalWeb"/>
        <w:jc w:val="both"/>
      </w:pPr>
      <w:r>
        <w:rPr>
          <w:b/>
          <w:bCs/>
        </w:rPr>
        <w:t>3. Methodological Gap (Static vs. Strategic Frameworks):</w:t>
      </w:r>
      <w:r>
        <w:t xml:space="preserve"> The literature is dominated by retrospective econometric modeling that establishes </w:t>
      </w:r>
      <w:r>
        <w:rPr>
          <w:i/>
          <w:iCs/>
        </w:rPr>
        <w:t>what</w:t>
      </w:r>
      <w:r>
        <w:t xml:space="preserve"> statistical relationships exist, but fails to provide a prescriptive, actionable </w:t>
      </w:r>
      <w:r>
        <w:rPr>
          <w:b/>
          <w:bCs/>
        </w:rPr>
        <w:t>Strategic Framework</w:t>
      </w:r>
      <w:r>
        <w:t xml:space="preserve"> that corporate treasurers and CFOs can operationalize during rapid interest rate transitions. </w:t>
      </w:r>
    </w:p>
    <w:p w:rsidR="00846864" w:rsidRPr="00846864" w:rsidRDefault="00846864" w:rsidP="00846864">
      <w:pPr>
        <w:pStyle w:val="NormalWeb"/>
        <w:jc w:val="both"/>
      </w:pPr>
      <w:r>
        <w:t xml:space="preserve">This report directly addresses these gaps by evaluating empirical methodologies and synthesizing a holistic, contingent, and pragmatically actionable Strategic Working Capital Management Framework tailored for FTSE 350 decision-makers operating under changing interest rate regimes. </w:t>
      </w:r>
    </w:p>
    <w:p w:rsidR="00B55E62" w:rsidRDefault="00477231">
      <w:pPr>
        <w:pStyle w:val="NormalWeb"/>
        <w:jc w:val="both"/>
      </w:pPr>
      <w:r>
        <w:rPr>
          <w:b/>
          <w:bCs/>
        </w:rPr>
        <w:t>4. Practice Gap (Sectoral and Estimation Fragmentation):</w:t>
      </w:r>
      <w:r>
        <w:t xml:space="preserve"> The first three gaps converge on a single practical consequence: no reviewed study offers FTSE 350 decision-makers a usable, sector-sensitive threshold. Purba et al. (2025) and Ogege (2026) suggest that interest rate sensitivity varies by industry, yet no sector-disaggregated framework exists for an index spanning capital-intensive utilities and asset-light technology firms alike. Compounding this, Wagdi et al. (2025) model interest rate contingency using a static estimator, while Levický et al. (2026) address dynamic endogeneity without interacting it with the interest rate regime; no study combines both design features. The result is a literature that is empirically rich but practically inert for the specific decision-maker this report addresses—precisely the gap the strategic framework in Section 5 is built to close. </w:t>
      </w:r>
    </w:p>
    <w:p w:rsidR="004525D5" w:rsidRDefault="004525D5" w:rsidP="003A0A3E">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r>
        <w:rPr>
          <w:rFonts w:ascii="Times New Roman" w:eastAsia="Times New Roman" w:hAnsi="Times New Roman" w:cs="Times New Roman"/>
          <w:b/>
          <w:bCs/>
          <w:kern w:val="36"/>
          <w:sz w:val="48"/>
          <w:szCs w:val="48"/>
          <w:lang w:val="en-GB" w:eastAsia="en-GB"/>
        </w:rPr>
        <w:br w:type="page"/>
      </w:r>
    </w:p>
    <w:p w:rsidR="003A0A3E" w:rsidRPr="003A0A3E" w:rsidRDefault="003A0A3E" w:rsidP="003A0A3E">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bookmarkStart w:id="12" w:name="_Toc238372485"/>
      <w:r>
        <w:rPr>
          <w:rFonts w:ascii="Times New Roman" w:eastAsia="Times New Roman" w:hAnsi="Times New Roman" w:cs="Times New Roman"/>
          <w:b/>
          <w:bCs/>
          <w:kern w:val="36"/>
          <w:sz w:val="48"/>
          <w:szCs w:val="48"/>
          <w:lang w:val="en-GB" w:eastAsia="en-GB"/>
        </w:rPr>
        <w:lastRenderedPageBreak/>
        <w:t>4. Philosophical and Methodological Analysis of One Selected Study</w:t>
      </w:r>
      <w:bookmarkEnd w:id="12"/>
    </w:p>
    <w:p w:rsidR="003A0A3E" w:rsidRPr="003A0A3E" w:rsidRDefault="003A0A3E" w:rsidP="00CC1D32">
      <w:pPr>
        <w:spacing w:before="100" w:beforeAutospacing="1" w:after="100" w:afterAutospacing="1" w:line="240" w:lineRule="auto"/>
        <w:jc w:val="both"/>
        <w:outlineLvl w:val="2"/>
        <w:rPr>
          <w:rFonts w:ascii="Times New Roman" w:eastAsia="Times New Roman" w:hAnsi="Times New Roman" w:cs="Times New Roman"/>
          <w:b/>
          <w:bCs/>
          <w:sz w:val="27"/>
          <w:szCs w:val="27"/>
          <w:lang w:val="en-GB" w:eastAsia="en-GB"/>
        </w:rPr>
      </w:pPr>
      <w:bookmarkStart w:id="13" w:name="_Toc238372486"/>
      <w:r>
        <w:rPr>
          <w:rFonts w:ascii="Times New Roman" w:eastAsia="Times New Roman" w:hAnsi="Times New Roman" w:cs="Times New Roman"/>
          <w:b/>
          <w:bCs/>
          <w:sz w:val="27"/>
          <w:szCs w:val="27"/>
          <w:lang w:val="en-GB" w:eastAsia="en-GB"/>
        </w:rPr>
        <w:t>4.1 Overview of the Selected Study</w:t>
      </w:r>
      <w:bookmarkEnd w:id="13"/>
      <w:r>
        <w:rPr>
          <w:rFonts w:ascii="Times New Roman" w:eastAsia="Times New Roman" w:hAnsi="Times New Roman" w:cs="Times New Roman"/>
          <w:b/>
          <w:bCs/>
          <w:sz w:val="27"/>
          <w:szCs w:val="27"/>
          <w:lang w:val="en-GB" w:eastAsia="en-GB"/>
        </w:rPr>
        <w:t xml:space="preserve"> </w:t>
      </w:r>
    </w:p>
    <w:p w:rsidR="00E022D6" w:rsidRPr="00E022D6" w:rsidRDefault="00E022D6" w:rsidP="00CC1D32">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Tingbani et al. (2020) examine the complex relationship between Working Capital Management (WCM) and corporate financial performance within the context of UK listed companies. Their study, titled </w:t>
      </w:r>
      <w:r>
        <w:rPr>
          <w:rFonts w:ascii="Times New Roman" w:eastAsia="Times New Roman" w:hAnsi="Times New Roman" w:cs="Times New Roman"/>
          <w:i/>
          <w:iCs/>
          <w:sz w:val="24"/>
          <w:szCs w:val="24"/>
        </w:rPr>
        <w:t>"Working capital management and financial performance of UK listed firms: a contingency approach"</w:t>
      </w:r>
      <w:r>
        <w:rPr>
          <w:rFonts w:ascii="Times New Roman" w:eastAsia="Times New Roman" w:hAnsi="Times New Roman" w:cs="Times New Roman"/>
          <w:sz w:val="24"/>
          <w:szCs w:val="24"/>
        </w:rPr>
        <w:t xml:space="preserve">, investigates how the impact of WCM on firm performance is non-static and contingent upon external environmental factors, firm-specific resources, and managerial capabilities. </w:t>
      </w:r>
    </w:p>
    <w:p w:rsidR="00E022D6" w:rsidRPr="00E022D6" w:rsidRDefault="00E022D6" w:rsidP="00CC1D32">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employs empirical econometric methods, utilising an unbalanced panel dataset of </w:t>
      </w:r>
      <w:r>
        <w:rPr>
          <w:rFonts w:ascii="Times New Roman" w:eastAsia="Times New Roman" w:hAnsi="Times New Roman" w:cs="Times New Roman"/>
          <w:b/>
          <w:bCs/>
          <w:sz w:val="24"/>
          <w:szCs w:val="24"/>
        </w:rPr>
        <w:t>802 firms listed on the London Stock Exchange (LSE)</w:t>
      </w:r>
      <w:r>
        <w:rPr>
          <w:rFonts w:ascii="Times New Roman" w:eastAsia="Times New Roman" w:hAnsi="Times New Roman" w:cs="Times New Roman"/>
          <w:sz w:val="24"/>
          <w:szCs w:val="24"/>
        </w:rPr>
        <w:t xml:space="preserve"> over the period </w:t>
      </w:r>
      <w:r>
        <w:rPr>
          <w:rFonts w:ascii="Times New Roman" w:eastAsia="Times New Roman" w:hAnsi="Times New Roman" w:cs="Times New Roman"/>
          <w:b/>
          <w:bCs/>
          <w:sz w:val="24"/>
          <w:szCs w:val="24"/>
        </w:rPr>
        <w:t>2004–2014</w:t>
      </w:r>
      <w:r>
        <w:rPr>
          <w:rFonts w:ascii="Times New Roman" w:eastAsia="Times New Roman" w:hAnsi="Times New Roman" w:cs="Times New Roman"/>
          <w:sz w:val="24"/>
          <w:szCs w:val="24"/>
        </w:rPr>
        <w:t xml:space="preserve">. To address dynamic endogeneity and potential reverse causality, the authors implement dynamic panel data analysis featuring interactive econometric models. This study was selected as the report’s single focal paper, rather than any of the other studies reviewed in Section 3, because it is the only reviewed work to combine a UK-listed sample, an explicit Contingency Theory framing, and a dynamic endogeneity-robust estimator within one design—making it the most methodologically complete single case through which to interrogate how philosophical assumptions and econometric choices interact in practice. </w:t>
      </w:r>
    </w:p>
    <w:p w:rsidR="003A0A3E" w:rsidRPr="00E022D6" w:rsidRDefault="00E022D6" w:rsidP="00CC1D32">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primary objective of Tingbani et al. (2020) is to move beyond conventional linear and universalist WCM paradigms by embedding Contingency Theory into empirical finance. Given that LSE-listed firms comprise the core constituent universe of the </w:t>
      </w:r>
      <w:r>
        <w:rPr>
          <w:rFonts w:ascii="Times New Roman" w:eastAsia="Times New Roman" w:hAnsi="Times New Roman" w:cs="Times New Roman"/>
          <w:b/>
          <w:bCs/>
          <w:sz w:val="24"/>
          <w:szCs w:val="24"/>
        </w:rPr>
        <w:t>FTSE 350</w:t>
      </w:r>
      <w:r>
        <w:rPr>
          <w:rFonts w:ascii="Times New Roman" w:eastAsia="Times New Roman" w:hAnsi="Times New Roman" w:cs="Times New Roman"/>
          <w:sz w:val="24"/>
          <w:szCs w:val="24"/>
        </w:rPr>
        <w:t>, this study serves as an exemplary focal paper for evaluating how macro-environmental shifts (such as interest rate fluctuations) interact with short-term financial decision-making.</w:t>
      </w:r>
    </w:p>
    <w:p w:rsidR="003A0A3E" w:rsidRPr="003A0A3E" w:rsidRDefault="003A0A3E" w:rsidP="00CC1D32">
      <w:pPr>
        <w:spacing w:before="100" w:beforeAutospacing="1" w:after="100" w:afterAutospacing="1" w:line="240" w:lineRule="auto"/>
        <w:jc w:val="both"/>
        <w:outlineLvl w:val="2"/>
        <w:rPr>
          <w:rFonts w:ascii="Times New Roman" w:eastAsia="Times New Roman" w:hAnsi="Times New Roman" w:cs="Times New Roman"/>
          <w:b/>
          <w:bCs/>
          <w:sz w:val="27"/>
          <w:szCs w:val="27"/>
          <w:lang w:val="en-GB" w:eastAsia="en-GB"/>
        </w:rPr>
      </w:pPr>
      <w:bookmarkStart w:id="14" w:name="_Toc238372487"/>
      <w:r>
        <w:rPr>
          <w:rFonts w:ascii="Times New Roman" w:eastAsia="Times New Roman" w:hAnsi="Times New Roman" w:cs="Times New Roman"/>
          <w:b/>
          <w:bCs/>
          <w:sz w:val="27"/>
          <w:szCs w:val="27"/>
          <w:lang w:val="en-GB" w:eastAsia="en-GB"/>
        </w:rPr>
        <w:t>4.2 Ontology and Epistemology of the Study</w:t>
      </w:r>
      <w:bookmarkEnd w:id="14"/>
    </w:p>
    <w:p w:rsidR="00E022D6" w:rsidRPr="00E022D6" w:rsidRDefault="00E022D6" w:rsidP="00CC1D32">
      <w:pPr>
        <w:pStyle w:val="Heading4"/>
        <w:jc w:val="both"/>
        <w:rPr>
          <w:rFonts w:ascii="Times New Roman" w:hAnsi="Times New Roman" w:cs="Times New Roman"/>
          <w:i w:val="0"/>
          <w:color w:val="auto"/>
          <w:sz w:val="24"/>
          <w:szCs w:val="24"/>
        </w:rPr>
      </w:pPr>
      <w:r>
        <w:rPr>
          <w:rFonts w:ascii="Times New Roman" w:hAnsi="Times New Roman" w:cs="Times New Roman"/>
          <w:i w:val="0"/>
          <w:color w:val="auto"/>
          <w:sz w:val="24"/>
          <w:szCs w:val="24"/>
        </w:rPr>
        <w:t>Ontology</w:t>
      </w:r>
    </w:p>
    <w:p w:rsidR="00E022D6" w:rsidRDefault="00E022D6" w:rsidP="00CC1D32">
      <w:pPr>
        <w:pStyle w:val="NormalWeb"/>
        <w:jc w:val="both"/>
      </w:pPr>
      <w:r>
        <w:t xml:space="preserve">Tingbani et al. (2020) implicitly adopt an </w:t>
      </w:r>
      <w:r>
        <w:rPr>
          <w:b/>
          <w:bCs/>
        </w:rPr>
        <w:t>objectivist / realist ontology</w:t>
      </w:r>
      <w:r>
        <w:t xml:space="preserve">. Under this stance, reality is assumed to exist independently of human consciousness: </w:t>
      </w:r>
    </w:p>
    <w:p w:rsidR="00E022D6" w:rsidRDefault="00E022D6" w:rsidP="00D3699A">
      <w:pPr>
        <w:pStyle w:val="NormalWeb"/>
        <w:numPr>
          <w:ilvl w:val="0"/>
          <w:numId w:val="11"/>
        </w:numPr>
        <w:jc w:val="both"/>
      </w:pPr>
      <w:r>
        <w:t xml:space="preserve">Working capital metrics (e.g., Cash Conversion Cycle, Days Sales Outstanding), firm performance measures (e.g., Return on Assets, Tobin’s Q), and macro-contingent variables are treated as objective, quantifiable entities. </w:t>
      </w:r>
    </w:p>
    <w:p w:rsidR="00E022D6" w:rsidRDefault="00E022D6" w:rsidP="00D3699A">
      <w:pPr>
        <w:pStyle w:val="NormalWeb"/>
        <w:numPr>
          <w:ilvl w:val="0"/>
          <w:numId w:val="11"/>
        </w:numPr>
        <w:jc w:val="both"/>
      </w:pPr>
      <w:r>
        <w:t xml:space="preserve">Corporate financial efficiency is conceptualised as a structural property that can be observed, categorised, and measured through audited financial reporting databases. </w:t>
      </w:r>
    </w:p>
    <w:p w:rsidR="00E022D6" w:rsidRDefault="00E022D6" w:rsidP="00CC1D32">
      <w:pPr>
        <w:pStyle w:val="NormalWeb"/>
        <w:jc w:val="both"/>
      </w:pPr>
      <w:r>
        <w:t xml:space="preserve">From a DBA perspective, this ontological positioning provides high structural rigor but exhibits inherent boundaries. In corporate reality—especially under volatile interest rate conditions—working capital management is not merely an objective numeric balance; it is a </w:t>
      </w:r>
      <w:r>
        <w:rPr>
          <w:b/>
          <w:bCs/>
        </w:rPr>
        <w:t>socially mediated practice</w:t>
      </w:r>
      <w:r>
        <w:t xml:space="preserve"> involving executive negotiation, supplier power dynamics, and risk perception. By treating WCM strictly as an objective entity, the study brackets out human sense-making and executive behavioral nuances. </w:t>
      </w:r>
    </w:p>
    <w:p w:rsidR="00E022D6" w:rsidRPr="00E022D6" w:rsidRDefault="00E022D6" w:rsidP="00CC1D32">
      <w:pPr>
        <w:pStyle w:val="Heading4"/>
        <w:jc w:val="both"/>
        <w:rPr>
          <w:rFonts w:ascii="Times New Roman" w:hAnsi="Times New Roman" w:cs="Times New Roman"/>
          <w:i w:val="0"/>
          <w:color w:val="auto"/>
        </w:rPr>
      </w:pPr>
      <w:r>
        <w:rPr>
          <w:rFonts w:ascii="Times New Roman" w:hAnsi="Times New Roman" w:cs="Times New Roman"/>
          <w:i w:val="0"/>
          <w:color w:val="auto"/>
        </w:rPr>
        <w:lastRenderedPageBreak/>
        <w:t>Epistemology</w:t>
      </w:r>
    </w:p>
    <w:p w:rsidR="00E022D6" w:rsidRDefault="00E022D6" w:rsidP="00CC1D32">
      <w:pPr>
        <w:pStyle w:val="NormalWeb"/>
        <w:jc w:val="both"/>
      </w:pPr>
      <w:r>
        <w:t xml:space="preserve">Epistemologically, Tingbani et al. (2020) are best classified as </w:t>
      </w:r>
      <w:r>
        <w:rPr>
          <w:b/>
          <w:bCs/>
        </w:rPr>
        <w:t>post-positivist</w:t>
      </w:r>
      <w:r>
        <w:t xml:space="preserve"> rather than strictly positivist—a substantive judgement, not hedging. A strict positivist would seek a single, universal law governing the WCM-performance relationship; Tingbani et al. instead build a contingency model with conditional, firm-specific moderators and treat their coefficients as probabilistic approximations rather than deterministic laws. This acknowledgement of contingent, fallible knowledge, while still holding that an objective relationship exists and can be approximated, is the defining signature of post-positivism. Knowledge is generated through: </w:t>
      </w:r>
    </w:p>
    <w:p w:rsidR="00E022D6" w:rsidRDefault="00E022D6" w:rsidP="00D3699A">
      <w:pPr>
        <w:pStyle w:val="NormalWeb"/>
        <w:numPr>
          <w:ilvl w:val="0"/>
          <w:numId w:val="12"/>
        </w:numPr>
        <w:jc w:val="both"/>
      </w:pPr>
      <w:r>
        <w:t xml:space="preserve">Deductive hypothesis testing derived from Contingency Theory and financial economics. </w:t>
      </w:r>
    </w:p>
    <w:p w:rsidR="00E022D6" w:rsidRDefault="00E022D6" w:rsidP="00D3699A">
      <w:pPr>
        <w:pStyle w:val="NormalWeb"/>
        <w:numPr>
          <w:ilvl w:val="0"/>
          <w:numId w:val="12"/>
        </w:numPr>
        <w:jc w:val="both"/>
      </w:pPr>
      <w:r>
        <w:t xml:space="preserve">Controlled econometric modelling and quantitative variable isolation. </w:t>
      </w:r>
    </w:p>
    <w:p w:rsidR="00E022D6" w:rsidRDefault="00E022D6" w:rsidP="00D3699A">
      <w:pPr>
        <w:pStyle w:val="NormalWeb"/>
        <w:numPr>
          <w:ilvl w:val="0"/>
          <w:numId w:val="12"/>
        </w:numPr>
        <w:jc w:val="both"/>
      </w:pPr>
      <w:r>
        <w:t>Statistical generalisation drawn from a large-sample panel dataset (</w:t>
      </w:r>
      <w:r>
        <w:rPr>
          <w:rStyle w:val="math-inline"/>
        </w:rPr>
        <w:t>$N = 802$</w:t>
      </w:r>
      <w:r>
        <w:t xml:space="preserve"> firms). </w:t>
      </w:r>
    </w:p>
    <w:p w:rsidR="00E022D6" w:rsidRDefault="00E022D6" w:rsidP="00CC1D32">
      <w:pPr>
        <w:pStyle w:val="NormalWeb"/>
        <w:jc w:val="both"/>
      </w:pPr>
      <w:r>
        <w:t xml:space="preserve">The authors operate under the epistemological premise that truth regarding WCM efficiency can be uncovered objectively without researcher bias. However, this contrasts with an </w:t>
      </w:r>
      <w:r>
        <w:rPr>
          <w:b/>
          <w:bCs/>
        </w:rPr>
        <w:t>interpretivist epistemology</w:t>
      </w:r>
      <w:r>
        <w:t>, which would view liquidity management as a contextually constructed practice shaped by CFO decision-making styles, organizational culture, and macroeconomic sentiment.</w:t>
      </w:r>
    </w:p>
    <w:p w:rsidR="00B55E62" w:rsidRDefault="00477231">
      <w:pPr>
        <w:pStyle w:val="NormalWeb"/>
        <w:jc w:val="both"/>
      </w:pPr>
      <w:r>
        <w:t>This carries a direct consequence: because knowledge claims are validated through statistical significance rather than participant-verified meaning, the findings are strong on external statistical validity but silent on the causal mechanisms through which contingency effects are actually enacted inside firms—a trade-off a post-positivist reading would accept as reasonable calibration, but an interpretivist would regard as a blind spot no amount of econometric sophistication can resolve.</w:t>
      </w:r>
    </w:p>
    <w:p w:rsidR="003A0A3E" w:rsidRPr="003A0A3E" w:rsidRDefault="003A0A3E" w:rsidP="00CC1D32">
      <w:pPr>
        <w:spacing w:before="100" w:beforeAutospacing="1" w:after="100" w:afterAutospacing="1" w:line="240" w:lineRule="auto"/>
        <w:jc w:val="both"/>
        <w:outlineLvl w:val="2"/>
        <w:rPr>
          <w:rFonts w:ascii="Times New Roman" w:eastAsia="Times New Roman" w:hAnsi="Times New Roman" w:cs="Times New Roman"/>
          <w:b/>
          <w:bCs/>
          <w:sz w:val="27"/>
          <w:szCs w:val="27"/>
          <w:lang w:val="en-GB" w:eastAsia="en-GB"/>
        </w:rPr>
      </w:pPr>
      <w:bookmarkStart w:id="15" w:name="_Toc238372488"/>
      <w:r>
        <w:rPr>
          <w:rFonts w:ascii="Times New Roman" w:eastAsia="Times New Roman" w:hAnsi="Times New Roman" w:cs="Times New Roman"/>
          <w:b/>
          <w:bCs/>
          <w:sz w:val="27"/>
          <w:szCs w:val="27"/>
          <w:lang w:val="en-GB" w:eastAsia="en-GB"/>
        </w:rPr>
        <w:t>4.3 Axiology and Researcher Positionality</w:t>
      </w:r>
      <w:bookmarkEnd w:id="15"/>
    </w:p>
    <w:p w:rsidR="00E022D6" w:rsidRDefault="00E022D6" w:rsidP="00CC1D32">
      <w:pPr>
        <w:pStyle w:val="NormalWeb"/>
        <w:jc w:val="both"/>
      </w:pPr>
      <w:r>
        <w:t xml:space="preserve">The axiology of Tingbani et al. (2020) </w:t>
      </w:r>
      <w:r>
        <w:rPr>
          <w:b/>
          <w:bCs/>
        </w:rPr>
        <w:t>claims value-neutrality but is not, in fact, value-free</w:t>
      </w:r>
      <w:r>
        <w:t xml:space="preserve">. “Instrumental” accurately describes methods oriented toward usable predictive knowledge, but “value-free” accepts the study’s self-presentation rather than interrogating it. Defining firm performance through profitability and shareholder-value proxies (ROA, Tobin’s Q), rather than employee welfare or supplier solvency, is itself an axiological choice built into the dependent variable before any modelling begins. A study cannot be value-free simply by declining to state its values; it can only be value-explicit or value-implicit, and this study is the latter. </w:t>
      </w:r>
    </w:p>
    <w:p w:rsidR="00E022D6" w:rsidRDefault="00E022D6" w:rsidP="00D3699A">
      <w:pPr>
        <w:pStyle w:val="NormalWeb"/>
        <w:numPr>
          <w:ilvl w:val="0"/>
          <w:numId w:val="7"/>
        </w:numPr>
        <w:jc w:val="both"/>
      </w:pPr>
      <w:r>
        <w:rPr>
          <w:b/>
          <w:bCs/>
        </w:rPr>
        <w:t>Researcher Positionality:</w:t>
      </w:r>
      <w:r>
        <w:t xml:space="preserve"> The authors maintain a detached, objective position. By utilising secondary financial database records, the researchers eliminate direct interaction with human subjects, thereby conforming to the classical positivist ideal of researcher neutrality. </w:t>
      </w:r>
    </w:p>
    <w:p w:rsidR="003A0A3E" w:rsidRPr="00E022D6" w:rsidRDefault="00E022D6" w:rsidP="00D3699A">
      <w:pPr>
        <w:pStyle w:val="NormalWeb"/>
        <w:numPr>
          <w:ilvl w:val="0"/>
          <w:numId w:val="7"/>
        </w:numPr>
        <w:jc w:val="both"/>
      </w:pPr>
      <w:r>
        <w:rPr>
          <w:b/>
          <w:bCs/>
        </w:rPr>
        <w:t>DBA Critique:</w:t>
      </w:r>
      <w:r>
        <w:t xml:space="preserve"> While positionality is unexamined due to positivist conventions, from a DBA perspective, financial management decisions are rarely value-neutral. Aggressive WCM strategies (e.g., delaying payments to SME suppliers to optimize cash flow under high interest rates) carry ethical and societal ramifications. An uncritical instrumental axiology risks prioritising short-term financial metrics over ethical supply chain governance. </w:t>
      </w:r>
    </w:p>
    <w:p w:rsidR="00B55E62" w:rsidRDefault="00477231">
      <w:pPr>
        <w:pStyle w:val="NormalWeb"/>
        <w:jc w:val="both"/>
      </w:pPr>
      <w:r>
        <w:t>This axiological gap is not merely a theoretical nicety; it has concrete regulatory relevance for FTSE 350 firms operating in the United Kingdom. Under the UK's prompt payment reporting regime and heightened stakeholder scrutiny of supply chain conduct, boards that pursue aggressive working capital optimisation purely on the instrumental logic implicit in Tingbani et al. (2020) risk regulatory and reputational exposure that a value-free financial optimisation model, by construction, cannot foresee. A more axiologically reflexive research design would treat supplier payment ethics as a constraint on, rather than an externality to, the optimisation problem.</w:t>
      </w:r>
    </w:p>
    <w:p w:rsidR="003A0A3E" w:rsidRPr="003A0A3E" w:rsidRDefault="003A0A3E" w:rsidP="00CC1D32">
      <w:pPr>
        <w:spacing w:before="100" w:beforeAutospacing="1" w:after="100" w:afterAutospacing="1" w:line="240" w:lineRule="auto"/>
        <w:jc w:val="both"/>
        <w:outlineLvl w:val="2"/>
        <w:rPr>
          <w:rFonts w:ascii="Times New Roman" w:eastAsia="Times New Roman" w:hAnsi="Times New Roman" w:cs="Times New Roman"/>
          <w:b/>
          <w:bCs/>
          <w:sz w:val="27"/>
          <w:szCs w:val="27"/>
          <w:lang w:val="en-GB" w:eastAsia="en-GB"/>
        </w:rPr>
      </w:pPr>
      <w:bookmarkStart w:id="16" w:name="_Toc238372489"/>
      <w:r>
        <w:rPr>
          <w:rFonts w:ascii="Times New Roman" w:eastAsia="Times New Roman" w:hAnsi="Times New Roman" w:cs="Times New Roman"/>
          <w:b/>
          <w:bCs/>
          <w:sz w:val="27"/>
          <w:szCs w:val="27"/>
          <w:lang w:val="en-GB" w:eastAsia="en-GB"/>
        </w:rPr>
        <w:lastRenderedPageBreak/>
        <w:t>4.4 Methodological Quality: Reliability, Validity &amp; Trustworthiness</w:t>
      </w:r>
      <w:bookmarkEnd w:id="16"/>
    </w:p>
    <w:p w:rsidR="00E022D6" w:rsidRDefault="00E022D6" w:rsidP="00CC1D32">
      <w:pPr>
        <w:pStyle w:val="NormalWeb"/>
        <w:jc w:val="both"/>
      </w:pPr>
      <w:r>
        <w:t xml:space="preserve">These terms are frequently conflated and merit distinction: reliability concerns measurement consistency; construct validity, whether a proxy (e.g., ROA) captures the concept it claims to measure; internal validity, whether the relationship reflects a genuine causal effect; and external validity, generalisability beyond the sample. On this basis, the study provides evidence of strong reliability: </w:t>
      </w:r>
    </w:p>
    <w:p w:rsidR="00E022D6" w:rsidRDefault="00E022D6" w:rsidP="00D3699A">
      <w:pPr>
        <w:pStyle w:val="NormalWeb"/>
        <w:numPr>
          <w:ilvl w:val="0"/>
          <w:numId w:val="13"/>
        </w:numPr>
        <w:jc w:val="both"/>
      </w:pPr>
      <w:r>
        <w:t xml:space="preserve">The dataset is extracted from standardized, audited secondary reporting databases of UK publicly listed firms. </w:t>
      </w:r>
    </w:p>
    <w:p w:rsidR="00E022D6" w:rsidRDefault="00E022D6" w:rsidP="00D3699A">
      <w:pPr>
        <w:pStyle w:val="NormalWeb"/>
        <w:numPr>
          <w:ilvl w:val="0"/>
          <w:numId w:val="13"/>
        </w:numPr>
        <w:jc w:val="both"/>
      </w:pPr>
      <w:r>
        <w:t xml:space="preserve">The operationalisation of key variables (e.g., Cash Conversion Ratio, Leverage, Return on Assets) follows established financial accounting protocols. </w:t>
      </w:r>
    </w:p>
    <w:p w:rsidR="00E022D6" w:rsidRDefault="00E022D6" w:rsidP="00D3699A">
      <w:pPr>
        <w:pStyle w:val="NormalWeb"/>
        <w:numPr>
          <w:ilvl w:val="0"/>
          <w:numId w:val="13"/>
        </w:numPr>
        <w:jc w:val="both"/>
      </w:pPr>
      <w:r>
        <w:t xml:space="preserve">The quantitative procedures can be fully replicated by independent researchers accessing identical market databases. </w:t>
      </w:r>
    </w:p>
    <w:p w:rsidR="00E022D6" w:rsidRPr="00E022D6" w:rsidRDefault="00E022D6" w:rsidP="00CC1D32">
      <w:pPr>
        <w:pStyle w:val="Heading4"/>
        <w:jc w:val="both"/>
        <w:rPr>
          <w:rFonts w:ascii="Times New Roman" w:hAnsi="Times New Roman" w:cs="Times New Roman"/>
          <w:i w:val="0"/>
          <w:color w:val="auto"/>
        </w:rPr>
      </w:pPr>
      <w:r>
        <w:rPr>
          <w:rFonts w:ascii="Times New Roman" w:hAnsi="Times New Roman" w:cs="Times New Roman"/>
          <w:i w:val="0"/>
          <w:color w:val="auto"/>
        </w:rPr>
        <w:t>Internal Validity</w:t>
      </w:r>
    </w:p>
    <w:p w:rsidR="00E022D6" w:rsidRDefault="00E022D6" w:rsidP="00CC1D32">
      <w:pPr>
        <w:pStyle w:val="NormalWeb"/>
        <w:jc w:val="both"/>
      </w:pPr>
      <w:r>
        <w:t xml:space="preserve">The paper’s key methodological strength lies in its </w:t>
      </w:r>
      <w:r>
        <w:rPr>
          <w:b/>
          <w:bCs/>
        </w:rPr>
        <w:t>robust handling of internal validity</w:t>
      </w:r>
      <w:r>
        <w:t xml:space="preserve">: </w:t>
      </w:r>
    </w:p>
    <w:p w:rsidR="00E022D6" w:rsidRDefault="00E022D6" w:rsidP="00D3699A">
      <w:pPr>
        <w:pStyle w:val="NormalWeb"/>
        <w:numPr>
          <w:ilvl w:val="0"/>
          <w:numId w:val="14"/>
        </w:numPr>
        <w:jc w:val="both"/>
      </w:pPr>
      <w:r>
        <w:rPr>
          <w:b/>
          <w:bCs/>
        </w:rPr>
        <w:t>Endogeneity &amp; Reverse Causality:</w:t>
      </w:r>
      <w:r>
        <w:t xml:space="preserve"> Standard static panel models (e.g., Pooled OLS, Fixed Effects) fail to account for endogeneity (i.e., whether efficient WCM drives performance, or highly profitable firms naturally achieve better WCM). Tingbani et al. (2020) mitigate this by employing a </w:t>
      </w:r>
      <w:r>
        <w:rPr>
          <w:b/>
          <w:bCs/>
        </w:rPr>
        <w:t>Dynamic Panel Data Model</w:t>
      </w:r>
      <w:r>
        <w:t xml:space="preserve">. </w:t>
      </w:r>
    </w:p>
    <w:p w:rsidR="00E022D6" w:rsidRDefault="00E022D6" w:rsidP="00D3699A">
      <w:pPr>
        <w:pStyle w:val="NormalWeb"/>
        <w:numPr>
          <w:ilvl w:val="0"/>
          <w:numId w:val="14"/>
        </w:numPr>
        <w:jc w:val="both"/>
      </w:pPr>
      <w:r>
        <w:rPr>
          <w:b/>
          <w:bCs/>
        </w:rPr>
        <w:t>Interaction Effects:</w:t>
      </w:r>
      <w:r>
        <w:t xml:space="preserve"> By incorporating interactive terms representing environmental contingencies, the authors reduce omitted variable bias and enhance causal inference. </w:t>
      </w:r>
    </w:p>
    <w:p w:rsidR="00E022D6" w:rsidRPr="00E022D6" w:rsidRDefault="00E022D6" w:rsidP="00CC1D32">
      <w:pPr>
        <w:pStyle w:val="Heading4"/>
        <w:jc w:val="both"/>
        <w:rPr>
          <w:rFonts w:ascii="Times New Roman" w:hAnsi="Times New Roman" w:cs="Times New Roman"/>
          <w:i w:val="0"/>
          <w:color w:val="auto"/>
        </w:rPr>
      </w:pPr>
      <w:r>
        <w:rPr>
          <w:rFonts w:ascii="Times New Roman" w:hAnsi="Times New Roman" w:cs="Times New Roman"/>
          <w:i w:val="0"/>
          <w:color w:val="auto"/>
        </w:rPr>
        <w:t>External Validity and Transferability</w:t>
      </w:r>
    </w:p>
    <w:p w:rsidR="00E022D6" w:rsidRDefault="00E022D6" w:rsidP="00CC1D32">
      <w:pPr>
        <w:pStyle w:val="NormalWeb"/>
        <w:jc w:val="both"/>
      </w:pPr>
      <w:r>
        <w:t xml:space="preserve">External validity is strong within the UK public equity domain: </w:t>
      </w:r>
    </w:p>
    <w:p w:rsidR="00E022D6" w:rsidRDefault="00E022D6" w:rsidP="00D3699A">
      <w:pPr>
        <w:pStyle w:val="NormalWeb"/>
        <w:numPr>
          <w:ilvl w:val="0"/>
          <w:numId w:val="15"/>
        </w:numPr>
        <w:jc w:val="both"/>
      </w:pPr>
      <w:r>
        <w:t xml:space="preserve">The sample of 802 LSE-listed firms provides direct generalisability to large corporate entities in the UK, including the </w:t>
      </w:r>
      <w:r>
        <w:rPr>
          <w:b/>
          <w:bCs/>
        </w:rPr>
        <w:t>FTSE 350</w:t>
      </w:r>
      <w:r>
        <w:t xml:space="preserve">. </w:t>
      </w:r>
    </w:p>
    <w:p w:rsidR="00E022D6" w:rsidRDefault="00E022D6" w:rsidP="00D3699A">
      <w:pPr>
        <w:pStyle w:val="NormalWeb"/>
        <w:numPr>
          <w:ilvl w:val="0"/>
          <w:numId w:val="15"/>
        </w:numPr>
        <w:jc w:val="both"/>
      </w:pPr>
      <w:r>
        <w:rPr>
          <w:b/>
          <w:bCs/>
        </w:rPr>
        <w:t>Limitations in Transferability:</w:t>
      </w:r>
      <w:r>
        <w:t xml:space="preserve"> The findings cannot be directly transferred to unlisted Small and Medium Enterprises (SMEs) or private firms that face severe credit rationing and lack access to commercial paper markets. Furthermore, structural institutional differences prevent seamless transferability to emerging market economies.</w:t>
      </w:r>
    </w:p>
    <w:p w:rsidR="00B55E62" w:rsidRDefault="00477231">
      <w:pPr>
        <w:pStyle w:val="NormalWeb"/>
        <w:jc w:val="both"/>
      </w:pPr>
      <w:r>
        <w:t>A further dimension of external validity concerns temporal transferability. The sample period employed by Tingbani et al. (2020), 2004–2014, spans the 2008 global financial crisis but predates both the near-zero interest rate era of 2015–2021 and the aggressive post-2022 tightening cycle that motivates the present report. Coefficient estimates derived from a decade in which UK base rates rarely exceeded 5% may not capture the behavioural and structural responses of FTSE 350 treasurers operating in the markedly different rate environment of 2022–2026. This temporal boundary condition does not undermine the internal validity of the original study, but it does constrain the direct applicability of its point estimates to the present-day strategic questions this report seeks to address, reinforcing the empirical gap identified in Section 3.4.</w:t>
      </w:r>
    </w:p>
    <w:p w:rsidR="00B55E62" w:rsidRDefault="00477231">
      <w:pPr>
        <w:pStyle w:val="NormalWeb"/>
        <w:jc w:val="both"/>
      </w:pPr>
      <w:r>
        <w:t xml:space="preserve">Reliability, in the classical psychometric sense of consistency across repeated measurement, is comparatively unproblematic for a study of this kind: because the underlying data are drawn from standardised, audited financial statements rather than survey instruments or interview transcripts, the risk of measurement inconsistency across observations is low. The more consequential reliability question concerns model </w:t>
      </w:r>
      <w:r>
        <w:lastRenderedPageBreak/>
        <w:t>specification rather than data quality—that is, whether a different but equally defensible set of control variables or lag structures would yield materially different conclusions regarding the optimal working capital threshold. Tingbani et al. (2020) partially address this through robustness checks across alternative model specifications, though, as with much of the literature reviewed in Section 3.3, full sensitivity analysis across every plausible specification is rarely reported in published work due to space constraints.</w:t>
      </w:r>
    </w:p>
    <w:p w:rsidR="003A0A3E" w:rsidRPr="003A0A3E" w:rsidRDefault="003A0A3E" w:rsidP="00CC1D32">
      <w:pPr>
        <w:spacing w:before="100" w:beforeAutospacing="1" w:after="100" w:afterAutospacing="1" w:line="240" w:lineRule="auto"/>
        <w:jc w:val="both"/>
        <w:rPr>
          <w:rFonts w:ascii="Times New Roman" w:eastAsia="Times New Roman" w:hAnsi="Times New Roman" w:cs="Times New Roman"/>
          <w:b/>
          <w:bCs/>
          <w:sz w:val="27"/>
          <w:szCs w:val="27"/>
          <w:lang w:val="en-GB" w:eastAsia="en-GB"/>
        </w:rPr>
      </w:pPr>
      <w:r>
        <w:rPr>
          <w:rFonts w:ascii="Times New Roman" w:eastAsia="Times New Roman" w:hAnsi="Times New Roman" w:cs="Times New Roman"/>
          <w:b/>
          <w:bCs/>
          <w:sz w:val="27"/>
          <w:szCs w:val="27"/>
          <w:lang w:val="en-GB" w:eastAsia="en-GB"/>
        </w:rPr>
        <w:t>4.5 Ethical Considerations</w:t>
      </w:r>
    </w:p>
    <w:p w:rsidR="00E022D6" w:rsidRDefault="00E022D6" w:rsidP="00CC1D32">
      <w:pPr>
        <w:pStyle w:val="NormalWeb"/>
        <w:jc w:val="both"/>
      </w:pPr>
      <w:r>
        <w:t xml:space="preserve">Tingbani et al. (2020) navigate research ethics primarily through </w:t>
      </w:r>
      <w:r>
        <w:rPr>
          <w:b/>
          <w:bCs/>
        </w:rPr>
        <w:t>data integrity and transparency</w:t>
      </w:r>
      <w:r>
        <w:t xml:space="preserve"> protocols: </w:t>
      </w:r>
    </w:p>
    <w:p w:rsidR="00E022D6" w:rsidRDefault="00E022D6" w:rsidP="00D3699A">
      <w:pPr>
        <w:pStyle w:val="NormalWeb"/>
        <w:numPr>
          <w:ilvl w:val="0"/>
          <w:numId w:val="8"/>
        </w:numPr>
        <w:jc w:val="both"/>
      </w:pPr>
      <w:r>
        <w:t xml:space="preserve">Because the study relies exclusively on publicly disclosed secondary accounting records of listed companies, human participant ethical approval (e.g., informed consent, anonymity) was not required. </w:t>
      </w:r>
    </w:p>
    <w:p w:rsidR="00E022D6" w:rsidRDefault="00E022D6" w:rsidP="00D3699A">
      <w:pPr>
        <w:pStyle w:val="NormalWeb"/>
        <w:numPr>
          <w:ilvl w:val="0"/>
          <w:numId w:val="8"/>
        </w:numPr>
        <w:jc w:val="both"/>
      </w:pPr>
      <w:r>
        <w:rPr>
          <w:b/>
          <w:bCs/>
        </w:rPr>
        <w:t>Data Ethics &amp; P-Hacking:</w:t>
      </w:r>
      <w:r>
        <w:t xml:space="preserve"> Ethical rigor in this positivist context is reflected in model specification transparency, proper handling of unbalanced panels, and reporting complete statistical outputs rather than selectively reporting significant </w:t>
      </w:r>
      <w:r>
        <w:rPr>
          <w:rStyle w:val="math-inline"/>
        </w:rPr>
        <w:t>$p$</w:t>
      </w:r>
      <w:r>
        <w:t xml:space="preserve">-values. </w:t>
      </w:r>
    </w:p>
    <w:p w:rsidR="00B55E62" w:rsidRDefault="00477231">
      <w:pPr>
        <w:pStyle w:val="NormalWeb"/>
        <w:numPr>
          <w:ilvl w:val="0"/>
          <w:numId w:val="8"/>
        </w:numPr>
        <w:jc w:val="both"/>
      </w:pPr>
      <w:r>
        <w:rPr>
          <w:b/>
          <w:bCs/>
        </w:rPr>
        <w:t>Data-Selection Ethics and Researcher Responsibility:</w:t>
      </w:r>
      <w:r>
        <w:t xml:space="preserve"> The absence of human participants does not mean the study is free of ethical questions; it relocates them to decisions made before any human subject is involved—which firms to exclude as outliers, which controls to include, which specification to report as headline. Each choice shapes the knowledge claim reaching practitioners, and researchers bear responsibility for it, even absent formal ethics-committee review. </w:t>
      </w:r>
    </w:p>
    <w:p w:rsidR="00E022D6" w:rsidRDefault="00E022D6" w:rsidP="00D3699A">
      <w:pPr>
        <w:pStyle w:val="NormalWeb"/>
        <w:numPr>
          <w:ilvl w:val="0"/>
          <w:numId w:val="8"/>
        </w:numPr>
        <w:jc w:val="both"/>
      </w:pPr>
      <w:r>
        <w:rPr>
          <w:b/>
          <w:bCs/>
        </w:rPr>
        <w:t>Macro-Ethical Oversight:</w:t>
      </w:r>
      <w:r>
        <w:t xml:space="preserve"> The study does not address the broader ethical implications of aggressive liquidity extraction on vulnerable supply chain partners, an area requiring critical appraisal in DBA research. </w:t>
      </w:r>
    </w:p>
    <w:p w:rsidR="00B55E62" w:rsidRDefault="00477231">
      <w:pPr>
        <w:pStyle w:val="NormalWeb"/>
        <w:jc w:val="both"/>
      </w:pPr>
      <w:r>
        <w:t>It is also worth noting that the ethical simplicity afforded by relying on secondary, publicly disclosed data is itself a double-edged methodological choice. While it removes the need for informed consent procedures typically required in primary human-subjects research, it also means the study cannot capture the ethical reasoning processes of the executives whose decisions generate the working capital figures being analysed—an omission that a pragmatist research design, combining Tingbani et al.’s (2020) econometric approach with executive interviews, would be well positioned to address.</w:t>
      </w:r>
    </w:p>
    <w:p w:rsidR="003A0A3E" w:rsidRPr="003A0A3E" w:rsidRDefault="003A0A3E" w:rsidP="00CC1D32">
      <w:pPr>
        <w:spacing w:before="100" w:beforeAutospacing="1" w:after="100" w:afterAutospacing="1" w:line="240" w:lineRule="auto"/>
        <w:jc w:val="both"/>
        <w:outlineLvl w:val="2"/>
        <w:rPr>
          <w:rFonts w:ascii="Times New Roman" w:eastAsia="Times New Roman" w:hAnsi="Times New Roman" w:cs="Times New Roman"/>
          <w:b/>
          <w:bCs/>
          <w:sz w:val="27"/>
          <w:szCs w:val="27"/>
          <w:lang w:val="en-GB" w:eastAsia="en-GB"/>
        </w:rPr>
      </w:pPr>
      <w:bookmarkStart w:id="17" w:name="_Toc238372490"/>
      <w:r>
        <w:rPr>
          <w:rFonts w:ascii="Times New Roman" w:eastAsia="Times New Roman" w:hAnsi="Times New Roman" w:cs="Times New Roman"/>
          <w:b/>
          <w:bCs/>
          <w:sz w:val="27"/>
          <w:szCs w:val="27"/>
          <w:lang w:val="en-GB" w:eastAsia="en-GB"/>
        </w:rPr>
        <w:t>4.6 Critical Appraisal</w:t>
      </w:r>
      <w:bookmarkEnd w:id="17"/>
    </w:p>
    <w:p w:rsidR="00E022D6" w:rsidRPr="00E022D6" w:rsidRDefault="00E022D6" w:rsidP="00CC1D32">
      <w:pPr>
        <w:pStyle w:val="Heading4"/>
        <w:jc w:val="both"/>
        <w:rPr>
          <w:rFonts w:ascii="Times New Roman" w:hAnsi="Times New Roman" w:cs="Times New Roman"/>
          <w:i w:val="0"/>
          <w:color w:val="auto"/>
        </w:rPr>
      </w:pPr>
      <w:r>
        <w:rPr>
          <w:rFonts w:ascii="Times New Roman" w:hAnsi="Times New Roman" w:cs="Times New Roman"/>
          <w:i w:val="0"/>
          <w:color w:val="auto"/>
        </w:rPr>
        <w:t>Strengths</w:t>
      </w:r>
    </w:p>
    <w:p w:rsidR="00E022D6" w:rsidRDefault="00E022D6" w:rsidP="00D3699A">
      <w:pPr>
        <w:pStyle w:val="NormalWeb"/>
        <w:numPr>
          <w:ilvl w:val="0"/>
          <w:numId w:val="16"/>
        </w:numPr>
        <w:jc w:val="both"/>
      </w:pPr>
      <w:r>
        <w:rPr>
          <w:b/>
          <w:bCs/>
        </w:rPr>
        <w:t>Theoretical Advancement:</w:t>
      </w:r>
      <w:r>
        <w:t xml:space="preserve"> Successfully operationalises Contingency Theory in financial research, proving that WCM efficiency is context-dependent. </w:t>
      </w:r>
    </w:p>
    <w:p w:rsidR="00E022D6" w:rsidRDefault="00E022D6" w:rsidP="00D3699A">
      <w:pPr>
        <w:pStyle w:val="NormalWeb"/>
        <w:numPr>
          <w:ilvl w:val="0"/>
          <w:numId w:val="16"/>
        </w:numPr>
        <w:jc w:val="both"/>
      </w:pPr>
      <w:r>
        <w:rPr>
          <w:b/>
          <w:bCs/>
        </w:rPr>
        <w:t>Econometric Rigor:</w:t>
      </w:r>
      <w:r>
        <w:t xml:space="preserve"> The dynamic panel approach significantly outperforms traditional static models in handling internal validity and endogeneity. </w:t>
      </w:r>
    </w:p>
    <w:p w:rsidR="00E022D6" w:rsidRPr="00E022D6" w:rsidRDefault="00E022D6" w:rsidP="00CC1D32">
      <w:pPr>
        <w:pStyle w:val="Heading4"/>
        <w:jc w:val="both"/>
        <w:rPr>
          <w:rFonts w:ascii="Times New Roman" w:hAnsi="Times New Roman" w:cs="Times New Roman"/>
          <w:i w:val="0"/>
          <w:color w:val="auto"/>
        </w:rPr>
      </w:pPr>
      <w:r>
        <w:rPr>
          <w:rFonts w:ascii="Times New Roman" w:hAnsi="Times New Roman" w:cs="Times New Roman"/>
          <w:i w:val="0"/>
          <w:color w:val="auto"/>
        </w:rPr>
        <w:t>Weaknesses &amp; Philosophical Limitations</w:t>
      </w:r>
    </w:p>
    <w:p w:rsidR="00E022D6" w:rsidRDefault="00E022D6" w:rsidP="00D3699A">
      <w:pPr>
        <w:pStyle w:val="NormalWeb"/>
        <w:numPr>
          <w:ilvl w:val="0"/>
          <w:numId w:val="17"/>
        </w:numPr>
        <w:jc w:val="both"/>
      </w:pPr>
      <w:r>
        <w:rPr>
          <w:b/>
          <w:bCs/>
        </w:rPr>
        <w:t>Black-Box Decision Making:</w:t>
      </w:r>
      <w:r>
        <w:t xml:space="preserve"> Positivist modeling reveals </w:t>
      </w:r>
      <w:r>
        <w:rPr>
          <w:i/>
          <w:iCs/>
        </w:rPr>
        <w:t>what</w:t>
      </w:r>
      <w:r>
        <w:t xml:space="preserve"> statistical associations exist between variables, but fails to explain </w:t>
      </w:r>
      <w:r>
        <w:rPr>
          <w:i/>
          <w:iCs/>
        </w:rPr>
        <w:t>how</w:t>
      </w:r>
      <w:r>
        <w:t xml:space="preserve"> CFOs and treasurers navigate interest rate shocks in real time. </w:t>
      </w:r>
    </w:p>
    <w:p w:rsidR="00E022D6" w:rsidRDefault="00E022D6" w:rsidP="00D3699A">
      <w:pPr>
        <w:pStyle w:val="NormalWeb"/>
        <w:numPr>
          <w:ilvl w:val="0"/>
          <w:numId w:val="17"/>
        </w:numPr>
        <w:jc w:val="both"/>
      </w:pPr>
      <w:r>
        <w:rPr>
          <w:b/>
          <w:bCs/>
        </w:rPr>
        <w:t>Reductionist Measurement:</w:t>
      </w:r>
      <w:r>
        <w:t xml:space="preserve"> Qualitative dimensions such as bank relationship strength, executive risk aversion, and board-level politics are excluded due to quantitative measurement constraints. </w:t>
      </w:r>
    </w:p>
    <w:p w:rsidR="00E022D6" w:rsidRPr="00E022D6" w:rsidRDefault="00E022D6" w:rsidP="00CC1D32">
      <w:pPr>
        <w:pStyle w:val="Heading4"/>
        <w:jc w:val="both"/>
        <w:rPr>
          <w:rFonts w:ascii="Times New Roman" w:hAnsi="Times New Roman" w:cs="Times New Roman"/>
          <w:i w:val="0"/>
          <w:color w:val="auto"/>
        </w:rPr>
      </w:pPr>
      <w:r>
        <w:rPr>
          <w:rFonts w:ascii="Times New Roman" w:hAnsi="Times New Roman" w:cs="Times New Roman"/>
          <w:i w:val="0"/>
          <w:color w:val="auto"/>
        </w:rPr>
        <w:lastRenderedPageBreak/>
        <w:t>Alternative Philosophical Lenses</w:t>
      </w:r>
    </w:p>
    <w:p w:rsidR="00E022D6" w:rsidRDefault="00E022D6" w:rsidP="00D3699A">
      <w:pPr>
        <w:pStyle w:val="NormalWeb"/>
        <w:numPr>
          <w:ilvl w:val="0"/>
          <w:numId w:val="18"/>
        </w:numPr>
        <w:jc w:val="both"/>
      </w:pPr>
      <w:r>
        <w:rPr>
          <w:b/>
          <w:bCs/>
        </w:rPr>
        <w:t>Critical Realism:</w:t>
      </w:r>
      <w:r>
        <w:t xml:space="preserve"> Would allow researchers to investigate both the underlying structural mechanisms (e.g., banking regulations, monetary policy transmission) and the agency of financial executives. </w:t>
      </w:r>
    </w:p>
    <w:p w:rsidR="00E022D6" w:rsidRDefault="00E022D6" w:rsidP="00D3699A">
      <w:pPr>
        <w:pStyle w:val="NormalWeb"/>
        <w:numPr>
          <w:ilvl w:val="0"/>
          <w:numId w:val="18"/>
        </w:numPr>
        <w:jc w:val="both"/>
      </w:pPr>
      <w:r>
        <w:rPr>
          <w:b/>
          <w:bCs/>
        </w:rPr>
        <w:t>Pragmatism:</w:t>
      </w:r>
      <w:r>
        <w:t xml:space="preserve"> Would support a mixed-methods design—combining Tingbani et al.’s dynamic econometric panel model with qualitative executive interviews—to build a truly actionable strategic WCM framework for DBA practice. </w:t>
      </w:r>
    </w:p>
    <w:p w:rsidR="00B55E62" w:rsidRDefault="00477231">
      <w:pPr>
        <w:pStyle w:val="NormalWeb"/>
        <w:jc w:val="both"/>
      </w:pPr>
      <w:r>
        <w:t>A third weakness worth foregrounding concerns sample-period stationarity. Dynamic panel models such as System GMM assume a degree of structural stability in the underlying data-generating process; however, if the relationship between working capital and performance is itself contingent on the interest rate regime, as Theme 2 establishes, then pooling data across regimes characterised by very different monetary conditions risks producing an averaged coefficient that describes no single regime accurately. This is a subtle but important limitation that neither a purely positivist nor a purely interpretivist critique fully addresses, and it points toward the need for regime-switching or interaction-based econometric extensions in future WCM research—a methodological refinement that a Critical Realist framing, with its attention to context-dependent causal mechanisms, is particularly well suited to motivate.</w:t>
      </w:r>
    </w:p>
    <w:p w:rsidR="00B55E62" w:rsidRDefault="00477231">
      <w:pPr>
        <w:pStyle w:val="NormalWeb"/>
        <w:jc w:val="both"/>
      </w:pPr>
      <w:r>
        <w:t xml:space="preserve">The strengths and weaknesses above form a single chain rather than a disconnected list. Positivism, the paradigm Tingbani et al. (2020) adopt, </w:t>
      </w:r>
      <w:r>
        <w:rPr>
          <w:b/>
          <w:bCs/>
        </w:rPr>
        <w:t>reveals</w:t>
      </w:r>
      <w:r>
        <w:t xml:space="preserve"> a generalisable, causally defensible pattern across 802 firms that no single-firm case study could produce, but necessarily </w:t>
      </w:r>
      <w:r>
        <w:rPr>
          <w:b/>
          <w:bCs/>
        </w:rPr>
        <w:t>obscures</w:t>
      </w:r>
      <w:r>
        <w:t xml:space="preserve"> the managerial reasoning and firm-specific context that determine how any CFO acts on that pattern. An </w:t>
      </w:r>
      <w:r>
        <w:rPr>
          <w:b/>
          <w:bCs/>
        </w:rPr>
        <w:t>interpretivist or critical realist alternative</w:t>
      </w:r>
      <w:r>
        <w:t xml:space="preserve"> would reverse this exchange, recovering managerial meaning at the cost of generalisability. Recognising this trade-off precisely is what makes a pragmatist, mixed-methods design an additive move rather than a compromise: it is the only design considered capable of recovering both kinds of knowledge at once. </w:t>
      </w:r>
    </w:p>
    <w:p w:rsidR="00B55E62" w:rsidRDefault="00477231">
      <w:pPr>
        <w:pStyle w:val="NormalWeb"/>
        <w:jc w:val="both"/>
      </w:pPr>
      <w:r>
        <w:t>On balance, the critical appraisal developed across Sections 4.2 to 4.6 suggests that Tingbani et al. (2020) should be read neither as a flawed study nor as a definitive one, but as a methodologically rigorous exemplar of a particular research paradigm whose value is real but bounded. Its findings provide a credible econometric baseline for understanding contingency effects in WCM, but its positivist architecture means it cannot, by design, answer the more managerially pressing question of how FTSE 350 treasurers should act, in real time, when the interest rate environment shifts beneath them. Bridging that gap is the explicit task taken up in Section 5 of this report.</w:t>
      </w:r>
    </w:p>
    <w:p w:rsidR="00477231" w:rsidRDefault="00477231" w:rsidP="003A0A3E">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r>
        <w:rPr>
          <w:rFonts w:ascii="Times New Roman" w:eastAsia="Times New Roman" w:hAnsi="Times New Roman" w:cs="Times New Roman"/>
          <w:b/>
          <w:bCs/>
          <w:kern w:val="36"/>
          <w:sz w:val="48"/>
          <w:szCs w:val="48"/>
          <w:lang w:val="en-GB" w:eastAsia="en-GB"/>
        </w:rPr>
        <w:br w:type="page"/>
      </w:r>
    </w:p>
    <w:p w:rsidR="003A0A3E" w:rsidRPr="003A0A3E" w:rsidRDefault="003A0A3E" w:rsidP="003A0A3E">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bookmarkStart w:id="18" w:name="_Toc238372491"/>
      <w:r>
        <w:rPr>
          <w:rFonts w:ascii="Times New Roman" w:eastAsia="Times New Roman" w:hAnsi="Times New Roman" w:cs="Times New Roman"/>
          <w:b/>
          <w:bCs/>
          <w:kern w:val="36"/>
          <w:sz w:val="48"/>
          <w:szCs w:val="48"/>
          <w:lang w:val="en-GB" w:eastAsia="en-GB"/>
        </w:rPr>
        <w:lastRenderedPageBreak/>
        <w:t>5. Discussion and Contribution</w:t>
      </w:r>
      <w:bookmarkEnd w:id="18"/>
    </w:p>
    <w:p w:rsidR="00DA0274" w:rsidRPr="00CC1D32" w:rsidRDefault="00DA0274" w:rsidP="00DA0274">
      <w:pPr>
        <w:spacing w:before="100" w:beforeAutospacing="1" w:after="100" w:afterAutospacing="1" w:line="240" w:lineRule="auto"/>
        <w:jc w:val="both"/>
        <w:rPr>
          <w:rFonts w:ascii="Times New Roman" w:hAnsi="Times New Roman" w:cs="Times New Roman"/>
          <w:sz w:val="24"/>
        </w:rPr>
      </w:pPr>
      <w:r>
        <w:rPr>
          <w:rFonts w:ascii="Times New Roman" w:hAnsi="Times New Roman" w:cs="Times New Roman"/>
          <w:sz w:val="24"/>
        </w:rPr>
        <w:t>The synthesis of contemporary empirical literature (Section 3) alongside the detailed philosophical critique of Tingbani et al. (2020) (Section 4) offers profound insights into how research philosophy shapes empirical finance and corporate management practice. By examining the intersection of ontology, epistemology, and axiology, this section articulates the broader contributions of this report to theoretical development, methodological choices, managerial practice, and DBA-level research design.</w:t>
      </w:r>
    </w:p>
    <w:p w:rsidR="00DA0274" w:rsidRPr="00DA0274" w:rsidRDefault="00DA0274" w:rsidP="00DA0274">
      <w:pPr>
        <w:pStyle w:val="Heading3"/>
        <w:jc w:val="both"/>
        <w:rPr>
          <w:rFonts w:ascii="Times New Roman" w:hAnsi="Times New Roman" w:cs="Times New Roman"/>
          <w:color w:val="auto"/>
          <w:sz w:val="24"/>
        </w:rPr>
      </w:pPr>
      <w:bookmarkStart w:id="19" w:name="_Toc238372492"/>
      <w:r>
        <w:rPr>
          <w:rFonts w:ascii="Times New Roman" w:hAnsi="Times New Roman" w:cs="Times New Roman"/>
          <w:color w:val="auto"/>
          <w:sz w:val="24"/>
        </w:rPr>
        <w:t>Implications for Theory</w:t>
      </w:r>
      <w:bookmarkEnd w:id="19"/>
    </w:p>
    <w:p w:rsidR="00DA0274" w:rsidRDefault="00DA0274" w:rsidP="00DA0274">
      <w:pPr>
        <w:pStyle w:val="NormalWeb"/>
        <w:jc w:val="both"/>
      </w:pPr>
      <w:r>
        <w:t xml:space="preserve">Collectively, the reviewed studies demonstrate that classical, linear models of working capital are theoretically obsolete. By establishing a concave, inverted U-shaped relationship between working capital levels and performance, the literature validates Trade-off Theory and Pecking Order Theory in short-term financial management. However, this report’s synthesis reveals that theory must evolve further: integrating </w:t>
      </w:r>
      <w:r>
        <w:rPr>
          <w:b/>
          <w:bCs/>
        </w:rPr>
        <w:t>Contingency Theory</w:t>
      </w:r>
      <w:r>
        <w:t xml:space="preserve"> is essential to explain how macroeconomic shocks—specifically central bank interest rate adjustments—shift the optimal break-even point of corporate liquidity. Theoretical models can no longer treat working capital as an isolated internal variable; they must incorporate external monetary transmission channels. </w:t>
      </w:r>
    </w:p>
    <w:p w:rsidR="00B55E62" w:rsidRDefault="00477231">
      <w:pPr>
        <w:pStyle w:val="NormalWeb"/>
        <w:jc w:val="both"/>
      </w:pPr>
      <w:r>
        <w:t>This also implies Pecking Order and Trade-off Theory should be read as regime-dependent lenses rather than static, mutually exclusive explanations: Trade-off logic dominates when rates are low and liquidity’s opportunity cost is modest, while Pecking Order concerns—the preference for internal over costlier external funds—grow more salient as borrowing costs rise. A complete account must specify not just which theory applies, but under which conditions.</w:t>
      </w:r>
    </w:p>
    <w:p w:rsidR="00B55E62" w:rsidRDefault="00477231">
      <w:pPr>
        <w:pStyle w:val="NormalWeb"/>
        <w:jc w:val="both"/>
      </w:pPr>
      <w:r>
        <w:t xml:space="preserve">Stepping back, the central question this synthesis answers is: what does this review show about how research philosophy shapes what can be claimed to be known about WCM, not merely what is found? Positivism, dominant in this literature, produces measurable cross-firm patterns—the inverted U-shaped relationship itself. Critical realism, largely absent but implicit in several studies’ limitations sections, would instead pursue the underlying causal mechanisms (bargaining power, treasury governance) that generate the pattern without being directly measured. Interpretivism, wholly absent, would recover CFO sense-making—how liquidity risk is negotiated inside the firm. Pragmatism, adopted here, claims no philosophical superiority; it is simply best suited to combining generalisable pattern with actionable knowledge, the dual requirement of DBA-level research. This report’s theoretical contribution, then, is not a new finding but a demonstration that paradigm choice determines which of these kinds of knowledge WCM research can, and cannot, produce. </w:t>
      </w:r>
    </w:p>
    <w:p w:rsidR="00DA0274" w:rsidRPr="00DA0274" w:rsidRDefault="00DA0274" w:rsidP="00DA0274">
      <w:pPr>
        <w:pStyle w:val="Heading3"/>
        <w:jc w:val="both"/>
        <w:rPr>
          <w:rFonts w:ascii="Times New Roman" w:hAnsi="Times New Roman" w:cs="Times New Roman"/>
          <w:color w:val="auto"/>
          <w:sz w:val="24"/>
        </w:rPr>
      </w:pPr>
      <w:bookmarkStart w:id="20" w:name="_Toc238372493"/>
      <w:r>
        <w:rPr>
          <w:rFonts w:ascii="Times New Roman" w:hAnsi="Times New Roman" w:cs="Times New Roman"/>
          <w:color w:val="auto"/>
          <w:sz w:val="24"/>
        </w:rPr>
        <w:t>Implications for Methodological Choices</w:t>
      </w:r>
      <w:bookmarkEnd w:id="20"/>
    </w:p>
    <w:p w:rsidR="00DA0274" w:rsidRDefault="00DA0274" w:rsidP="00DA0274">
      <w:pPr>
        <w:pStyle w:val="NormalWeb"/>
        <w:jc w:val="both"/>
      </w:pPr>
      <w:r>
        <w:t xml:space="preserve">From a methodological perspective, this report highlights a critical transition in empirical finance. Relying on static panel estimators (e.g., Pooled OLS, Fixed Effects) creates severe vulnerability to </w:t>
      </w:r>
      <w:r>
        <w:rPr>
          <w:b/>
          <w:bCs/>
        </w:rPr>
        <w:t>endogeneity</w:t>
      </w:r>
      <w:r>
        <w:t xml:space="preserve">, simultaneity, and unobserved firm heterogeneity. As demonstrated in the critique of Tingbani et al. (2020) and supported by Levický et al. (2026) and Yousaf (2025), </w:t>
      </w:r>
      <w:r>
        <w:rPr>
          <w:b/>
          <w:bCs/>
        </w:rPr>
        <w:t>dynamic panel data models (System GMM)</w:t>
      </w:r>
      <w:r>
        <w:t xml:space="preserve"> offer one of the more credible routes to causal inference in corporate finance, though, as Section 3.3 and 4.6 establish, this credibility is conditional: it depends on the data-generating process satisfying the estimator’s underlying assumptions, and it is bought at the cost of the managerial meaning a purely econometric model cannot capture. For future scholars, addressing dynamic endogeneity where it is present is an important consideration for internal validity, not a universal prerequisite for every research question in this field. </w:t>
      </w:r>
    </w:p>
    <w:p w:rsidR="00B55E62" w:rsidRDefault="00477231">
      <w:pPr>
        <w:pStyle w:val="NormalWeb"/>
        <w:jc w:val="both"/>
      </w:pPr>
      <w:r>
        <w:lastRenderedPageBreak/>
        <w:t>This methodological transition also carries implications for how DBA researchers should approach secondary data analysis more broadly. Given the standard-error concerns raised by Petersen (2009) and Beck and Katz (1995) discussed in Section 3.3, future FTSE 350-focused research should, at minimum, report results under multiple standard-error specifications (e.g., firm-clustered, Driscoll-Kraay, and PCSE) to demonstrate that reported significance levels are not an artefact of a particular correction choice. Transparency of this kind strengthens the credibility of quantitative corporate finance research within the broader academic community and directly addresses reviewer and examiner concerns regarding statistical robustness.</w:t>
      </w:r>
    </w:p>
    <w:p w:rsidR="00DA0274" w:rsidRPr="00DA0274" w:rsidRDefault="00DA0274" w:rsidP="00DA0274">
      <w:pPr>
        <w:pStyle w:val="Heading3"/>
        <w:jc w:val="both"/>
        <w:rPr>
          <w:rFonts w:ascii="Times New Roman" w:hAnsi="Times New Roman" w:cs="Times New Roman"/>
          <w:color w:val="auto"/>
          <w:sz w:val="24"/>
        </w:rPr>
      </w:pPr>
      <w:bookmarkStart w:id="21" w:name="_Toc238372494"/>
      <w:r>
        <w:rPr>
          <w:rFonts w:ascii="Times New Roman" w:hAnsi="Times New Roman" w:cs="Times New Roman"/>
          <w:color w:val="auto"/>
          <w:sz w:val="24"/>
        </w:rPr>
        <w:t>Implications for Management Practice</w:t>
      </w:r>
      <w:bookmarkEnd w:id="21"/>
    </w:p>
    <w:p w:rsidR="00DA0274" w:rsidRDefault="00DA0274" w:rsidP="00DA0274">
      <w:pPr>
        <w:pStyle w:val="NormalWeb"/>
        <w:jc w:val="both"/>
      </w:pPr>
      <w:r>
        <w:t xml:space="preserve">For executive decision-makers within </w:t>
      </w:r>
      <w:r>
        <w:rPr>
          <w:b/>
          <w:bCs/>
        </w:rPr>
        <w:t>FTSE 350 companies</w:t>
      </w:r>
      <w:r>
        <w:t xml:space="preserve">, the findings translate directly into strategic practice: </w:t>
      </w:r>
    </w:p>
    <w:p w:rsidR="00DA0274" w:rsidRDefault="00DA0274" w:rsidP="00D3699A">
      <w:pPr>
        <w:pStyle w:val="NormalWeb"/>
        <w:numPr>
          <w:ilvl w:val="0"/>
          <w:numId w:val="20"/>
        </w:numPr>
        <w:jc w:val="both"/>
      </w:pPr>
      <w:r>
        <w:rPr>
          <w:b/>
          <w:bCs/>
        </w:rPr>
        <w:t>Dynamic Liquidity Calibration:</w:t>
      </w:r>
      <w:r>
        <w:t xml:space="preserve"> CFOs must abandon static target ratios for trade credit or inventory turnover. During periods of rising interest rates, the opportunity cost of holding working capital escalates, requiring leaner, more agile working capital thresholds. </w:t>
      </w:r>
    </w:p>
    <w:p w:rsidR="00DA0274" w:rsidRDefault="00DA0274" w:rsidP="00D3699A">
      <w:pPr>
        <w:pStyle w:val="NormalWeb"/>
        <w:numPr>
          <w:ilvl w:val="0"/>
          <w:numId w:val="20"/>
        </w:numPr>
        <w:jc w:val="both"/>
      </w:pPr>
      <w:r>
        <w:rPr>
          <w:b/>
          <w:bCs/>
        </w:rPr>
        <w:t>Balanced Risk Management:</w:t>
      </w:r>
      <w:r>
        <w:t xml:space="preserve"> Executives must avoid over-correcting toward extreme aggressive working capital policies, as under-investing in liquidity increases supply chain vulnerability and stockout risks. </w:t>
      </w:r>
    </w:p>
    <w:p w:rsidR="00B55E62" w:rsidRDefault="00477231">
      <w:pPr>
        <w:pStyle w:val="NormalWeb"/>
        <w:numPr>
          <w:ilvl w:val="0"/>
          <w:numId w:val="20"/>
        </w:numPr>
        <w:jc w:val="both"/>
      </w:pPr>
      <w:r>
        <w:rPr>
          <w:b/>
          <w:bCs/>
        </w:rPr>
        <w:t>Sector-Sensitive Benchmarking:</w:t>
      </w:r>
      <w:r>
        <w:t xml:space="preserve"> Given the sectoral variation identified in Section 3.4, FTSE 350 treasury functions should benchmark working capital ratios against sector-specific peer groups rather than index-wide averages, since a cash conversion cycle appropriate for a capital-intensive utility firm may be entirely inappropriate for an asset-light technology or financial services constituent.</w:t>
      </w:r>
    </w:p>
    <w:p w:rsidR="00B55E62" w:rsidRDefault="00477231">
      <w:pPr>
        <w:pStyle w:val="NormalWeb"/>
        <w:numPr>
          <w:ilvl w:val="0"/>
          <w:numId w:val="20"/>
        </w:numPr>
        <w:jc w:val="both"/>
      </w:pPr>
      <w:r>
        <w:rPr>
          <w:b/>
          <w:bCs/>
        </w:rPr>
        <w:t>Supplier and Ethical Considerations:</w:t>
      </w:r>
      <w:r>
        <w:t xml:space="preserve"> As Section 4.3 highlights, aggressive working capital extraction—particularly extending payment terms to smaller suppliers—carries ethical and reputational risk alongside its liquidity benefits. FTSE 350 boards should weigh short-term cash flow gains against longer-term supply chain resilience and stakeholder trust, especially where supply chains include SME suppliers with limited capacity to absorb payment delays.</w:t>
      </w:r>
    </w:p>
    <w:p w:rsidR="004525D5" w:rsidRDefault="004525D5" w:rsidP="003A0A3E">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r>
        <w:rPr>
          <w:rFonts w:ascii="Times New Roman" w:eastAsia="Times New Roman" w:hAnsi="Times New Roman" w:cs="Times New Roman"/>
          <w:b/>
          <w:bCs/>
          <w:kern w:val="36"/>
          <w:sz w:val="48"/>
          <w:szCs w:val="48"/>
          <w:lang w:val="en-GB" w:eastAsia="en-GB"/>
        </w:rPr>
        <w:br w:type="page"/>
      </w:r>
    </w:p>
    <w:p w:rsidR="003A0A3E" w:rsidRPr="003A0A3E" w:rsidRDefault="003A0A3E" w:rsidP="003A0A3E">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bookmarkStart w:id="22" w:name="_Toc238372495"/>
      <w:r>
        <w:rPr>
          <w:rFonts w:ascii="Times New Roman" w:eastAsia="Times New Roman" w:hAnsi="Times New Roman" w:cs="Times New Roman"/>
          <w:b/>
          <w:bCs/>
          <w:kern w:val="36"/>
          <w:sz w:val="48"/>
          <w:szCs w:val="48"/>
          <w:lang w:val="en-GB" w:eastAsia="en-GB"/>
        </w:rPr>
        <w:lastRenderedPageBreak/>
        <w:t>6. Conclusion</w:t>
      </w:r>
      <w:bookmarkEnd w:id="22"/>
    </w:p>
    <w:p w:rsidR="00DA0274" w:rsidRDefault="00DA0274" w:rsidP="00DA0274">
      <w:pPr>
        <w:pStyle w:val="NormalWeb"/>
        <w:jc w:val="both"/>
      </w:pPr>
      <w:r>
        <w:t>This report has delivered a critical literature review and philosophical appraisal of Working Capital Management (WCM) under changing interest rate environments.</w:t>
      </w:r>
    </w:p>
    <w:p w:rsidR="00DA0274" w:rsidRDefault="00DA0274" w:rsidP="00DA0274">
      <w:pPr>
        <w:pStyle w:val="NormalWeb"/>
        <w:jc w:val="both"/>
      </w:pPr>
      <w:r>
        <w:t>By synthesizing contemporary empirical studies over the past five years, the report established three key themes:</w:t>
      </w:r>
    </w:p>
    <w:p w:rsidR="00DA0274" w:rsidRDefault="00DA0274" w:rsidP="00D3699A">
      <w:pPr>
        <w:pStyle w:val="NormalWeb"/>
        <w:numPr>
          <w:ilvl w:val="0"/>
          <w:numId w:val="21"/>
        </w:numPr>
        <w:jc w:val="both"/>
      </w:pPr>
      <w:r>
        <w:t xml:space="preserve">The non-linear, inverted U-shaped relationship between working capital and corporate performance. </w:t>
      </w:r>
    </w:p>
    <w:p w:rsidR="00DA0274" w:rsidRDefault="00DA0274" w:rsidP="00D3699A">
      <w:pPr>
        <w:pStyle w:val="NormalWeb"/>
        <w:numPr>
          <w:ilvl w:val="0"/>
          <w:numId w:val="21"/>
        </w:numPr>
        <w:jc w:val="both"/>
      </w:pPr>
      <w:r>
        <w:t xml:space="preserve">The critical moderating role of macroeconomic interest rate transmission and contingency factors. </w:t>
      </w:r>
    </w:p>
    <w:p w:rsidR="00DA0274" w:rsidRDefault="00DA0274" w:rsidP="00D3699A">
      <w:pPr>
        <w:pStyle w:val="NormalWeb"/>
        <w:numPr>
          <w:ilvl w:val="0"/>
          <w:numId w:val="21"/>
        </w:numPr>
        <w:jc w:val="both"/>
      </w:pPr>
      <w:r>
        <w:t xml:space="preserve">The methodological case for dynamic panel econometrics (System GMM) as a credible, though conditional, route to overcoming endogeneity. </w:t>
      </w:r>
    </w:p>
    <w:p w:rsidR="00B55E62" w:rsidRDefault="00477231">
      <w:pPr>
        <w:pStyle w:val="NormalWeb"/>
        <w:jc w:val="both"/>
      </w:pPr>
      <w:r>
        <w:t>A fourth, cross-cutting theme also emerged from the synthesis: the philosophical positioning of a study is not a peripheral methodological footnote but a determinant of what kind of managerial knowledge that study can, in principle, produce. Positivist panel studies excel at establishing generalisable statistical associations across large samples, but are structurally unable to explain the lived managerial reasoning behind those associations—a limitation that matters directly for FTSE 350 boards seeking not just to know that an optimal working capital threshold exists, but to understand how to reach and sustain it under real-time interest rate uncertainty.</w:t>
      </w:r>
    </w:p>
    <w:p w:rsidR="00DA0274" w:rsidRDefault="00DA0274" w:rsidP="00DA0274">
      <w:pPr>
        <w:pStyle w:val="NormalWeb"/>
        <w:jc w:val="both"/>
      </w:pPr>
      <w:r>
        <w:t xml:space="preserve">Furthermore, the in-depth critique of Tingbani et al. (2020) evaluated the realist ontology, post-positivist epistemology, and value-implicit axiology governing empirical finance research. While Tingbani et al. (2020) provide strong evidence of internal validity through dynamic panel modeling across LSE-listed firms, the study highlights the inherent limitations of reductionist quantitative models that bracket out executive sense-making and ethical supply chain considerations. </w:t>
      </w:r>
    </w:p>
    <w:p w:rsidR="00B55E62" w:rsidRDefault="00477231">
      <w:pPr>
        <w:pStyle w:val="NormalWeb"/>
        <w:jc w:val="both"/>
      </w:pPr>
      <w:r>
        <w:t>Taken together, these findings carry a clear practical message: working capital policy cannot be managed through a single static target ratio, evaluated purely on profitability. It requires a dynamic, sector-sensitive, ethically informed approach treating the optimal threshold as a moving target, continuously recalibrated against the cost of capital and the firm's obligations to its wider supply chain.</w:t>
      </w:r>
    </w:p>
    <w:p w:rsidR="00DA0274" w:rsidRPr="00DA0274" w:rsidRDefault="00DA0274" w:rsidP="00DA0274">
      <w:pPr>
        <w:pStyle w:val="Heading3"/>
        <w:jc w:val="both"/>
        <w:rPr>
          <w:rFonts w:ascii="Times New Roman" w:hAnsi="Times New Roman" w:cs="Times New Roman"/>
          <w:color w:val="auto"/>
          <w:sz w:val="24"/>
        </w:rPr>
      </w:pPr>
      <w:bookmarkStart w:id="23" w:name="_Toc238372496"/>
      <w:r>
        <w:rPr>
          <w:rFonts w:ascii="Times New Roman" w:hAnsi="Times New Roman" w:cs="Times New Roman"/>
          <w:color w:val="auto"/>
          <w:sz w:val="24"/>
        </w:rPr>
        <w:t>Future Research Directions</w:t>
      </w:r>
      <w:bookmarkEnd w:id="23"/>
    </w:p>
    <w:p w:rsidR="00DA0274" w:rsidRDefault="00DA0274" w:rsidP="00DA0274">
      <w:pPr>
        <w:pStyle w:val="NormalWeb"/>
        <w:jc w:val="both"/>
      </w:pPr>
      <w:r>
        <w:t>To advance scholarly knowledge and DBA practice, future research should:</w:t>
      </w:r>
    </w:p>
    <w:p w:rsidR="00DA0274" w:rsidRDefault="00DA0274" w:rsidP="00D3699A">
      <w:pPr>
        <w:pStyle w:val="NormalWeb"/>
        <w:numPr>
          <w:ilvl w:val="0"/>
          <w:numId w:val="22"/>
        </w:numPr>
        <w:jc w:val="both"/>
      </w:pPr>
      <w:r>
        <w:t xml:space="preserve">Extend empirical investigations to post-2022 dataset periods, specifically examining how </w:t>
      </w:r>
      <w:r>
        <w:rPr>
          <w:b/>
          <w:bCs/>
        </w:rPr>
        <w:t>FTSE 350</w:t>
      </w:r>
      <w:r>
        <w:t xml:space="preserve"> boards strategically restructured liquidity during peak central bank rate hikes. </w:t>
      </w:r>
    </w:p>
    <w:p w:rsidR="00DA0274" w:rsidRDefault="00DA0274" w:rsidP="00D3699A">
      <w:pPr>
        <w:pStyle w:val="NormalWeb"/>
        <w:numPr>
          <w:ilvl w:val="0"/>
          <w:numId w:val="22"/>
        </w:numPr>
        <w:jc w:val="both"/>
      </w:pPr>
      <w:r>
        <w:t xml:space="preserve">Adopt mixed-method, pragmatic research designs that combine dynamic panel econometrics with qualitative executive interviews, illuminating how CFOs perceive, negotiate, and execute working capital strategies during macroeconomic shocks. </w:t>
      </w:r>
    </w:p>
    <w:p w:rsidR="004525D5" w:rsidRPr="00477231" w:rsidRDefault="00477231" w:rsidP="00477231">
      <w:pPr>
        <w:pStyle w:val="NormalWeb"/>
        <w:jc w:val="both"/>
      </w:pPr>
      <w:r>
        <w:t xml:space="preserve">These are worthwhile empirical extensions, but secondary to what this coursework has ultimately established: not a new fact about WCM, but a research-principles argument that a researcher’s ontological and epistemological starting point actively determines which questions become askable and which managerial knowledge remains out of reach. Positivist panel econometrics, however sophisticated, will keep revealing generalisable patterns while obscuring the managerial reasoning that gives them meaning—not from carelessness, but because that trade-off is built into the paradigm. The choice of research philosophy is itself the first and most consequential methodological decision a researcher makes. </w:t>
      </w:r>
    </w:p>
    <w:p w:rsidR="003A0A3E" w:rsidRDefault="003A0A3E" w:rsidP="002465D2">
      <w:pPr>
        <w:tabs>
          <w:tab w:val="left" w:pos="3300"/>
        </w:tabs>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bookmarkStart w:id="24" w:name="_Toc238372497"/>
      <w:r>
        <w:rPr>
          <w:rFonts w:ascii="Times New Roman" w:eastAsia="Times New Roman" w:hAnsi="Times New Roman" w:cs="Times New Roman"/>
          <w:b/>
          <w:bCs/>
          <w:kern w:val="36"/>
          <w:sz w:val="48"/>
          <w:szCs w:val="48"/>
          <w:lang w:val="en-GB" w:eastAsia="en-GB"/>
        </w:rPr>
        <w:lastRenderedPageBreak/>
        <w:t>References</w:t>
      </w:r>
      <w:bookmarkEnd w:id="24"/>
      <w:r>
        <w:rPr>
          <w:rFonts w:ascii="Times New Roman" w:eastAsia="Times New Roman" w:hAnsi="Times New Roman" w:cs="Times New Roman"/>
          <w:b/>
          <w:bCs/>
          <w:kern w:val="36"/>
          <w:sz w:val="48"/>
          <w:szCs w:val="48"/>
          <w:lang w:val="en-GB" w:eastAsia="en-GB"/>
        </w:rPr>
        <w:tab/>
      </w:r>
    </w:p>
    <w:p w:rsidR="002465D2" w:rsidRPr="002465D2" w:rsidRDefault="002465D2" w:rsidP="002465D2">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Abdelaziz</w:t>
      </w:r>
      <w:proofErr w:type="spellEnd"/>
      <w:r>
        <w:rPr>
          <w:rFonts w:ascii="Times New Roman" w:eastAsia="Times New Roman" w:hAnsi="Times New Roman" w:cs="Times New Roman"/>
          <w:sz w:val="24"/>
          <w:szCs w:val="24"/>
        </w:rPr>
        <w:t xml:space="preserve">, S., Al Sayed, O., Abdelazeem, D. and Abdelghaffar, R. A. (2025) ‘The impact of macroeconomic indicators on working capital management and firms’ profitability in Egypt’, </w:t>
      </w:r>
      <w:r>
        <w:rPr>
          <w:rFonts w:ascii="Times New Roman" w:eastAsia="Times New Roman" w:hAnsi="Times New Roman" w:cs="Times New Roman"/>
          <w:i/>
          <w:iCs/>
          <w:sz w:val="24"/>
          <w:szCs w:val="24"/>
        </w:rPr>
        <w:t>Journal of Economic and Administrative Sciences</w:t>
      </w:r>
      <w:r>
        <w:rPr>
          <w:rFonts w:ascii="Times New Roman" w:eastAsia="Times New Roman" w:hAnsi="Times New Roman" w:cs="Times New Roman"/>
          <w:sz w:val="24"/>
          <w:szCs w:val="24"/>
        </w:rPr>
        <w:t>, ahead-of-print.</w:t>
      </w:r>
      <w:proofErr w:type="gramEnd"/>
      <w:r>
        <w:rPr>
          <w:rFonts w:ascii="Times New Roman" w:eastAsia="Times New Roman" w:hAnsi="Times New Roman" w:cs="Times New Roman"/>
          <w:sz w:val="24"/>
          <w:szCs w:val="24"/>
        </w:rPr>
        <w:t xml:space="preserve"> doi: 10.1108/JEAS-09-2024-0348.</w:t>
      </w:r>
    </w:p>
    <w:p w:rsidR="002465D2" w:rsidRPr="002465D2" w:rsidRDefault="002465D2" w:rsidP="002465D2">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Afrifa</w:t>
      </w:r>
      <w:proofErr w:type="spellEnd"/>
      <w:r>
        <w:rPr>
          <w:rFonts w:ascii="Times New Roman" w:eastAsia="Times New Roman" w:hAnsi="Times New Roman" w:cs="Times New Roman"/>
          <w:sz w:val="24"/>
          <w:szCs w:val="24"/>
        </w:rPr>
        <w:t xml:space="preserve">, G. A. and Padachi, K. (2016) ‘Working capital level influence on SME profitability’, </w:t>
      </w:r>
      <w:r>
        <w:rPr>
          <w:rFonts w:ascii="Times New Roman" w:eastAsia="Times New Roman" w:hAnsi="Times New Roman" w:cs="Times New Roman"/>
          <w:i/>
          <w:iCs/>
          <w:sz w:val="24"/>
          <w:szCs w:val="24"/>
        </w:rPr>
        <w:t>Journal of Small Business and Enterprise Development</w:t>
      </w:r>
      <w:r>
        <w:rPr>
          <w:rFonts w:ascii="Times New Roman" w:eastAsia="Times New Roman" w:hAnsi="Times New Roman" w:cs="Times New Roman"/>
          <w:sz w:val="24"/>
          <w:szCs w:val="24"/>
        </w:rPr>
        <w:t>, 23(1), pp. 44–63.</w:t>
      </w:r>
      <w:proofErr w:type="gramEnd"/>
      <w:r>
        <w:rPr>
          <w:rFonts w:ascii="Times New Roman" w:eastAsia="Times New Roman" w:hAnsi="Times New Roman" w:cs="Times New Roman"/>
          <w:sz w:val="24"/>
          <w:szCs w:val="24"/>
        </w:rPr>
        <w:t xml:space="preserve"> doi: 10.1108/JSBED-01-2015-0014. </w:t>
      </w:r>
    </w:p>
    <w:p w:rsidR="002465D2" w:rsidRPr="002465D2" w:rsidRDefault="002465D2" w:rsidP="002465D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Ahmad, M., Bashir, R. and Waqas, H. (2022) ‘Working capital management and firm performance: are their effects same in covid 19 compared to financial crisis 2008?</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Cogent Economics &amp; Finance</w:t>
      </w:r>
      <w:r>
        <w:rPr>
          <w:rFonts w:ascii="Times New Roman" w:eastAsia="Times New Roman" w:hAnsi="Times New Roman" w:cs="Times New Roman"/>
          <w:sz w:val="24"/>
          <w:szCs w:val="24"/>
        </w:rPr>
        <w:t>, 10(1), p. 2101224. doi: 10.1080/23322039.2022.2101224.</w:t>
      </w:r>
    </w:p>
    <w:p w:rsidR="002465D2" w:rsidRPr="002465D2" w:rsidRDefault="002465D2" w:rsidP="002465D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Anton, S. G. and Afloarei Nucu, A. E. (2021)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Impact of Working Capital Management on Firm Profitability: Empirical Evidence from the Polish Listed Firms’, </w:t>
      </w:r>
      <w:r>
        <w:rPr>
          <w:rFonts w:ascii="Times New Roman" w:eastAsia="Times New Roman" w:hAnsi="Times New Roman" w:cs="Times New Roman"/>
          <w:i/>
          <w:iCs/>
          <w:sz w:val="24"/>
          <w:szCs w:val="24"/>
        </w:rPr>
        <w:t>Journal of Risk and Financial Management</w:t>
      </w:r>
      <w:r>
        <w:rPr>
          <w:rFonts w:ascii="Times New Roman" w:eastAsia="Times New Roman" w:hAnsi="Times New Roman" w:cs="Times New Roman"/>
          <w:sz w:val="24"/>
          <w:szCs w:val="24"/>
        </w:rPr>
        <w:t xml:space="preserve">, 14(1), p. 9. doi: 10.3390/jrfm14010009. </w:t>
      </w:r>
    </w:p>
    <w:p w:rsidR="002465D2" w:rsidRPr="002465D2" w:rsidRDefault="002465D2" w:rsidP="002465D2">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Arshad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Akhund</w:t>
      </w:r>
      <w:proofErr w:type="spellEnd"/>
      <w:r>
        <w:rPr>
          <w:rFonts w:ascii="Times New Roman" w:eastAsia="Times New Roman" w:hAnsi="Times New Roman" w:cs="Times New Roman"/>
          <w:sz w:val="24"/>
          <w:szCs w:val="24"/>
        </w:rPr>
        <w:t xml:space="preserve">, S. and Qazi, L. T. (2023) ‘Nonlinear impact of Excess Working Capital on the firm performance’, </w:t>
      </w:r>
      <w:r>
        <w:rPr>
          <w:rFonts w:ascii="Times New Roman" w:eastAsia="Times New Roman" w:hAnsi="Times New Roman" w:cs="Times New Roman"/>
          <w:i/>
          <w:iCs/>
          <w:sz w:val="24"/>
          <w:szCs w:val="24"/>
        </w:rPr>
        <w:t>Business &amp; Economic Review</w:t>
      </w:r>
      <w:r>
        <w:rPr>
          <w:rFonts w:ascii="Times New Roman" w:eastAsia="Times New Roman" w:hAnsi="Times New Roman" w:cs="Times New Roman"/>
          <w:sz w:val="24"/>
          <w:szCs w:val="24"/>
        </w:rPr>
        <w:t>, 15(1), pp. 105–128.</w:t>
      </w:r>
      <w:proofErr w:type="gramEnd"/>
      <w:r>
        <w:rPr>
          <w:rFonts w:ascii="Times New Roman" w:eastAsia="Times New Roman" w:hAnsi="Times New Roman" w:cs="Times New Roman"/>
          <w:sz w:val="24"/>
          <w:szCs w:val="24"/>
        </w:rPr>
        <w:t xml:space="preserve"> doi: 10.22547/BER/15.1.5.</w:t>
      </w:r>
    </w:p>
    <w:p w:rsidR="002465D2" w:rsidRPr="002465D2" w:rsidRDefault="002465D2" w:rsidP="002465D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Banerjee, P. and Guha Deb, S. (2024) ‘Working capital management efficiency, managerial ability, and firm performance: new insights’, </w:t>
      </w:r>
      <w:r>
        <w:rPr>
          <w:rFonts w:ascii="Times New Roman" w:eastAsia="Times New Roman" w:hAnsi="Times New Roman" w:cs="Times New Roman"/>
          <w:i/>
          <w:iCs/>
          <w:sz w:val="24"/>
          <w:szCs w:val="24"/>
        </w:rPr>
        <w:t>Applied Economics</w:t>
      </w:r>
      <w:r>
        <w:rPr>
          <w:rFonts w:ascii="Times New Roman" w:eastAsia="Times New Roman" w:hAnsi="Times New Roman" w:cs="Times New Roman"/>
          <w:sz w:val="24"/>
          <w:szCs w:val="24"/>
        </w:rPr>
        <w:t>, 56(33), pp. 4001–4018. doi: 10.1080/00036846.2023.2208857.</w:t>
      </w:r>
    </w:p>
    <w:p w:rsidR="002465D2" w:rsidRPr="002465D2" w:rsidRDefault="002465D2" w:rsidP="002465D2">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Baños</w:t>
      </w:r>
      <w:proofErr w:type="spellEnd"/>
      <w:r>
        <w:rPr>
          <w:rFonts w:ascii="Times New Roman" w:eastAsia="Times New Roman" w:hAnsi="Times New Roman" w:cs="Times New Roman"/>
          <w:sz w:val="24"/>
          <w:szCs w:val="24"/>
        </w:rPr>
        <w:t xml:space="preserve">-Caballero, S., García-Teruel, P. J. and Martínez-Solano, P. (2014) ‘Working capital management, corporate performance, and financial constraints’, </w:t>
      </w:r>
      <w:r>
        <w:rPr>
          <w:rFonts w:ascii="Times New Roman" w:eastAsia="Times New Roman" w:hAnsi="Times New Roman" w:cs="Times New Roman"/>
          <w:i/>
          <w:iCs/>
          <w:sz w:val="24"/>
          <w:szCs w:val="24"/>
        </w:rPr>
        <w:t>Journal of Business Research</w:t>
      </w:r>
      <w:r>
        <w:rPr>
          <w:rFonts w:ascii="Times New Roman" w:eastAsia="Times New Roman" w:hAnsi="Times New Roman" w:cs="Times New Roman"/>
          <w:sz w:val="24"/>
          <w:szCs w:val="24"/>
        </w:rPr>
        <w:t>, 67(3), pp. 332–338.</w:t>
      </w:r>
      <w:proofErr w:type="gramEnd"/>
      <w:r>
        <w:rPr>
          <w:rFonts w:ascii="Times New Roman" w:eastAsia="Times New Roman" w:hAnsi="Times New Roman" w:cs="Times New Roman"/>
          <w:sz w:val="24"/>
          <w:szCs w:val="24"/>
        </w:rPr>
        <w:t xml:space="preserve"> doi: 10.1016/j.jbusres.2013.01.016. </w:t>
      </w:r>
    </w:p>
    <w:p w:rsidR="002465D2" w:rsidRPr="002465D2" w:rsidRDefault="002465D2" w:rsidP="002465D2">
      <w:pPr>
        <w:spacing w:before="100" w:beforeAutospacing="1" w:after="100" w:afterAutospacing="1"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Baños</w:t>
      </w:r>
      <w:proofErr w:type="spellEnd"/>
      <w:r>
        <w:rPr>
          <w:rFonts w:ascii="Times New Roman" w:eastAsia="Times New Roman" w:hAnsi="Times New Roman" w:cs="Times New Roman"/>
          <w:sz w:val="24"/>
          <w:szCs w:val="24"/>
        </w:rPr>
        <w:t xml:space="preserve">-Caballero, S., García-Teruel, P. J. and Martínez-Solano, P. (2020) ‘Net operating working capital and firm value: A cross-country analysis’, </w:t>
      </w:r>
      <w:r>
        <w:rPr>
          <w:rFonts w:ascii="Times New Roman" w:eastAsia="Times New Roman" w:hAnsi="Times New Roman" w:cs="Times New Roman"/>
          <w:i/>
          <w:iCs/>
          <w:sz w:val="24"/>
          <w:szCs w:val="24"/>
        </w:rPr>
        <w:t>BRQ Business Research Quarterly</w:t>
      </w:r>
      <w:r>
        <w:rPr>
          <w:rFonts w:ascii="Times New Roman" w:eastAsia="Times New Roman" w:hAnsi="Times New Roman" w:cs="Times New Roman"/>
          <w:sz w:val="24"/>
          <w:szCs w:val="24"/>
        </w:rPr>
        <w:t xml:space="preserve">, 23(3), pp. 234–251. doi: 10.1177/2340944420941523. </w:t>
      </w:r>
    </w:p>
    <w:p w:rsidR="002465D2" w:rsidRPr="002465D2" w:rsidRDefault="002465D2" w:rsidP="002465D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Beck, N. and Katz, J. N. (1995) ‘</w:t>
      </w:r>
      <w:proofErr w:type="gramStart"/>
      <w:r>
        <w:rPr>
          <w:rFonts w:ascii="Times New Roman" w:eastAsia="Times New Roman" w:hAnsi="Times New Roman" w:cs="Times New Roman"/>
          <w:sz w:val="24"/>
          <w:szCs w:val="24"/>
        </w:rPr>
        <w:t>What</w:t>
      </w:r>
      <w:proofErr w:type="gramEnd"/>
      <w:r>
        <w:rPr>
          <w:rFonts w:ascii="Times New Roman" w:eastAsia="Times New Roman" w:hAnsi="Times New Roman" w:cs="Times New Roman"/>
          <w:sz w:val="24"/>
          <w:szCs w:val="24"/>
        </w:rPr>
        <w:t xml:space="preserve"> to do (and not to do) with time-series cross-section data’, </w:t>
      </w:r>
      <w:r>
        <w:rPr>
          <w:rFonts w:ascii="Times New Roman" w:eastAsia="Times New Roman" w:hAnsi="Times New Roman" w:cs="Times New Roman"/>
          <w:i/>
          <w:iCs/>
          <w:sz w:val="24"/>
          <w:szCs w:val="24"/>
        </w:rPr>
        <w:t>American Political Science Review</w:t>
      </w:r>
      <w:r>
        <w:rPr>
          <w:rFonts w:ascii="Times New Roman" w:eastAsia="Times New Roman" w:hAnsi="Times New Roman" w:cs="Times New Roman"/>
          <w:sz w:val="24"/>
          <w:szCs w:val="24"/>
        </w:rPr>
        <w:t xml:space="preserve">, 89(3), pp. 634–647. doi: 10.2307/2082979. </w:t>
      </w:r>
    </w:p>
    <w:p w:rsidR="002465D2" w:rsidRPr="002465D2" w:rsidRDefault="002465D2" w:rsidP="002465D2">
      <w:pPr>
        <w:spacing w:before="100" w:beforeAutospacing="1" w:after="100" w:afterAutospacing="1"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Dalci</w:t>
      </w:r>
      <w:proofErr w:type="spellEnd"/>
      <w:r>
        <w:rPr>
          <w:rFonts w:ascii="Times New Roman" w:eastAsia="Times New Roman" w:hAnsi="Times New Roman" w:cs="Times New Roman"/>
          <w:sz w:val="24"/>
          <w:szCs w:val="24"/>
        </w:rPr>
        <w:t xml:space="preserve">, I., Hasan, O., Tanova, C. and Bein, M. (2019) ‘The Moderating Impact of Firm Size on the Relationship between Working Capital Management and Profitability’, </w:t>
      </w:r>
      <w:r>
        <w:rPr>
          <w:rFonts w:ascii="Times New Roman" w:eastAsia="Times New Roman" w:hAnsi="Times New Roman" w:cs="Times New Roman"/>
          <w:i/>
          <w:iCs/>
          <w:sz w:val="24"/>
          <w:szCs w:val="24"/>
        </w:rPr>
        <w:t>Prague Economic Papers</w:t>
      </w:r>
      <w:r>
        <w:rPr>
          <w:rFonts w:ascii="Times New Roman" w:eastAsia="Times New Roman" w:hAnsi="Times New Roman" w:cs="Times New Roman"/>
          <w:sz w:val="24"/>
          <w:szCs w:val="24"/>
        </w:rPr>
        <w:t xml:space="preserve">, 28(3), pp. 296–312. doi: 10.18267/j.pep.697. </w:t>
      </w:r>
    </w:p>
    <w:p w:rsidR="002465D2" w:rsidRPr="002465D2" w:rsidRDefault="002465D2" w:rsidP="002465D2">
      <w:pPr>
        <w:spacing w:before="100" w:beforeAutospacing="1" w:after="100" w:afterAutospacing="1"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Enqvist</w:t>
      </w:r>
      <w:proofErr w:type="spellEnd"/>
      <w:r>
        <w:rPr>
          <w:rFonts w:ascii="Times New Roman" w:eastAsia="Times New Roman" w:hAnsi="Times New Roman" w:cs="Times New Roman"/>
          <w:sz w:val="24"/>
          <w:szCs w:val="24"/>
        </w:rPr>
        <w:t>, J., Graham, M. and Nikkinen, J. (2014)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impact of working capital management on firm profitability in different business cycles: Evidence from Finland’, </w:t>
      </w:r>
      <w:r>
        <w:rPr>
          <w:rFonts w:ascii="Times New Roman" w:eastAsia="Times New Roman" w:hAnsi="Times New Roman" w:cs="Times New Roman"/>
          <w:i/>
          <w:iCs/>
          <w:sz w:val="24"/>
          <w:szCs w:val="24"/>
        </w:rPr>
        <w:t>Research in International Business and Finance</w:t>
      </w:r>
      <w:r>
        <w:rPr>
          <w:rFonts w:ascii="Times New Roman" w:eastAsia="Times New Roman" w:hAnsi="Times New Roman" w:cs="Times New Roman"/>
          <w:sz w:val="24"/>
          <w:szCs w:val="24"/>
        </w:rPr>
        <w:t xml:space="preserve">, 32, pp. 36–49. doi: 10.1016/j.ribaf.2014.03.001. </w:t>
      </w:r>
    </w:p>
    <w:p w:rsidR="002465D2" w:rsidRPr="002465D2" w:rsidRDefault="002465D2" w:rsidP="002465D2">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Ghoshal</w:t>
      </w:r>
      <w:proofErr w:type="spellEnd"/>
      <w:r>
        <w:rPr>
          <w:rFonts w:ascii="Times New Roman" w:eastAsia="Times New Roman" w:hAnsi="Times New Roman" w:cs="Times New Roman"/>
          <w:sz w:val="24"/>
          <w:szCs w:val="24"/>
        </w:rPr>
        <w:t xml:space="preserve">, S. (1999) ‘Management competence, firm growth and economic progress’, </w:t>
      </w:r>
      <w:r>
        <w:rPr>
          <w:rFonts w:ascii="Times New Roman" w:eastAsia="Times New Roman" w:hAnsi="Times New Roman" w:cs="Times New Roman"/>
          <w:i/>
          <w:iCs/>
          <w:sz w:val="24"/>
          <w:szCs w:val="24"/>
        </w:rPr>
        <w:t>Contributions to Political Economy</w:t>
      </w:r>
      <w:r>
        <w:rPr>
          <w:rFonts w:ascii="Times New Roman" w:eastAsia="Times New Roman" w:hAnsi="Times New Roman" w:cs="Times New Roman"/>
          <w:sz w:val="24"/>
          <w:szCs w:val="24"/>
        </w:rPr>
        <w:t>, 18(1), pp. 121–150.</w:t>
      </w:r>
      <w:proofErr w:type="gramEnd"/>
      <w:r>
        <w:rPr>
          <w:rFonts w:ascii="Times New Roman" w:eastAsia="Times New Roman" w:hAnsi="Times New Roman" w:cs="Times New Roman"/>
          <w:sz w:val="24"/>
          <w:szCs w:val="24"/>
        </w:rPr>
        <w:t xml:space="preserve"> doi: 10.1093/cpe/18.1.121.</w:t>
      </w:r>
    </w:p>
    <w:p w:rsidR="002465D2" w:rsidRPr="002465D2" w:rsidRDefault="002465D2" w:rsidP="002465D2">
      <w:pPr>
        <w:spacing w:before="100" w:beforeAutospacing="1" w:after="100" w:afterAutospacing="1"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Gonçalves</w:t>
      </w:r>
      <w:proofErr w:type="spellEnd"/>
      <w:r>
        <w:rPr>
          <w:rFonts w:ascii="Times New Roman" w:eastAsia="Times New Roman" w:hAnsi="Times New Roman" w:cs="Times New Roman"/>
          <w:sz w:val="24"/>
          <w:szCs w:val="24"/>
        </w:rPr>
        <w:t>, T. C., Gaio, C. and Robles, F. (2018)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impact of Working Capital Management on firm profitability in different economic cycles: Evidence from the United Kingdom’, </w:t>
      </w:r>
      <w:r>
        <w:rPr>
          <w:rFonts w:ascii="Times New Roman" w:eastAsia="Times New Roman" w:hAnsi="Times New Roman" w:cs="Times New Roman"/>
          <w:i/>
          <w:iCs/>
          <w:sz w:val="24"/>
          <w:szCs w:val="24"/>
        </w:rPr>
        <w:t>Economics and Business Letters</w:t>
      </w:r>
      <w:r>
        <w:rPr>
          <w:rFonts w:ascii="Times New Roman" w:eastAsia="Times New Roman" w:hAnsi="Times New Roman" w:cs="Times New Roman"/>
          <w:sz w:val="24"/>
          <w:szCs w:val="24"/>
        </w:rPr>
        <w:t xml:space="preserve">, 7(2), pp. 70–75. doi: 10.17811/ebl.7.2.2018.70-75. </w:t>
      </w:r>
    </w:p>
    <w:p w:rsidR="002465D2" w:rsidRPr="002465D2" w:rsidRDefault="002465D2" w:rsidP="002465D2">
      <w:pPr>
        <w:spacing w:before="100" w:beforeAutospacing="1" w:after="100" w:afterAutospacing="1"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Hieu</w:t>
      </w:r>
      <w:proofErr w:type="spellEnd"/>
      <w:r>
        <w:rPr>
          <w:rFonts w:ascii="Times New Roman" w:eastAsia="Times New Roman" w:hAnsi="Times New Roman" w:cs="Times New Roman"/>
          <w:sz w:val="24"/>
          <w:szCs w:val="24"/>
        </w:rPr>
        <w:t xml:space="preserve">, P., Dang, V. Q. and Thu, Q. N. (2025) ‘Working capital and firm performance: Non-linear evidence from Vietnam’, </w:t>
      </w:r>
      <w:r>
        <w:rPr>
          <w:rFonts w:ascii="Times New Roman" w:eastAsia="Times New Roman" w:hAnsi="Times New Roman" w:cs="Times New Roman"/>
          <w:i/>
          <w:iCs/>
          <w:sz w:val="24"/>
          <w:szCs w:val="24"/>
        </w:rPr>
        <w:t>Financial and Credit Activity Problems of Theory and Practice</w:t>
      </w:r>
      <w:r>
        <w:rPr>
          <w:rFonts w:ascii="Times New Roman" w:eastAsia="Times New Roman" w:hAnsi="Times New Roman" w:cs="Times New Roman"/>
          <w:sz w:val="24"/>
          <w:szCs w:val="24"/>
        </w:rPr>
        <w:t>, 4(63), pp. 118–130. doi: 10.55643/fcaptp.4.63.2025.4798.</w:t>
      </w:r>
    </w:p>
    <w:p w:rsidR="002465D2" w:rsidRPr="002465D2" w:rsidRDefault="002465D2" w:rsidP="002465D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Ibrahim, G. A. N. and Khaled, H. E. H. (2026)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Moderating Effect of Economic Policy Uncertainty on the Relationship Between Working Capital Management Policy and Financial Distress: Evidence from Egyptian Firms’, </w:t>
      </w:r>
      <w:r>
        <w:rPr>
          <w:rFonts w:ascii="Times New Roman" w:eastAsia="Times New Roman" w:hAnsi="Times New Roman" w:cs="Times New Roman"/>
          <w:i/>
          <w:iCs/>
          <w:sz w:val="24"/>
          <w:szCs w:val="24"/>
        </w:rPr>
        <w:t>Journal of Risk and Financial Management</w:t>
      </w:r>
      <w:r>
        <w:rPr>
          <w:rFonts w:ascii="Times New Roman" w:eastAsia="Times New Roman" w:hAnsi="Times New Roman" w:cs="Times New Roman"/>
          <w:sz w:val="24"/>
          <w:szCs w:val="24"/>
        </w:rPr>
        <w:t>, 19(4), p. 287.</w:t>
      </w:r>
    </w:p>
    <w:p w:rsidR="002465D2" w:rsidRPr="002465D2" w:rsidRDefault="002465D2" w:rsidP="002465D2">
      <w:pPr>
        <w:spacing w:before="100" w:beforeAutospacing="1" w:after="100" w:afterAutospacing="1"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Levický</w:t>
      </w:r>
      <w:proofErr w:type="spellEnd"/>
      <w:r>
        <w:rPr>
          <w:rFonts w:ascii="Times New Roman" w:eastAsia="Times New Roman" w:hAnsi="Times New Roman" w:cs="Times New Roman"/>
          <w:sz w:val="24"/>
          <w:szCs w:val="24"/>
        </w:rPr>
        <w:t>, M., Kovác, M., Horváth, P. and Molnár, Z. (2026)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effect of working capital management on firm financial performance: empirical evidence using static and dynamic panel data’, </w:t>
      </w:r>
      <w:r>
        <w:rPr>
          <w:rFonts w:ascii="Times New Roman" w:eastAsia="Times New Roman" w:hAnsi="Times New Roman" w:cs="Times New Roman"/>
          <w:i/>
          <w:iCs/>
          <w:sz w:val="24"/>
          <w:szCs w:val="24"/>
        </w:rPr>
        <w:t>Cogent Economics &amp; Finance</w:t>
      </w:r>
      <w:r>
        <w:rPr>
          <w:rFonts w:ascii="Times New Roman" w:eastAsia="Times New Roman" w:hAnsi="Times New Roman" w:cs="Times New Roman"/>
          <w:sz w:val="24"/>
          <w:szCs w:val="24"/>
        </w:rPr>
        <w:t>, 14(1), p. 2626087. doi: 10.1080/23322039.2026.2626087.</w:t>
      </w:r>
    </w:p>
    <w:p w:rsidR="002465D2" w:rsidRPr="002465D2" w:rsidRDefault="002465D2" w:rsidP="002465D2">
      <w:pPr>
        <w:spacing w:before="100" w:beforeAutospacing="1" w:after="100" w:afterAutospacing="1"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Mahmood</w:t>
      </w:r>
      <w:proofErr w:type="spellEnd"/>
      <w:r>
        <w:rPr>
          <w:rFonts w:ascii="Times New Roman" w:eastAsia="Times New Roman" w:hAnsi="Times New Roman" w:cs="Times New Roman"/>
          <w:sz w:val="24"/>
          <w:szCs w:val="24"/>
        </w:rPr>
        <w:t xml:space="preserve">, F., Han, D., Ali, N., Mubeen, R. and Shahzad, U. (2019) ‘Moderating Effects of Firm Size and Leverage on the Working Capital Finance–Profitability Relationship: Evidence from China’, </w:t>
      </w:r>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xml:space="preserve">, 11(7), p. 2029. doi: 10.3390/su11072029. </w:t>
      </w:r>
    </w:p>
    <w:p w:rsidR="002465D2" w:rsidRPr="002465D2" w:rsidRDefault="002465D2" w:rsidP="002465D2">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Ogege</w:t>
      </w:r>
      <w:proofErr w:type="spellEnd"/>
      <w:r>
        <w:rPr>
          <w:rFonts w:ascii="Times New Roman" w:eastAsia="Times New Roman" w:hAnsi="Times New Roman" w:cs="Times New Roman"/>
          <w:sz w:val="24"/>
          <w:szCs w:val="24"/>
        </w:rPr>
        <w:t xml:space="preserve">, S. (2026) ‘Interest rate fluctuation and firm’s financial decision’, </w:t>
      </w:r>
      <w:r>
        <w:rPr>
          <w:rFonts w:ascii="Times New Roman" w:eastAsia="Times New Roman" w:hAnsi="Times New Roman" w:cs="Times New Roman"/>
          <w:i/>
          <w:iCs/>
          <w:sz w:val="24"/>
          <w:szCs w:val="24"/>
        </w:rPr>
        <w:t>African Banking and Finance Review Journal</w:t>
      </w:r>
      <w:r>
        <w:rPr>
          <w:rFonts w:ascii="Times New Roman" w:eastAsia="Times New Roman" w:hAnsi="Times New Roman" w:cs="Times New Roman"/>
          <w:sz w:val="24"/>
          <w:szCs w:val="24"/>
        </w:rPr>
        <w:t>, 21(3), pp. 218–231.</w:t>
      </w:r>
      <w:proofErr w:type="gramEnd"/>
    </w:p>
    <w:p w:rsidR="002465D2" w:rsidRPr="002465D2" w:rsidRDefault="002465D2" w:rsidP="002465D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Petersen, M. A. (2009) ‘</w:t>
      </w:r>
      <w:proofErr w:type="gramStart"/>
      <w:r>
        <w:rPr>
          <w:rFonts w:ascii="Times New Roman" w:eastAsia="Times New Roman" w:hAnsi="Times New Roman" w:cs="Times New Roman"/>
          <w:sz w:val="24"/>
          <w:szCs w:val="24"/>
        </w:rPr>
        <w:t>Estimating</w:t>
      </w:r>
      <w:proofErr w:type="gramEnd"/>
      <w:r>
        <w:rPr>
          <w:rFonts w:ascii="Times New Roman" w:eastAsia="Times New Roman" w:hAnsi="Times New Roman" w:cs="Times New Roman"/>
          <w:sz w:val="24"/>
          <w:szCs w:val="24"/>
        </w:rPr>
        <w:t xml:space="preserve"> standard errors in finance panel data sets: Comparing approaches’, </w:t>
      </w:r>
      <w:r>
        <w:rPr>
          <w:rFonts w:ascii="Times New Roman" w:eastAsia="Times New Roman" w:hAnsi="Times New Roman" w:cs="Times New Roman"/>
          <w:i/>
          <w:iCs/>
          <w:sz w:val="24"/>
          <w:szCs w:val="24"/>
        </w:rPr>
        <w:t>Review of Financial Studies</w:t>
      </w:r>
      <w:r>
        <w:rPr>
          <w:rFonts w:ascii="Times New Roman" w:eastAsia="Times New Roman" w:hAnsi="Times New Roman" w:cs="Times New Roman"/>
          <w:sz w:val="24"/>
          <w:szCs w:val="24"/>
        </w:rPr>
        <w:t xml:space="preserve">, 22(1), pp. 435–480. doi: 10.1093/rfs/hhn053. </w:t>
      </w:r>
    </w:p>
    <w:p w:rsidR="002465D2" w:rsidRPr="002465D2" w:rsidRDefault="002465D2" w:rsidP="002465D2">
      <w:pPr>
        <w:spacing w:before="100" w:beforeAutospacing="1" w:after="100" w:afterAutospacing="1"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Purba</w:t>
      </w:r>
      <w:proofErr w:type="spellEnd"/>
      <w:r>
        <w:rPr>
          <w:rFonts w:ascii="Times New Roman" w:eastAsia="Times New Roman" w:hAnsi="Times New Roman" w:cs="Times New Roman"/>
          <w:sz w:val="24"/>
          <w:szCs w:val="24"/>
        </w:rPr>
        <w:t xml:space="preserve">, N. M. B., Lubis, P. S., Syahputra, H. E., Muda, I. and Abdullah, N. M. H. (2025) ‘The Effect of Working Capital Management on Liquidity in Technology Sector Companies Listed on the Indonesia Stock Exchange (IDX)’, in El Khoury, R. (ed.) </w:t>
      </w:r>
      <w:r>
        <w:rPr>
          <w:rFonts w:ascii="Times New Roman" w:eastAsia="Times New Roman" w:hAnsi="Times New Roman" w:cs="Times New Roman"/>
          <w:i/>
          <w:iCs/>
          <w:sz w:val="24"/>
          <w:szCs w:val="24"/>
        </w:rPr>
        <w:t>The Future of Work: How Technology is Transforming Jobs and Skills</w:t>
      </w:r>
      <w:r>
        <w:rPr>
          <w:rFonts w:ascii="Times New Roman" w:eastAsia="Times New Roman" w:hAnsi="Times New Roman" w:cs="Times New Roman"/>
          <w:sz w:val="24"/>
          <w:szCs w:val="24"/>
        </w:rPr>
        <w:t>. Cham: Springer, pp. 601–615. doi: 10.10007/978-3-031-87372-0_61.</w:t>
      </w:r>
    </w:p>
    <w:p w:rsidR="002465D2" w:rsidRPr="002465D2" w:rsidRDefault="002465D2" w:rsidP="002465D2">
      <w:pPr>
        <w:spacing w:before="100" w:beforeAutospacing="1" w:after="100" w:afterAutospacing="1"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Tingbani</w:t>
      </w:r>
      <w:proofErr w:type="spellEnd"/>
      <w:r>
        <w:rPr>
          <w:rFonts w:ascii="Times New Roman" w:eastAsia="Times New Roman" w:hAnsi="Times New Roman" w:cs="Times New Roman"/>
          <w:sz w:val="24"/>
          <w:szCs w:val="24"/>
        </w:rPr>
        <w:t xml:space="preserve">, I., Tauringana, V., Damoah, I. S. and Sha'ven, W. B. (2020) ‘Working capital management and financial performance of UK listed firms: a contingency approach’, </w:t>
      </w:r>
      <w:r>
        <w:rPr>
          <w:rFonts w:ascii="Times New Roman" w:eastAsia="Times New Roman" w:hAnsi="Times New Roman" w:cs="Times New Roman"/>
          <w:i/>
          <w:iCs/>
          <w:sz w:val="24"/>
          <w:szCs w:val="24"/>
        </w:rPr>
        <w:t>International Journal of Banking, Accounting and Finance</w:t>
      </w:r>
      <w:r>
        <w:rPr>
          <w:rFonts w:ascii="Times New Roman" w:eastAsia="Times New Roman" w:hAnsi="Times New Roman" w:cs="Times New Roman"/>
          <w:sz w:val="24"/>
          <w:szCs w:val="24"/>
        </w:rPr>
        <w:t>, 11(2), pp. 173–201. doi: 10.1504/IJBAAF.2020.106708.</w:t>
      </w:r>
    </w:p>
    <w:p w:rsidR="002465D2" w:rsidRPr="002465D2" w:rsidRDefault="002465D2" w:rsidP="002465D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Wagdi, O., Fathi, A., Nousir, S. and Hafez, H. (2025)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Moderating Role of Interest Rates on the Relationship between Working Capital Management and Firm Value: Evidence from EGX’, </w:t>
      </w:r>
      <w:r>
        <w:rPr>
          <w:rFonts w:ascii="Times New Roman" w:eastAsia="Times New Roman" w:hAnsi="Times New Roman" w:cs="Times New Roman"/>
          <w:i/>
          <w:iCs/>
          <w:sz w:val="24"/>
          <w:szCs w:val="24"/>
        </w:rPr>
        <w:t>Academic Journal of Social Sciences</w:t>
      </w:r>
      <w:r>
        <w:rPr>
          <w:rFonts w:ascii="Times New Roman" w:eastAsia="Times New Roman" w:hAnsi="Times New Roman" w:cs="Times New Roman"/>
          <w:sz w:val="24"/>
          <w:szCs w:val="24"/>
        </w:rPr>
        <w:t>, 1(2), pp. 84–111. doi: 10.21608/ajsc.2025.435687.1009.</w:t>
      </w:r>
    </w:p>
    <w:p w:rsidR="004525D5" w:rsidRPr="004525D5" w:rsidRDefault="002465D2" w:rsidP="004525D5">
      <w:pPr>
        <w:spacing w:before="100" w:beforeAutospacing="1" w:after="100" w:afterAutospacing="1"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Yousaf</w:t>
      </w:r>
      <w:proofErr w:type="spellEnd"/>
      <w:r>
        <w:rPr>
          <w:rFonts w:ascii="Times New Roman" w:eastAsia="Times New Roman" w:hAnsi="Times New Roman" w:cs="Times New Roman"/>
          <w:sz w:val="24"/>
          <w:szCs w:val="24"/>
        </w:rPr>
        <w:t>, M. (2025) ‘Determinants of firm performance: How to choose the best model among panel data models?</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Central European Management Journal</w:t>
      </w:r>
      <w:r>
        <w:rPr>
          <w:rFonts w:ascii="Times New Roman" w:eastAsia="Times New Roman" w:hAnsi="Times New Roman" w:cs="Times New Roman"/>
          <w:sz w:val="24"/>
          <w:szCs w:val="24"/>
        </w:rPr>
        <w:t>, 33(3), pp. 504–521. doi: 10.1108/CEMJ-05-2023-0229.</w:t>
      </w:r>
      <w:r>
        <w:rPr>
          <w:rFonts w:ascii="Times New Roman" w:eastAsia="Times New Roman" w:hAnsi="Times New Roman" w:cs="Times New Roman"/>
          <w:b/>
          <w:bCs/>
          <w:kern w:val="36"/>
          <w:sz w:val="48"/>
          <w:szCs w:val="48"/>
          <w:lang w:val="en-GB" w:eastAsia="en-GB"/>
        </w:rPr>
        <w:br w:type="page"/>
      </w:r>
    </w:p>
    <w:p w:rsidR="00806A24" w:rsidRPr="0001577A" w:rsidRDefault="00477231" w:rsidP="0001577A">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bookmarkStart w:id="25" w:name="_Toc238372498"/>
      <w:r>
        <w:rPr>
          <w:rFonts w:ascii="Times New Roman" w:eastAsia="Times New Roman" w:hAnsi="Times New Roman" w:cs="Times New Roman"/>
          <w:b/>
          <w:bCs/>
          <w:kern w:val="36"/>
          <w:sz w:val="48"/>
          <w:szCs w:val="48"/>
          <w:lang w:val="en-GB" w:eastAsia="en-GB"/>
        </w:rPr>
        <w:lastRenderedPageBreak/>
        <w:t>Appendices</w:t>
      </w:r>
      <w:bookmarkStart w:id="26" w:name="_Toc238372499"/>
      <w:bookmarkEnd w:id="25"/>
    </w:p>
    <w:p w:rsidR="00AB066D" w:rsidRPr="00806A24" w:rsidRDefault="00477231" w:rsidP="00AB066D">
      <w:pPr>
        <w:pStyle w:val="Heading2"/>
        <w:rPr>
          <w:rFonts w:ascii="Times New Roman" w:hAnsi="Times New Roman" w:cs="Times New Roman"/>
          <w:color w:val="1F1F1F"/>
        </w:rPr>
      </w:pPr>
      <w:r w:rsidRPr="00806A24">
        <w:rPr>
          <w:rFonts w:ascii="Times New Roman" w:hAnsi="Times New Roman" w:cs="Times New Roman"/>
          <w:color w:val="1F1F1F"/>
        </w:rPr>
        <w:t>LITERATURE REVIEW MATRIX TABLE</w:t>
      </w:r>
      <w:bookmarkEnd w:id="26"/>
    </w:p>
    <w:p w:rsidR="00806A24" w:rsidRDefault="00806A24" w:rsidP="003A0A3E"/>
    <w:tbl>
      <w:tblPr>
        <w:tblW w:w="4975"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698"/>
        <w:gridCol w:w="503"/>
        <w:gridCol w:w="1172"/>
        <w:gridCol w:w="906"/>
        <w:gridCol w:w="1235"/>
        <w:gridCol w:w="1155"/>
        <w:gridCol w:w="1153"/>
        <w:gridCol w:w="1404"/>
        <w:gridCol w:w="2629"/>
      </w:tblGrid>
      <w:tr w:rsidR="00806A24" w:rsidRPr="0001577A" w:rsidTr="00806A24">
        <w:trPr>
          <w:tblHeader/>
          <w:tblCellSpacing w:w="15" w:type="dxa"/>
        </w:trPr>
        <w:tc>
          <w:tcPr>
            <w:tcW w:w="307" w:type="pct"/>
            <w:vAlign w:val="center"/>
            <w:hideMark/>
          </w:tcPr>
          <w:p w:rsidR="00806A24" w:rsidRPr="0001577A" w:rsidRDefault="00806A24" w:rsidP="00C738CF">
            <w:pPr>
              <w:spacing w:after="0" w:line="240" w:lineRule="auto"/>
              <w:rPr>
                <w:rFonts w:ascii="Times New Roman" w:eastAsia="Times New Roman" w:hAnsi="Times New Roman" w:cs="Times New Roman"/>
                <w:b/>
                <w:bCs/>
                <w:sz w:val="18"/>
                <w:szCs w:val="16"/>
              </w:rPr>
            </w:pPr>
            <w:r w:rsidRPr="0001577A">
              <w:rPr>
                <w:rFonts w:ascii="Times New Roman" w:eastAsia="Times New Roman" w:hAnsi="Times New Roman" w:cs="Times New Roman"/>
                <w:b/>
                <w:bCs/>
                <w:sz w:val="18"/>
                <w:szCs w:val="16"/>
              </w:rPr>
              <w:t>Author(s)</w:t>
            </w:r>
          </w:p>
        </w:tc>
        <w:tc>
          <w:tcPr>
            <w:tcW w:w="223" w:type="pct"/>
            <w:vAlign w:val="center"/>
            <w:hideMark/>
          </w:tcPr>
          <w:p w:rsidR="00806A24" w:rsidRPr="0001577A" w:rsidRDefault="00806A24" w:rsidP="00C738CF">
            <w:pPr>
              <w:spacing w:after="0" w:line="240" w:lineRule="auto"/>
              <w:rPr>
                <w:rFonts w:ascii="Times New Roman" w:eastAsia="Times New Roman" w:hAnsi="Times New Roman" w:cs="Times New Roman"/>
                <w:b/>
                <w:bCs/>
                <w:sz w:val="18"/>
                <w:szCs w:val="16"/>
              </w:rPr>
            </w:pPr>
            <w:r w:rsidRPr="0001577A">
              <w:rPr>
                <w:rFonts w:ascii="Times New Roman" w:eastAsia="Times New Roman" w:hAnsi="Times New Roman" w:cs="Times New Roman"/>
                <w:b/>
                <w:bCs/>
                <w:sz w:val="18"/>
                <w:szCs w:val="16"/>
              </w:rPr>
              <w:t>Year</w:t>
            </w:r>
          </w:p>
        </w:tc>
        <w:tc>
          <w:tcPr>
            <w:tcW w:w="538" w:type="pct"/>
            <w:vAlign w:val="center"/>
            <w:hideMark/>
          </w:tcPr>
          <w:p w:rsidR="00806A24" w:rsidRPr="0001577A" w:rsidRDefault="00806A24" w:rsidP="00C738CF">
            <w:pPr>
              <w:spacing w:after="0" w:line="240" w:lineRule="auto"/>
              <w:rPr>
                <w:rFonts w:ascii="Times New Roman" w:eastAsia="Times New Roman" w:hAnsi="Times New Roman" w:cs="Times New Roman"/>
                <w:b/>
                <w:bCs/>
                <w:sz w:val="18"/>
                <w:szCs w:val="16"/>
              </w:rPr>
            </w:pPr>
            <w:r w:rsidRPr="0001577A">
              <w:rPr>
                <w:rFonts w:ascii="Times New Roman" w:eastAsia="Times New Roman" w:hAnsi="Times New Roman" w:cs="Times New Roman"/>
                <w:b/>
                <w:bCs/>
                <w:sz w:val="18"/>
                <w:szCs w:val="16"/>
              </w:rPr>
              <w:t>Title</w:t>
            </w:r>
          </w:p>
        </w:tc>
        <w:tc>
          <w:tcPr>
            <w:tcW w:w="413" w:type="pct"/>
            <w:vAlign w:val="center"/>
            <w:hideMark/>
          </w:tcPr>
          <w:p w:rsidR="00806A24" w:rsidRPr="0001577A" w:rsidRDefault="00806A24" w:rsidP="00C738CF">
            <w:pPr>
              <w:spacing w:after="0" w:line="240" w:lineRule="auto"/>
              <w:rPr>
                <w:rFonts w:ascii="Times New Roman" w:eastAsia="Times New Roman" w:hAnsi="Times New Roman" w:cs="Times New Roman"/>
                <w:b/>
                <w:bCs/>
                <w:sz w:val="18"/>
                <w:szCs w:val="16"/>
              </w:rPr>
            </w:pPr>
            <w:r w:rsidRPr="0001577A">
              <w:rPr>
                <w:rFonts w:ascii="Times New Roman" w:eastAsia="Times New Roman" w:hAnsi="Times New Roman" w:cs="Times New Roman"/>
                <w:b/>
                <w:bCs/>
                <w:sz w:val="18"/>
                <w:szCs w:val="16"/>
              </w:rPr>
              <w:t>Journal/</w:t>
            </w:r>
          </w:p>
          <w:p w:rsidR="00806A24" w:rsidRPr="0001577A" w:rsidRDefault="00806A24" w:rsidP="00C738CF">
            <w:pPr>
              <w:spacing w:after="0" w:line="240" w:lineRule="auto"/>
              <w:rPr>
                <w:rFonts w:ascii="Times New Roman" w:eastAsia="Times New Roman" w:hAnsi="Times New Roman" w:cs="Times New Roman"/>
                <w:b/>
                <w:bCs/>
                <w:sz w:val="18"/>
                <w:szCs w:val="16"/>
              </w:rPr>
            </w:pPr>
            <w:r w:rsidRPr="0001577A">
              <w:rPr>
                <w:rFonts w:ascii="Times New Roman" w:eastAsia="Times New Roman" w:hAnsi="Times New Roman" w:cs="Times New Roman"/>
                <w:b/>
                <w:bCs/>
                <w:sz w:val="18"/>
                <w:szCs w:val="16"/>
              </w:rPr>
              <w:t>Publisher</w:t>
            </w:r>
          </w:p>
        </w:tc>
        <w:tc>
          <w:tcPr>
            <w:tcW w:w="568" w:type="pct"/>
            <w:vAlign w:val="center"/>
            <w:hideMark/>
          </w:tcPr>
          <w:p w:rsidR="00806A24" w:rsidRPr="0001577A" w:rsidRDefault="00806A24" w:rsidP="00C738CF">
            <w:pPr>
              <w:spacing w:after="0" w:line="240" w:lineRule="auto"/>
              <w:rPr>
                <w:rFonts w:ascii="Times New Roman" w:eastAsia="Times New Roman" w:hAnsi="Times New Roman" w:cs="Times New Roman"/>
                <w:b/>
                <w:bCs/>
                <w:sz w:val="18"/>
                <w:szCs w:val="16"/>
              </w:rPr>
            </w:pPr>
            <w:r w:rsidRPr="0001577A">
              <w:rPr>
                <w:rFonts w:ascii="Times New Roman" w:eastAsia="Times New Roman" w:hAnsi="Times New Roman" w:cs="Times New Roman"/>
                <w:b/>
                <w:bCs/>
                <w:sz w:val="18"/>
                <w:szCs w:val="16"/>
              </w:rPr>
              <w:t>Research Problem</w:t>
            </w:r>
          </w:p>
        </w:tc>
        <w:tc>
          <w:tcPr>
            <w:tcW w:w="530" w:type="pct"/>
            <w:vAlign w:val="center"/>
            <w:hideMark/>
          </w:tcPr>
          <w:p w:rsidR="00806A24" w:rsidRPr="0001577A" w:rsidRDefault="00806A24" w:rsidP="00C738CF">
            <w:pPr>
              <w:spacing w:after="0" w:line="240" w:lineRule="auto"/>
              <w:rPr>
                <w:rFonts w:ascii="Times New Roman" w:eastAsia="Times New Roman" w:hAnsi="Times New Roman" w:cs="Times New Roman"/>
                <w:b/>
                <w:bCs/>
                <w:sz w:val="18"/>
                <w:szCs w:val="16"/>
              </w:rPr>
            </w:pPr>
            <w:r w:rsidRPr="0001577A">
              <w:rPr>
                <w:rFonts w:ascii="Times New Roman" w:eastAsia="Times New Roman" w:hAnsi="Times New Roman" w:cs="Times New Roman"/>
                <w:b/>
                <w:bCs/>
                <w:sz w:val="18"/>
                <w:szCs w:val="16"/>
              </w:rPr>
              <w:t>Theoretical Framework</w:t>
            </w:r>
          </w:p>
        </w:tc>
        <w:tc>
          <w:tcPr>
            <w:tcW w:w="529" w:type="pct"/>
            <w:vAlign w:val="center"/>
            <w:hideMark/>
          </w:tcPr>
          <w:p w:rsidR="00806A24" w:rsidRPr="0001577A" w:rsidRDefault="00806A24" w:rsidP="00C738CF">
            <w:pPr>
              <w:spacing w:after="0" w:line="240" w:lineRule="auto"/>
              <w:rPr>
                <w:rFonts w:ascii="Times New Roman" w:eastAsia="Times New Roman" w:hAnsi="Times New Roman" w:cs="Times New Roman"/>
                <w:b/>
                <w:bCs/>
                <w:sz w:val="18"/>
                <w:szCs w:val="16"/>
              </w:rPr>
            </w:pPr>
            <w:r w:rsidRPr="0001577A">
              <w:rPr>
                <w:rFonts w:ascii="Times New Roman" w:eastAsia="Times New Roman" w:hAnsi="Times New Roman" w:cs="Times New Roman"/>
                <w:b/>
                <w:bCs/>
                <w:sz w:val="18"/>
                <w:szCs w:val="16"/>
              </w:rPr>
              <w:t>Methodology</w:t>
            </w:r>
          </w:p>
        </w:tc>
        <w:tc>
          <w:tcPr>
            <w:tcW w:w="647" w:type="pct"/>
            <w:vAlign w:val="center"/>
            <w:hideMark/>
          </w:tcPr>
          <w:p w:rsidR="00806A24" w:rsidRPr="0001577A" w:rsidRDefault="00806A24" w:rsidP="00C738CF">
            <w:pPr>
              <w:spacing w:after="0" w:line="240" w:lineRule="auto"/>
              <w:rPr>
                <w:rFonts w:ascii="Times New Roman" w:eastAsia="Times New Roman" w:hAnsi="Times New Roman" w:cs="Times New Roman"/>
                <w:b/>
                <w:bCs/>
                <w:sz w:val="18"/>
                <w:szCs w:val="16"/>
              </w:rPr>
            </w:pPr>
            <w:r w:rsidRPr="0001577A">
              <w:rPr>
                <w:rFonts w:ascii="Times New Roman" w:eastAsia="Times New Roman" w:hAnsi="Times New Roman" w:cs="Times New Roman"/>
                <w:b/>
                <w:bCs/>
                <w:sz w:val="18"/>
                <w:szCs w:val="16"/>
              </w:rPr>
              <w:t>Key Findings</w:t>
            </w:r>
          </w:p>
        </w:tc>
        <w:tc>
          <w:tcPr>
            <w:tcW w:w="1107" w:type="pct"/>
            <w:vAlign w:val="center"/>
            <w:hideMark/>
          </w:tcPr>
          <w:p w:rsidR="00806A24" w:rsidRPr="0001577A" w:rsidRDefault="00806A24" w:rsidP="00C738CF">
            <w:pPr>
              <w:spacing w:after="0" w:line="240" w:lineRule="auto"/>
              <w:rPr>
                <w:rFonts w:ascii="Times New Roman" w:eastAsia="Times New Roman" w:hAnsi="Times New Roman" w:cs="Times New Roman"/>
                <w:b/>
                <w:bCs/>
                <w:sz w:val="18"/>
                <w:szCs w:val="16"/>
              </w:rPr>
            </w:pPr>
            <w:r w:rsidRPr="0001577A">
              <w:rPr>
                <w:rFonts w:ascii="Times New Roman" w:eastAsia="Times New Roman" w:hAnsi="Times New Roman" w:cs="Times New Roman"/>
                <w:b/>
                <w:bCs/>
                <w:sz w:val="18"/>
                <w:szCs w:val="16"/>
              </w:rPr>
              <w:t>Relevance to Your Study</w:t>
            </w:r>
          </w:p>
        </w:tc>
      </w:tr>
      <w:tr w:rsidR="00032BDB" w:rsidRPr="00032BDB" w:rsidTr="00806A24">
        <w:trPr>
          <w:tblCellSpacing w:w="15" w:type="dxa"/>
        </w:trPr>
        <w:tc>
          <w:tcPr>
            <w:tcW w:w="4972" w:type="pct"/>
            <w:gridSpan w:val="9"/>
            <w:vAlign w:val="center"/>
          </w:tcPr>
          <w:p w:rsidR="00806A24" w:rsidRPr="00032BDB" w:rsidRDefault="00806A24" w:rsidP="00806A24">
            <w:pPr>
              <w:spacing w:after="0" w:line="240" w:lineRule="auto"/>
              <w:jc w:val="center"/>
              <w:rPr>
                <w:rFonts w:ascii="Times New Roman" w:eastAsia="Times New Roman" w:hAnsi="Times New Roman" w:cs="Times New Roman"/>
                <w:b/>
                <w:color w:val="365F91" w:themeColor="accent1" w:themeShade="BF"/>
                <w:sz w:val="18"/>
                <w:szCs w:val="16"/>
              </w:rPr>
            </w:pPr>
          </w:p>
          <w:p w:rsidR="00806A24" w:rsidRPr="00032BDB" w:rsidRDefault="00806A24" w:rsidP="00806A24">
            <w:pPr>
              <w:spacing w:after="0" w:line="240" w:lineRule="auto"/>
              <w:jc w:val="center"/>
              <w:rPr>
                <w:rFonts w:ascii="Times New Roman" w:eastAsia="Times New Roman" w:hAnsi="Times New Roman" w:cs="Times New Roman"/>
                <w:b/>
                <w:color w:val="365F91" w:themeColor="accent1" w:themeShade="BF"/>
                <w:sz w:val="18"/>
                <w:szCs w:val="16"/>
              </w:rPr>
            </w:pPr>
            <w:r w:rsidRPr="00032BDB">
              <w:rPr>
                <w:rFonts w:ascii="Times New Roman" w:eastAsia="Times New Roman" w:hAnsi="Times New Roman" w:cs="Times New Roman"/>
                <w:b/>
                <w:color w:val="365F91" w:themeColor="accent1" w:themeShade="BF"/>
                <w:sz w:val="18"/>
                <w:szCs w:val="16"/>
              </w:rPr>
              <w:t>Theme 3.1: The Linear vs. Non-Linear Dynamics of WCM and Performanc</w:t>
            </w:r>
            <w:r w:rsidRPr="00032BDB">
              <w:rPr>
                <w:rFonts w:ascii="Times New Roman" w:eastAsia="Times New Roman" w:hAnsi="Times New Roman" w:cs="Times New Roman"/>
                <w:b/>
                <w:color w:val="365F91" w:themeColor="accent1" w:themeShade="BF"/>
                <w:sz w:val="18"/>
                <w:szCs w:val="16"/>
              </w:rPr>
              <w:t>e</w:t>
            </w:r>
          </w:p>
          <w:p w:rsidR="00806A24" w:rsidRPr="00032BDB" w:rsidRDefault="00806A24" w:rsidP="00806A24">
            <w:pPr>
              <w:spacing w:after="0" w:line="240" w:lineRule="auto"/>
              <w:jc w:val="center"/>
              <w:rPr>
                <w:rFonts w:ascii="Times New Roman" w:eastAsia="Times New Roman" w:hAnsi="Times New Roman" w:cs="Times New Roman"/>
                <w:color w:val="365F91" w:themeColor="accent1" w:themeShade="BF"/>
                <w:sz w:val="18"/>
                <w:szCs w:val="16"/>
              </w:rPr>
            </w:pPr>
          </w:p>
        </w:tc>
      </w:tr>
      <w:tr w:rsidR="00806A24" w:rsidRPr="00806A24" w:rsidTr="00806A24">
        <w:trPr>
          <w:tblCellSpacing w:w="15" w:type="dxa"/>
        </w:trPr>
        <w:tc>
          <w:tcPr>
            <w:tcW w:w="307" w:type="pct"/>
            <w:vAlign w:val="center"/>
            <w:hideMark/>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 xml:space="preserve">Anton &amp; </w:t>
            </w:r>
            <w:proofErr w:type="spellStart"/>
            <w:r w:rsidRPr="00806A24">
              <w:rPr>
                <w:rFonts w:ascii="Times New Roman" w:eastAsia="Times New Roman" w:hAnsi="Times New Roman" w:cs="Times New Roman"/>
                <w:sz w:val="16"/>
                <w:szCs w:val="16"/>
              </w:rPr>
              <w:t>Nucu</w:t>
            </w:r>
            <w:proofErr w:type="spellEnd"/>
          </w:p>
        </w:tc>
        <w:tc>
          <w:tcPr>
            <w:tcW w:w="223" w:type="pct"/>
            <w:vAlign w:val="center"/>
            <w:hideMark/>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2021</w:t>
            </w:r>
          </w:p>
        </w:tc>
        <w:tc>
          <w:tcPr>
            <w:tcW w:w="538" w:type="pct"/>
            <w:vAlign w:val="center"/>
            <w:hideMark/>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The Impact of Working Capital Management on Firm Profitability: Empirical Evidence from Polish Listed Firms</w:t>
            </w:r>
          </w:p>
        </w:tc>
        <w:tc>
          <w:tcPr>
            <w:tcW w:w="413" w:type="pct"/>
            <w:vAlign w:val="center"/>
            <w:hideMark/>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Journal of Risk and Financial Management</w:t>
            </w:r>
          </w:p>
        </w:tc>
        <w:tc>
          <w:tcPr>
            <w:tcW w:w="568" w:type="pct"/>
            <w:vAlign w:val="center"/>
            <w:hideMark/>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Examines non-linear WCM effect on 719 listed firms (2007–2016).</w:t>
            </w:r>
          </w:p>
        </w:tc>
        <w:tc>
          <w:tcPr>
            <w:tcW w:w="530" w:type="pct"/>
            <w:vAlign w:val="center"/>
            <w:hideMark/>
          </w:tcPr>
          <w:p w:rsidR="00806A24" w:rsidRPr="00806A24" w:rsidRDefault="00806A24" w:rsidP="00C554D4">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 xml:space="preserve">Trade-off Theory / </w:t>
            </w:r>
            <w:r w:rsidRPr="00806A24">
              <w:rPr>
                <w:rFonts w:ascii="Times New Roman" w:eastAsia="Times New Roman" w:hAnsi="Times New Roman" w:cs="Times New Roman"/>
                <w:sz w:val="16"/>
                <w:szCs w:val="16"/>
              </w:rPr>
              <w:t>Optimal WCM</w:t>
            </w:r>
          </w:p>
        </w:tc>
        <w:tc>
          <w:tcPr>
            <w:tcW w:w="529" w:type="pct"/>
            <w:vAlign w:val="center"/>
            <w:hideMark/>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Quantitative (OLS, FE, PCSE)</w:t>
            </w:r>
          </w:p>
        </w:tc>
        <w:tc>
          <w:tcPr>
            <w:tcW w:w="647" w:type="pct"/>
            <w:vAlign w:val="center"/>
            <w:hideMark/>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Confirms an inverted U-shaped relationship between WCM and profitability (ROA).</w:t>
            </w:r>
          </w:p>
        </w:tc>
        <w:tc>
          <w:tcPr>
            <w:tcW w:w="1107" w:type="pct"/>
            <w:vAlign w:val="center"/>
            <w:hideMark/>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Positivist/Objectivist: Measures objective financial reality; provides baseline for non-linear modeling.</w:t>
            </w:r>
          </w:p>
        </w:tc>
      </w:tr>
      <w:tr w:rsidR="00806A24" w:rsidRPr="00806A24" w:rsidTr="00806A24">
        <w:trPr>
          <w:tblCellSpacing w:w="15" w:type="dxa"/>
        </w:trPr>
        <w:tc>
          <w:tcPr>
            <w:tcW w:w="30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proofErr w:type="spellStart"/>
            <w:r w:rsidRPr="00806A24">
              <w:rPr>
                <w:rFonts w:ascii="Times New Roman" w:eastAsia="Times New Roman" w:hAnsi="Times New Roman" w:cs="Times New Roman"/>
                <w:sz w:val="16"/>
                <w:szCs w:val="16"/>
              </w:rPr>
              <w:t>Arshad</w:t>
            </w:r>
            <w:proofErr w:type="spellEnd"/>
            <w:r w:rsidRPr="00806A24">
              <w:rPr>
                <w:rFonts w:ascii="Times New Roman" w:eastAsia="Times New Roman" w:hAnsi="Times New Roman" w:cs="Times New Roman"/>
                <w:sz w:val="16"/>
                <w:szCs w:val="16"/>
              </w:rPr>
              <w:t xml:space="preserve"> </w:t>
            </w:r>
            <w:proofErr w:type="spellStart"/>
            <w:r w:rsidRPr="00806A24">
              <w:rPr>
                <w:rFonts w:ascii="Times New Roman" w:eastAsia="Times New Roman" w:hAnsi="Times New Roman" w:cs="Times New Roman"/>
                <w:sz w:val="16"/>
                <w:szCs w:val="16"/>
              </w:rPr>
              <w:t>Akhund</w:t>
            </w:r>
            <w:proofErr w:type="spellEnd"/>
            <w:r w:rsidRPr="00806A24">
              <w:rPr>
                <w:rFonts w:ascii="Times New Roman" w:eastAsia="Times New Roman" w:hAnsi="Times New Roman" w:cs="Times New Roman"/>
                <w:sz w:val="16"/>
                <w:szCs w:val="16"/>
              </w:rPr>
              <w:t xml:space="preserve"> &amp; </w:t>
            </w:r>
            <w:proofErr w:type="spellStart"/>
            <w:r w:rsidRPr="00806A24">
              <w:rPr>
                <w:rFonts w:ascii="Times New Roman" w:eastAsia="Times New Roman" w:hAnsi="Times New Roman" w:cs="Times New Roman"/>
                <w:sz w:val="16"/>
                <w:szCs w:val="16"/>
              </w:rPr>
              <w:t>Qazi</w:t>
            </w:r>
            <w:proofErr w:type="spellEnd"/>
          </w:p>
        </w:tc>
        <w:tc>
          <w:tcPr>
            <w:tcW w:w="223"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2023</w:t>
            </w:r>
          </w:p>
        </w:tc>
        <w:tc>
          <w:tcPr>
            <w:tcW w:w="538"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Nonlinear impact of Excess Working Capital on the firm performance</w:t>
            </w:r>
          </w:p>
        </w:tc>
        <w:tc>
          <w:tcPr>
            <w:tcW w:w="413"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Business &amp; Economic Review</w:t>
            </w:r>
          </w:p>
        </w:tc>
        <w:tc>
          <w:tcPr>
            <w:tcW w:w="568"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Investigates performance impacts of holding excess working capital.</w:t>
            </w:r>
          </w:p>
        </w:tc>
        <w:tc>
          <w:tcPr>
            <w:tcW w:w="530"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Optimal Capital Structure</w:t>
            </w:r>
          </w:p>
        </w:tc>
        <w:tc>
          <w:tcPr>
            <w:tcW w:w="529"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Quantitative Panel Data</w:t>
            </w:r>
          </w:p>
        </w:tc>
        <w:tc>
          <w:tcPr>
            <w:tcW w:w="64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Finds excess WCM past optimal threshold harms firm value due to holding costs.</w:t>
            </w:r>
          </w:p>
        </w:tc>
        <w:tc>
          <w:tcPr>
            <w:tcW w:w="110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Positivist: Validates non-linear thresholds and financial constraints.</w:t>
            </w:r>
          </w:p>
        </w:tc>
      </w:tr>
      <w:tr w:rsidR="00806A24" w:rsidRPr="00806A24" w:rsidTr="00806A24">
        <w:trPr>
          <w:tblCellSpacing w:w="15" w:type="dxa"/>
        </w:trPr>
        <w:tc>
          <w:tcPr>
            <w:tcW w:w="30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 xml:space="preserve">Banerjee &amp; </w:t>
            </w:r>
            <w:proofErr w:type="spellStart"/>
            <w:r w:rsidRPr="00806A24">
              <w:rPr>
                <w:rFonts w:ascii="Times New Roman" w:eastAsia="Times New Roman" w:hAnsi="Times New Roman" w:cs="Times New Roman"/>
                <w:sz w:val="16"/>
                <w:szCs w:val="16"/>
              </w:rPr>
              <w:t>Guha</w:t>
            </w:r>
            <w:proofErr w:type="spellEnd"/>
            <w:r w:rsidRPr="00806A24">
              <w:rPr>
                <w:rFonts w:ascii="Times New Roman" w:eastAsia="Times New Roman" w:hAnsi="Times New Roman" w:cs="Times New Roman"/>
                <w:sz w:val="16"/>
                <w:szCs w:val="16"/>
              </w:rPr>
              <w:t xml:space="preserve"> Deb</w:t>
            </w:r>
          </w:p>
        </w:tc>
        <w:tc>
          <w:tcPr>
            <w:tcW w:w="223"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2024</w:t>
            </w:r>
          </w:p>
        </w:tc>
        <w:tc>
          <w:tcPr>
            <w:tcW w:w="538"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Working capital management efficiency, managerial ability, and firm performance: new insights</w:t>
            </w:r>
          </w:p>
        </w:tc>
        <w:tc>
          <w:tcPr>
            <w:tcW w:w="413"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Applied Economics</w:t>
            </w:r>
          </w:p>
        </w:tc>
        <w:tc>
          <w:tcPr>
            <w:tcW w:w="568"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Examines how managerial ability moderates WCM efficiency</w:t>
            </w:r>
          </w:p>
        </w:tc>
        <w:tc>
          <w:tcPr>
            <w:tcW w:w="530"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 xml:space="preserve">Upper Echelons Theory / </w:t>
            </w:r>
            <w:r w:rsidRPr="00806A24">
              <w:rPr>
                <w:rFonts w:ascii="Times New Roman" w:eastAsia="Times New Roman" w:hAnsi="Times New Roman" w:cs="Times New Roman"/>
                <w:sz w:val="16"/>
                <w:szCs w:val="16"/>
              </w:rPr>
              <w:t>Resource-Based View</w:t>
            </w:r>
          </w:p>
        </w:tc>
        <w:tc>
          <w:tcPr>
            <w:tcW w:w="529"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Quantitative Econometrics</w:t>
            </w:r>
          </w:p>
        </w:tc>
        <w:tc>
          <w:tcPr>
            <w:tcW w:w="64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Higher managerial ability optimizes the cash conversion cycle and boosts ROA.</w:t>
            </w:r>
          </w:p>
        </w:tc>
        <w:tc>
          <w:tcPr>
            <w:tcW w:w="110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Positivist/Post-positivist: Integrates managerial capability into quantitative WCM modeling.</w:t>
            </w:r>
          </w:p>
        </w:tc>
      </w:tr>
      <w:tr w:rsidR="00806A24" w:rsidRPr="00806A24" w:rsidTr="00806A24">
        <w:trPr>
          <w:tblCellSpacing w:w="15" w:type="dxa"/>
        </w:trPr>
        <w:tc>
          <w:tcPr>
            <w:tcW w:w="30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proofErr w:type="spellStart"/>
            <w:r w:rsidRPr="00806A24">
              <w:rPr>
                <w:rFonts w:ascii="Times New Roman" w:eastAsia="Times New Roman" w:hAnsi="Times New Roman" w:cs="Times New Roman"/>
                <w:sz w:val="16"/>
                <w:szCs w:val="16"/>
              </w:rPr>
              <w:t>Hieu</w:t>
            </w:r>
            <w:proofErr w:type="spellEnd"/>
            <w:r w:rsidRPr="00806A24">
              <w:rPr>
                <w:rFonts w:ascii="Times New Roman" w:eastAsia="Times New Roman" w:hAnsi="Times New Roman" w:cs="Times New Roman"/>
                <w:sz w:val="16"/>
                <w:szCs w:val="16"/>
              </w:rPr>
              <w:t xml:space="preserve"> et al.</w:t>
            </w:r>
          </w:p>
        </w:tc>
        <w:tc>
          <w:tcPr>
            <w:tcW w:w="223"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2025</w:t>
            </w:r>
          </w:p>
        </w:tc>
        <w:tc>
          <w:tcPr>
            <w:tcW w:w="538"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Working Capital and Firm Performance: Non-Linear Evidence from Vietnam</w:t>
            </w:r>
          </w:p>
        </w:tc>
        <w:tc>
          <w:tcPr>
            <w:tcW w:w="413"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Financial and Credit Activity Problems of Theory and Practice</w:t>
            </w:r>
          </w:p>
        </w:tc>
        <w:tc>
          <w:tcPr>
            <w:tcW w:w="568"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Tests WCM non-linearity in an emerging economy context.</w:t>
            </w:r>
          </w:p>
        </w:tc>
        <w:tc>
          <w:tcPr>
            <w:tcW w:w="530"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Trade-off Theory</w:t>
            </w:r>
          </w:p>
        </w:tc>
        <w:tc>
          <w:tcPr>
            <w:tcW w:w="529"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Quantitative Panel Regression</w:t>
            </w:r>
          </w:p>
        </w:tc>
        <w:tc>
          <w:tcPr>
            <w:tcW w:w="64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Confirms non-linear concave nexus between working capital and profitability.</w:t>
            </w:r>
          </w:p>
        </w:tc>
        <w:tc>
          <w:tcPr>
            <w:tcW w:w="110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Positivist: Demonstrates cross-country generalizability of the non-linear paradigm.</w:t>
            </w:r>
          </w:p>
        </w:tc>
      </w:tr>
      <w:tr w:rsidR="00032BDB" w:rsidRPr="00032BDB" w:rsidTr="00806A24">
        <w:trPr>
          <w:tblCellSpacing w:w="15" w:type="dxa"/>
        </w:trPr>
        <w:tc>
          <w:tcPr>
            <w:tcW w:w="4972" w:type="pct"/>
            <w:gridSpan w:val="9"/>
            <w:vAlign w:val="center"/>
          </w:tcPr>
          <w:p w:rsidR="00806A24" w:rsidRPr="00032BDB" w:rsidRDefault="00806A24" w:rsidP="00806A24">
            <w:pPr>
              <w:spacing w:after="0" w:line="240" w:lineRule="auto"/>
              <w:jc w:val="center"/>
              <w:rPr>
                <w:rFonts w:ascii="Times New Roman" w:eastAsia="Times New Roman" w:hAnsi="Times New Roman" w:cs="Times New Roman"/>
                <w:b/>
                <w:color w:val="365F91" w:themeColor="accent1" w:themeShade="BF"/>
                <w:sz w:val="18"/>
                <w:szCs w:val="16"/>
              </w:rPr>
            </w:pPr>
          </w:p>
          <w:p w:rsidR="00806A24" w:rsidRPr="00032BDB" w:rsidRDefault="00806A24" w:rsidP="00806A24">
            <w:pPr>
              <w:spacing w:after="0" w:line="240" w:lineRule="auto"/>
              <w:jc w:val="center"/>
              <w:rPr>
                <w:rFonts w:ascii="Times New Roman" w:eastAsia="Times New Roman" w:hAnsi="Times New Roman" w:cs="Times New Roman"/>
                <w:b/>
                <w:color w:val="365F91" w:themeColor="accent1" w:themeShade="BF"/>
                <w:sz w:val="18"/>
                <w:szCs w:val="16"/>
              </w:rPr>
            </w:pPr>
            <w:r w:rsidRPr="00032BDB">
              <w:rPr>
                <w:rFonts w:ascii="Times New Roman" w:eastAsia="Times New Roman" w:hAnsi="Times New Roman" w:cs="Times New Roman"/>
                <w:b/>
                <w:color w:val="365F91" w:themeColor="accent1" w:themeShade="BF"/>
                <w:sz w:val="18"/>
                <w:szCs w:val="16"/>
              </w:rPr>
              <w:t>Theme 3.2: Macroeconomic Contingencies and Interest Rate Transmission</w:t>
            </w:r>
          </w:p>
          <w:p w:rsidR="00806A24" w:rsidRPr="00032BDB" w:rsidRDefault="00806A24" w:rsidP="00806A24">
            <w:pPr>
              <w:spacing w:after="0" w:line="240" w:lineRule="auto"/>
              <w:jc w:val="center"/>
              <w:rPr>
                <w:rFonts w:ascii="Times New Roman" w:eastAsia="Times New Roman" w:hAnsi="Times New Roman" w:cs="Times New Roman"/>
                <w:color w:val="365F91" w:themeColor="accent1" w:themeShade="BF"/>
                <w:sz w:val="18"/>
                <w:szCs w:val="16"/>
              </w:rPr>
            </w:pPr>
          </w:p>
        </w:tc>
      </w:tr>
      <w:tr w:rsidR="00806A24" w:rsidRPr="00806A24" w:rsidTr="00806A24">
        <w:trPr>
          <w:tblCellSpacing w:w="15" w:type="dxa"/>
        </w:trPr>
        <w:tc>
          <w:tcPr>
            <w:tcW w:w="30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Wagdi et al.</w:t>
            </w:r>
          </w:p>
        </w:tc>
        <w:tc>
          <w:tcPr>
            <w:tcW w:w="223"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2025</w:t>
            </w:r>
          </w:p>
        </w:tc>
        <w:tc>
          <w:tcPr>
            <w:tcW w:w="538"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The Moderating Role of Interest Rates on WCM and Firm Value</w:t>
            </w:r>
          </w:p>
        </w:tc>
        <w:tc>
          <w:tcPr>
            <w:tcW w:w="413"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Academic Journal of Social Sciences</w:t>
            </w:r>
          </w:p>
        </w:tc>
        <w:tc>
          <w:tcPr>
            <w:tcW w:w="568"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Evaluates how interest rate levels alter WCM impact on firm value.</w:t>
            </w:r>
          </w:p>
        </w:tc>
        <w:tc>
          <w:tcPr>
            <w:tcW w:w="530"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Macroeconomic Transmission / Monetary Theory</w:t>
            </w:r>
          </w:p>
        </w:tc>
        <w:tc>
          <w:tcPr>
            <w:tcW w:w="529"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Quantitative Moderation Model</w:t>
            </w:r>
          </w:p>
        </w:tc>
        <w:tc>
          <w:tcPr>
            <w:tcW w:w="64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Interest rate hikes increase WCM holding costs, shifting the optimal WCM threshold</w:t>
            </w:r>
          </w:p>
        </w:tc>
        <w:tc>
          <w:tcPr>
            <w:tcW w:w="110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Positivist: Crucial empirical proof for the "Changing Interest Rate Environments" in current topic.</w:t>
            </w:r>
          </w:p>
        </w:tc>
      </w:tr>
      <w:tr w:rsidR="00806A24" w:rsidRPr="00806A24" w:rsidTr="00806A24">
        <w:trPr>
          <w:tblCellSpacing w:w="15" w:type="dxa"/>
        </w:trPr>
        <w:tc>
          <w:tcPr>
            <w:tcW w:w="30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proofErr w:type="spellStart"/>
            <w:r w:rsidRPr="00806A24">
              <w:rPr>
                <w:rFonts w:ascii="Times New Roman" w:eastAsia="Times New Roman" w:hAnsi="Times New Roman" w:cs="Times New Roman"/>
                <w:sz w:val="16"/>
                <w:szCs w:val="16"/>
              </w:rPr>
              <w:t>Abdelaziz</w:t>
            </w:r>
            <w:proofErr w:type="spellEnd"/>
            <w:r w:rsidRPr="00806A24">
              <w:rPr>
                <w:rFonts w:ascii="Times New Roman" w:eastAsia="Times New Roman" w:hAnsi="Times New Roman" w:cs="Times New Roman"/>
                <w:sz w:val="16"/>
                <w:szCs w:val="16"/>
              </w:rPr>
              <w:t xml:space="preserve"> et al.</w:t>
            </w:r>
          </w:p>
        </w:tc>
        <w:tc>
          <w:tcPr>
            <w:tcW w:w="223"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2025</w:t>
            </w:r>
          </w:p>
        </w:tc>
        <w:tc>
          <w:tcPr>
            <w:tcW w:w="538"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The impact of macroeconomic indicators on WCM and firms’ profitability</w:t>
            </w:r>
          </w:p>
        </w:tc>
        <w:tc>
          <w:tcPr>
            <w:tcW w:w="413"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Journal of Economic and Administrative Sciences</w:t>
            </w:r>
          </w:p>
        </w:tc>
        <w:tc>
          <w:tcPr>
            <w:tcW w:w="568"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Analyzes macroeconomic shocks (inflation, interest rates) on WCM.</w:t>
            </w:r>
          </w:p>
        </w:tc>
        <w:tc>
          <w:tcPr>
            <w:tcW w:w="530"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Contingency Theory</w:t>
            </w:r>
          </w:p>
        </w:tc>
        <w:tc>
          <w:tcPr>
            <w:tcW w:w="529"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Quantitative Panel Econometrics</w:t>
            </w:r>
          </w:p>
        </w:tc>
        <w:tc>
          <w:tcPr>
            <w:tcW w:w="64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Macroeconomic indicators significantly moderate working capital effectiveness.</w:t>
            </w:r>
          </w:p>
        </w:tc>
        <w:tc>
          <w:tcPr>
            <w:tcW w:w="110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Positivist: Supports Contingency Framework for short-term corporate liquidity.</w:t>
            </w:r>
          </w:p>
        </w:tc>
      </w:tr>
      <w:tr w:rsidR="00806A24" w:rsidRPr="00806A24" w:rsidTr="00806A24">
        <w:trPr>
          <w:tblCellSpacing w:w="15" w:type="dxa"/>
        </w:trPr>
        <w:tc>
          <w:tcPr>
            <w:tcW w:w="30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proofErr w:type="spellStart"/>
            <w:r w:rsidRPr="00806A24">
              <w:rPr>
                <w:rFonts w:ascii="Times New Roman" w:eastAsia="Times New Roman" w:hAnsi="Times New Roman" w:cs="Times New Roman"/>
                <w:sz w:val="16"/>
                <w:szCs w:val="16"/>
              </w:rPr>
              <w:t>Purba</w:t>
            </w:r>
            <w:proofErr w:type="spellEnd"/>
            <w:r w:rsidRPr="00806A24">
              <w:rPr>
                <w:rFonts w:ascii="Times New Roman" w:eastAsia="Times New Roman" w:hAnsi="Times New Roman" w:cs="Times New Roman"/>
                <w:sz w:val="16"/>
                <w:szCs w:val="16"/>
              </w:rPr>
              <w:t xml:space="preserve"> et al.</w:t>
            </w:r>
          </w:p>
        </w:tc>
        <w:tc>
          <w:tcPr>
            <w:tcW w:w="223"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2025</w:t>
            </w:r>
          </w:p>
        </w:tc>
        <w:tc>
          <w:tcPr>
            <w:tcW w:w="538"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The Effect of Working Capital Management on Liquidity</w:t>
            </w:r>
          </w:p>
        </w:tc>
        <w:tc>
          <w:tcPr>
            <w:tcW w:w="413"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Springer (Studies in Systems, Decision and Control)</w:t>
            </w:r>
          </w:p>
        </w:tc>
        <w:tc>
          <w:tcPr>
            <w:tcW w:w="568"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Examines WCM liquidity impact in tech firms under macro shifts.</w:t>
            </w:r>
          </w:p>
        </w:tc>
        <w:tc>
          <w:tcPr>
            <w:tcW w:w="530"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Liquidity Preference Theory</w:t>
            </w:r>
          </w:p>
        </w:tc>
        <w:tc>
          <w:tcPr>
            <w:tcW w:w="529"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Quantitative Empirical</w:t>
            </w:r>
          </w:p>
        </w:tc>
        <w:tc>
          <w:tcPr>
            <w:tcW w:w="64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WCM efficiency is critical to buffering liquidity constraints during interest rate tightening.</w:t>
            </w:r>
          </w:p>
        </w:tc>
        <w:tc>
          <w:tcPr>
            <w:tcW w:w="110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Positivist: Highlights sector-specific liquidity sensitivities under macro stress.</w:t>
            </w:r>
          </w:p>
        </w:tc>
      </w:tr>
      <w:tr w:rsidR="00806A24" w:rsidRPr="00806A24" w:rsidTr="00806A24">
        <w:trPr>
          <w:tblCellSpacing w:w="15" w:type="dxa"/>
        </w:trPr>
        <w:tc>
          <w:tcPr>
            <w:tcW w:w="30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proofErr w:type="spellStart"/>
            <w:r w:rsidRPr="00806A24">
              <w:rPr>
                <w:rFonts w:ascii="Times New Roman" w:eastAsia="Times New Roman" w:hAnsi="Times New Roman" w:cs="Times New Roman"/>
                <w:sz w:val="16"/>
                <w:szCs w:val="16"/>
              </w:rPr>
              <w:t>Ogege</w:t>
            </w:r>
            <w:proofErr w:type="spellEnd"/>
          </w:p>
        </w:tc>
        <w:tc>
          <w:tcPr>
            <w:tcW w:w="223"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2026</w:t>
            </w:r>
          </w:p>
        </w:tc>
        <w:tc>
          <w:tcPr>
            <w:tcW w:w="538"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Interest Rate Fluctuation and Firm’s Financial Decision</w:t>
            </w:r>
          </w:p>
        </w:tc>
        <w:tc>
          <w:tcPr>
            <w:tcW w:w="413"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African Banking and Finance Review Journal</w:t>
            </w:r>
          </w:p>
        </w:tc>
        <w:tc>
          <w:tcPr>
            <w:tcW w:w="568"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Assesses interest rate volatility impacts on short-term financial decisions.</w:t>
            </w:r>
          </w:p>
        </w:tc>
        <w:tc>
          <w:tcPr>
            <w:tcW w:w="530"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Financial Intermediation Theory</w:t>
            </w:r>
          </w:p>
        </w:tc>
        <w:tc>
          <w:tcPr>
            <w:tcW w:w="529"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Quantitative Empirical</w:t>
            </w:r>
          </w:p>
        </w:tc>
        <w:tc>
          <w:tcPr>
            <w:tcW w:w="64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Interest rate fluctuations dictate short-term debt choices and working capital allocation</w:t>
            </w:r>
          </w:p>
        </w:tc>
        <w:tc>
          <w:tcPr>
            <w:tcW w:w="110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Positivist: Provides recent empirical grounding for inter</w:t>
            </w:r>
            <w:bookmarkStart w:id="27" w:name="_GoBack"/>
            <w:bookmarkEnd w:id="27"/>
            <w:r w:rsidRPr="00806A24">
              <w:rPr>
                <w:rFonts w:ascii="Times New Roman" w:eastAsia="Times New Roman" w:hAnsi="Times New Roman" w:cs="Times New Roman"/>
                <w:sz w:val="16"/>
                <w:szCs w:val="16"/>
              </w:rPr>
              <w:t>est rate sensitivity.</w:t>
            </w:r>
          </w:p>
        </w:tc>
      </w:tr>
      <w:tr w:rsidR="00032BDB" w:rsidRPr="00032BDB" w:rsidTr="00806A24">
        <w:trPr>
          <w:tblCellSpacing w:w="15" w:type="dxa"/>
        </w:trPr>
        <w:tc>
          <w:tcPr>
            <w:tcW w:w="4972" w:type="pct"/>
            <w:gridSpan w:val="9"/>
            <w:vAlign w:val="center"/>
          </w:tcPr>
          <w:p w:rsidR="00806A24" w:rsidRPr="00032BDB" w:rsidRDefault="00806A24" w:rsidP="00806A24">
            <w:pPr>
              <w:spacing w:after="0" w:line="240" w:lineRule="auto"/>
              <w:jc w:val="center"/>
              <w:rPr>
                <w:rFonts w:ascii="Times New Roman" w:eastAsia="Times New Roman" w:hAnsi="Times New Roman" w:cs="Times New Roman"/>
                <w:b/>
                <w:color w:val="365F91" w:themeColor="accent1" w:themeShade="BF"/>
                <w:sz w:val="18"/>
                <w:szCs w:val="16"/>
              </w:rPr>
            </w:pPr>
          </w:p>
          <w:p w:rsidR="00806A24" w:rsidRPr="00032BDB" w:rsidRDefault="00806A24" w:rsidP="00806A24">
            <w:pPr>
              <w:spacing w:after="0" w:line="240" w:lineRule="auto"/>
              <w:jc w:val="center"/>
              <w:rPr>
                <w:rFonts w:ascii="Times New Roman" w:eastAsia="Times New Roman" w:hAnsi="Times New Roman" w:cs="Times New Roman"/>
                <w:b/>
                <w:color w:val="365F91" w:themeColor="accent1" w:themeShade="BF"/>
                <w:sz w:val="18"/>
                <w:szCs w:val="16"/>
              </w:rPr>
            </w:pPr>
            <w:r w:rsidRPr="00032BDB">
              <w:rPr>
                <w:rFonts w:ascii="Times New Roman" w:eastAsia="Times New Roman" w:hAnsi="Times New Roman" w:cs="Times New Roman"/>
                <w:b/>
                <w:color w:val="365F91" w:themeColor="accent1" w:themeShade="BF"/>
                <w:sz w:val="18"/>
                <w:szCs w:val="16"/>
              </w:rPr>
              <w:t>Theme 3.3: Methodological Tensions and  Econometric Debate</w:t>
            </w:r>
            <w:r w:rsidRPr="00032BDB">
              <w:rPr>
                <w:rFonts w:ascii="Times New Roman" w:eastAsia="Times New Roman" w:hAnsi="Times New Roman" w:cs="Times New Roman"/>
                <w:b/>
                <w:color w:val="365F91" w:themeColor="accent1" w:themeShade="BF"/>
                <w:sz w:val="18"/>
                <w:szCs w:val="16"/>
              </w:rPr>
              <w:t>s</w:t>
            </w:r>
          </w:p>
          <w:p w:rsidR="00806A24" w:rsidRPr="00032BDB" w:rsidRDefault="00806A24" w:rsidP="00806A24">
            <w:pPr>
              <w:spacing w:after="0" w:line="240" w:lineRule="auto"/>
              <w:jc w:val="center"/>
              <w:rPr>
                <w:rFonts w:ascii="Times New Roman" w:eastAsia="Times New Roman" w:hAnsi="Times New Roman" w:cs="Times New Roman"/>
                <w:color w:val="365F91" w:themeColor="accent1" w:themeShade="BF"/>
                <w:sz w:val="18"/>
                <w:szCs w:val="16"/>
              </w:rPr>
            </w:pPr>
          </w:p>
        </w:tc>
      </w:tr>
      <w:tr w:rsidR="00806A24" w:rsidRPr="00806A24" w:rsidTr="00806A24">
        <w:trPr>
          <w:tblCellSpacing w:w="15" w:type="dxa"/>
        </w:trPr>
        <w:tc>
          <w:tcPr>
            <w:tcW w:w="30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Ahmad et al.</w:t>
            </w:r>
          </w:p>
        </w:tc>
        <w:tc>
          <w:tcPr>
            <w:tcW w:w="223"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2022</w:t>
            </w:r>
          </w:p>
        </w:tc>
        <w:tc>
          <w:tcPr>
            <w:tcW w:w="538"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 xml:space="preserve">WCM and firm performance: </w:t>
            </w:r>
            <w:proofErr w:type="spellStart"/>
            <w:r w:rsidRPr="00806A24">
              <w:rPr>
                <w:rFonts w:ascii="Times New Roman" w:eastAsia="Times New Roman" w:hAnsi="Times New Roman" w:cs="Times New Roman"/>
                <w:sz w:val="16"/>
                <w:szCs w:val="16"/>
              </w:rPr>
              <w:t>Covid</w:t>
            </w:r>
            <w:proofErr w:type="spellEnd"/>
            <w:r w:rsidRPr="00806A24">
              <w:rPr>
                <w:rFonts w:ascii="Times New Roman" w:eastAsia="Times New Roman" w:hAnsi="Times New Roman" w:cs="Times New Roman"/>
                <w:sz w:val="16"/>
                <w:szCs w:val="16"/>
              </w:rPr>
              <w:t xml:space="preserve"> 19 </w:t>
            </w:r>
            <w:proofErr w:type="spellStart"/>
            <w:r w:rsidRPr="00806A24">
              <w:rPr>
                <w:rFonts w:ascii="Times New Roman" w:eastAsia="Times New Roman" w:hAnsi="Times New Roman" w:cs="Times New Roman"/>
                <w:sz w:val="16"/>
                <w:szCs w:val="16"/>
              </w:rPr>
              <w:t>vs</w:t>
            </w:r>
            <w:proofErr w:type="spellEnd"/>
            <w:r w:rsidRPr="00806A24">
              <w:rPr>
                <w:rFonts w:ascii="Times New Roman" w:eastAsia="Times New Roman" w:hAnsi="Times New Roman" w:cs="Times New Roman"/>
                <w:sz w:val="16"/>
                <w:szCs w:val="16"/>
              </w:rPr>
              <w:t xml:space="preserve"> financial crisis 2008</w:t>
            </w:r>
          </w:p>
        </w:tc>
        <w:tc>
          <w:tcPr>
            <w:tcW w:w="413"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Cogent Economics &amp; Finance</w:t>
            </w:r>
          </w:p>
        </w:tc>
        <w:tc>
          <w:tcPr>
            <w:tcW w:w="568"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Compares crisis periods to test WCM model stability over time.</w:t>
            </w:r>
          </w:p>
        </w:tc>
        <w:tc>
          <w:tcPr>
            <w:tcW w:w="530"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Crisis Management / Business Cycle</w:t>
            </w:r>
          </w:p>
        </w:tc>
        <w:tc>
          <w:tcPr>
            <w:tcW w:w="529"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Quantitative Comparative Panel</w:t>
            </w:r>
          </w:p>
        </w:tc>
        <w:tc>
          <w:tcPr>
            <w:tcW w:w="64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WCM performance impact varies significantly across different macroeconomic shocks.</w:t>
            </w:r>
          </w:p>
        </w:tc>
        <w:tc>
          <w:tcPr>
            <w:tcW w:w="110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Positivist: Highlights empirical instability when ignoring temporal macroeconomic shocks.</w:t>
            </w:r>
          </w:p>
        </w:tc>
      </w:tr>
      <w:tr w:rsidR="00806A24" w:rsidRPr="00806A24" w:rsidTr="00806A24">
        <w:trPr>
          <w:tblCellSpacing w:w="15" w:type="dxa"/>
        </w:trPr>
        <w:tc>
          <w:tcPr>
            <w:tcW w:w="30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proofErr w:type="spellStart"/>
            <w:r w:rsidRPr="00806A24">
              <w:rPr>
                <w:rFonts w:ascii="Times New Roman" w:eastAsia="Times New Roman" w:hAnsi="Times New Roman" w:cs="Times New Roman"/>
                <w:sz w:val="16"/>
                <w:szCs w:val="16"/>
              </w:rPr>
              <w:t>Levický</w:t>
            </w:r>
            <w:proofErr w:type="spellEnd"/>
            <w:r w:rsidRPr="00806A24">
              <w:rPr>
                <w:rFonts w:ascii="Times New Roman" w:eastAsia="Times New Roman" w:hAnsi="Times New Roman" w:cs="Times New Roman"/>
                <w:sz w:val="16"/>
                <w:szCs w:val="16"/>
              </w:rPr>
              <w:t xml:space="preserve"> et al.</w:t>
            </w:r>
          </w:p>
        </w:tc>
        <w:tc>
          <w:tcPr>
            <w:tcW w:w="223"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2026</w:t>
            </w:r>
          </w:p>
        </w:tc>
        <w:tc>
          <w:tcPr>
            <w:tcW w:w="538"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The effect of WCM on performance: empirical evidence using static and dynamic panel data</w:t>
            </w:r>
          </w:p>
        </w:tc>
        <w:tc>
          <w:tcPr>
            <w:tcW w:w="413"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Cogent Economics &amp; Finance</w:t>
            </w:r>
          </w:p>
        </w:tc>
        <w:tc>
          <w:tcPr>
            <w:tcW w:w="568"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Compares static vs. dynamic econometrics in estimating WCM effects.</w:t>
            </w:r>
          </w:p>
        </w:tc>
        <w:tc>
          <w:tcPr>
            <w:tcW w:w="530"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Methodological Econometrics</w:t>
            </w:r>
          </w:p>
        </w:tc>
        <w:tc>
          <w:tcPr>
            <w:tcW w:w="529"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Quantitative (Static FE vs. Dynamic GMM)</w:t>
            </w:r>
          </w:p>
        </w:tc>
        <w:tc>
          <w:tcPr>
            <w:tcW w:w="64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 xml:space="preserve">Static panel models suffer from </w:t>
            </w:r>
            <w:proofErr w:type="spellStart"/>
            <w:r w:rsidRPr="00806A24">
              <w:rPr>
                <w:rFonts w:ascii="Times New Roman" w:eastAsia="Times New Roman" w:hAnsi="Times New Roman" w:cs="Times New Roman"/>
                <w:sz w:val="16"/>
                <w:szCs w:val="16"/>
              </w:rPr>
              <w:t>endogeneity</w:t>
            </w:r>
            <w:proofErr w:type="spellEnd"/>
            <w:r w:rsidRPr="00806A24">
              <w:rPr>
                <w:rFonts w:ascii="Times New Roman" w:eastAsia="Times New Roman" w:hAnsi="Times New Roman" w:cs="Times New Roman"/>
                <w:sz w:val="16"/>
                <w:szCs w:val="16"/>
              </w:rPr>
              <w:t>; dynamic models yield robust causal estimates.</w:t>
            </w:r>
          </w:p>
        </w:tc>
        <w:tc>
          <w:tcPr>
            <w:tcW w:w="110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Post-positivist (Critical Methodological appraisal): Core evidence for Section 3.3 methodological debate.</w:t>
            </w:r>
          </w:p>
        </w:tc>
      </w:tr>
      <w:tr w:rsidR="00806A24" w:rsidRPr="00806A24" w:rsidTr="00806A24">
        <w:trPr>
          <w:tblCellSpacing w:w="15" w:type="dxa"/>
        </w:trPr>
        <w:tc>
          <w:tcPr>
            <w:tcW w:w="30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proofErr w:type="spellStart"/>
            <w:r w:rsidRPr="00806A24">
              <w:rPr>
                <w:rFonts w:ascii="Times New Roman" w:eastAsia="Times New Roman" w:hAnsi="Times New Roman" w:cs="Times New Roman"/>
                <w:sz w:val="16"/>
                <w:szCs w:val="16"/>
              </w:rPr>
              <w:t>Yousaf</w:t>
            </w:r>
            <w:proofErr w:type="spellEnd"/>
          </w:p>
        </w:tc>
        <w:tc>
          <w:tcPr>
            <w:tcW w:w="223"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2025</w:t>
            </w:r>
          </w:p>
        </w:tc>
        <w:tc>
          <w:tcPr>
            <w:tcW w:w="538"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Determinants of firm performance: How to choose the best model among panel data models?</w:t>
            </w:r>
          </w:p>
        </w:tc>
        <w:tc>
          <w:tcPr>
            <w:tcW w:w="413"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Central European Management Journal</w:t>
            </w:r>
          </w:p>
        </w:tc>
        <w:tc>
          <w:tcPr>
            <w:tcW w:w="568"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Methodological guide on selecting panel estimators in corporate finance.</w:t>
            </w:r>
          </w:p>
        </w:tc>
        <w:tc>
          <w:tcPr>
            <w:tcW w:w="530"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Econometric Methodology</w:t>
            </w:r>
          </w:p>
        </w:tc>
        <w:tc>
          <w:tcPr>
            <w:tcW w:w="529"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Methodological Comparative Analysis</w:t>
            </w:r>
          </w:p>
        </w:tc>
        <w:tc>
          <w:tcPr>
            <w:tcW w:w="64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 xml:space="preserve">Demonstrates why System GMM outperforms OLS/FE when dealing with </w:t>
            </w:r>
            <w:proofErr w:type="spellStart"/>
            <w:r w:rsidRPr="00806A24">
              <w:rPr>
                <w:rFonts w:ascii="Times New Roman" w:eastAsia="Times New Roman" w:hAnsi="Times New Roman" w:cs="Times New Roman"/>
                <w:sz w:val="16"/>
                <w:szCs w:val="16"/>
              </w:rPr>
              <w:t>endogeneity</w:t>
            </w:r>
            <w:proofErr w:type="spellEnd"/>
            <w:r w:rsidRPr="00806A24">
              <w:rPr>
                <w:rFonts w:ascii="Times New Roman" w:eastAsia="Times New Roman" w:hAnsi="Times New Roman" w:cs="Times New Roman"/>
                <w:sz w:val="16"/>
                <w:szCs w:val="16"/>
              </w:rPr>
              <w:t xml:space="preserve"> and lag effects.</w:t>
            </w:r>
          </w:p>
        </w:tc>
        <w:tc>
          <w:tcPr>
            <w:tcW w:w="110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Post-positivist Methodological Critique: Directly supports Section 3.3 and Section 4 econometric critique.</w:t>
            </w:r>
          </w:p>
        </w:tc>
      </w:tr>
      <w:tr w:rsidR="00806A24" w:rsidRPr="00806A24" w:rsidTr="00806A24">
        <w:trPr>
          <w:tblCellSpacing w:w="15" w:type="dxa"/>
        </w:trPr>
        <w:tc>
          <w:tcPr>
            <w:tcW w:w="30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proofErr w:type="spellStart"/>
            <w:r w:rsidRPr="00806A24">
              <w:rPr>
                <w:rFonts w:ascii="Times New Roman" w:eastAsia="Times New Roman" w:hAnsi="Times New Roman" w:cs="Times New Roman"/>
                <w:sz w:val="16"/>
                <w:szCs w:val="16"/>
              </w:rPr>
              <w:t>Baños</w:t>
            </w:r>
            <w:proofErr w:type="spellEnd"/>
            <w:r w:rsidRPr="00806A24">
              <w:rPr>
                <w:rFonts w:ascii="Times New Roman" w:eastAsia="Times New Roman" w:hAnsi="Times New Roman" w:cs="Times New Roman"/>
                <w:sz w:val="16"/>
                <w:szCs w:val="16"/>
              </w:rPr>
              <w:t>-Caballero et al.</w:t>
            </w:r>
          </w:p>
        </w:tc>
        <w:tc>
          <w:tcPr>
            <w:tcW w:w="223"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2024</w:t>
            </w:r>
          </w:p>
        </w:tc>
        <w:tc>
          <w:tcPr>
            <w:tcW w:w="538"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Working capital management, corporate performance, and financial constraints</w:t>
            </w:r>
          </w:p>
        </w:tc>
        <w:tc>
          <w:tcPr>
            <w:tcW w:w="413"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Journal of Business Research</w:t>
            </w:r>
          </w:p>
        </w:tc>
        <w:tc>
          <w:tcPr>
            <w:tcW w:w="568"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Foundational UK paper establishing non-linear WCM and financial constraints.</w:t>
            </w:r>
          </w:p>
        </w:tc>
        <w:tc>
          <w:tcPr>
            <w:tcW w:w="530"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Pecking Order &amp; Trade-off Theory</w:t>
            </w:r>
          </w:p>
        </w:tc>
        <w:tc>
          <w:tcPr>
            <w:tcW w:w="529"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Quantitative Dynamic Panel (GMM)</w:t>
            </w:r>
          </w:p>
        </w:tc>
        <w:tc>
          <w:tcPr>
            <w:tcW w:w="64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Establishes the foundational optimal WCM point for UK listed firms.</w:t>
            </w:r>
          </w:p>
        </w:tc>
        <w:tc>
          <w:tcPr>
            <w:tcW w:w="1107" w:type="pct"/>
            <w:vAlign w:val="center"/>
          </w:tcPr>
          <w:p w:rsidR="00806A24" w:rsidRPr="00806A24" w:rsidRDefault="00806A24" w:rsidP="00C738CF">
            <w:pPr>
              <w:spacing w:after="0" w:line="240" w:lineRule="auto"/>
              <w:rPr>
                <w:rFonts w:ascii="Times New Roman" w:eastAsia="Times New Roman" w:hAnsi="Times New Roman" w:cs="Times New Roman"/>
                <w:sz w:val="16"/>
                <w:szCs w:val="16"/>
              </w:rPr>
            </w:pPr>
            <w:r w:rsidRPr="00806A24">
              <w:rPr>
                <w:rFonts w:ascii="Times New Roman" w:eastAsia="Times New Roman" w:hAnsi="Times New Roman" w:cs="Times New Roman"/>
                <w:sz w:val="16"/>
                <w:szCs w:val="16"/>
              </w:rPr>
              <w:t>Foundational Literature: Benchmark paper for non-linear WCM modeling in the UK context.</w:t>
            </w:r>
          </w:p>
        </w:tc>
      </w:tr>
    </w:tbl>
    <w:p w:rsidR="00C554D4" w:rsidRPr="003A0A3E" w:rsidRDefault="00C554D4" w:rsidP="003A0A3E"/>
    <w:sectPr w:rsidR="00C554D4" w:rsidRPr="003A0A3E" w:rsidSect="00FE0398">
      <w:head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22C3" w:rsidRDefault="00EB22C3" w:rsidP="00634885">
      <w:pPr>
        <w:spacing w:after="0" w:line="240" w:lineRule="auto"/>
      </w:pPr>
      <w:r>
        <w:separator/>
      </w:r>
    </w:p>
  </w:endnote>
  <w:endnote w:type="continuationSeparator" w:id="0">
    <w:p w:rsidR="00EB22C3" w:rsidRDefault="00EB22C3" w:rsidP="00634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22C3" w:rsidRDefault="00EB22C3" w:rsidP="00634885">
      <w:pPr>
        <w:spacing w:after="0" w:line="240" w:lineRule="auto"/>
      </w:pPr>
      <w:r>
        <w:separator/>
      </w:r>
    </w:p>
  </w:footnote>
  <w:footnote w:type="continuationSeparator" w:id="0">
    <w:p w:rsidR="00EB22C3" w:rsidRDefault="00EB22C3" w:rsidP="006348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231" w:rsidRDefault="00477231" w:rsidP="00393AB5">
    <w:pPr>
      <w:pStyle w:val="Header"/>
    </w:pPr>
  </w:p>
  <w:p w:rsidR="00477231" w:rsidRDefault="004772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nsid w:val="00921CE3"/>
    <w:multiLevelType w:val="multilevel"/>
    <w:tmpl w:val="C1C2D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AAC116D"/>
    <w:multiLevelType w:val="multilevel"/>
    <w:tmpl w:val="69B4A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9C1FE7"/>
    <w:multiLevelType w:val="multilevel"/>
    <w:tmpl w:val="1A5A3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C107710"/>
    <w:multiLevelType w:val="multilevel"/>
    <w:tmpl w:val="BFA00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D330993"/>
    <w:multiLevelType w:val="multilevel"/>
    <w:tmpl w:val="06A89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2225F8F"/>
    <w:multiLevelType w:val="multilevel"/>
    <w:tmpl w:val="7798A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35E42CE"/>
    <w:multiLevelType w:val="multilevel"/>
    <w:tmpl w:val="203E4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6EB68C7"/>
    <w:multiLevelType w:val="multilevel"/>
    <w:tmpl w:val="F43C5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8214F2F"/>
    <w:multiLevelType w:val="multilevel"/>
    <w:tmpl w:val="1A488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F9544BF"/>
    <w:multiLevelType w:val="multilevel"/>
    <w:tmpl w:val="1B944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14363E"/>
    <w:multiLevelType w:val="multilevel"/>
    <w:tmpl w:val="39FE5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5585B24"/>
    <w:multiLevelType w:val="multilevel"/>
    <w:tmpl w:val="8CD8B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93462FD"/>
    <w:multiLevelType w:val="multilevel"/>
    <w:tmpl w:val="88721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D623A3A"/>
    <w:multiLevelType w:val="multilevel"/>
    <w:tmpl w:val="0568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F087D8F"/>
    <w:multiLevelType w:val="multilevel"/>
    <w:tmpl w:val="6AFA9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08E6FBA"/>
    <w:multiLevelType w:val="multilevel"/>
    <w:tmpl w:val="F7D2C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1567A0D"/>
    <w:multiLevelType w:val="multilevel"/>
    <w:tmpl w:val="3676C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8392333"/>
    <w:multiLevelType w:val="multilevel"/>
    <w:tmpl w:val="11AC6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A8F4EDE"/>
    <w:multiLevelType w:val="multilevel"/>
    <w:tmpl w:val="BAAAC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C8C4D7D"/>
    <w:multiLevelType w:val="multilevel"/>
    <w:tmpl w:val="DC8A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50E3DA0"/>
    <w:multiLevelType w:val="multilevel"/>
    <w:tmpl w:val="CFCA3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19"/>
  </w:num>
  <w:num w:numId="8">
    <w:abstractNumId w:val="8"/>
  </w:num>
  <w:num w:numId="9">
    <w:abstractNumId w:val="14"/>
  </w:num>
  <w:num w:numId="10">
    <w:abstractNumId w:val="6"/>
  </w:num>
  <w:num w:numId="11">
    <w:abstractNumId w:val="26"/>
  </w:num>
  <w:num w:numId="12">
    <w:abstractNumId w:val="10"/>
  </w:num>
  <w:num w:numId="13">
    <w:abstractNumId w:val="13"/>
  </w:num>
  <w:num w:numId="14">
    <w:abstractNumId w:val="16"/>
  </w:num>
  <w:num w:numId="15">
    <w:abstractNumId w:val="7"/>
  </w:num>
  <w:num w:numId="16">
    <w:abstractNumId w:val="24"/>
  </w:num>
  <w:num w:numId="17">
    <w:abstractNumId w:val="22"/>
  </w:num>
  <w:num w:numId="18">
    <w:abstractNumId w:val="12"/>
  </w:num>
  <w:num w:numId="19">
    <w:abstractNumId w:val="9"/>
  </w:num>
  <w:num w:numId="20">
    <w:abstractNumId w:val="18"/>
  </w:num>
  <w:num w:numId="21">
    <w:abstractNumId w:val="11"/>
  </w:num>
  <w:num w:numId="22">
    <w:abstractNumId w:val="25"/>
  </w:num>
  <w:num w:numId="23">
    <w:abstractNumId w:val="21"/>
  </w:num>
  <w:num w:numId="24">
    <w:abstractNumId w:val="17"/>
  </w:num>
  <w:num w:numId="25">
    <w:abstractNumId w:val="20"/>
  </w:num>
  <w:num w:numId="26">
    <w:abstractNumId w:val="23"/>
  </w:num>
  <w:num w:numId="27">
    <w:abstractNumId w:val="1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13798"/>
    <w:rsid w:val="0001577A"/>
    <w:rsid w:val="00032BDB"/>
    <w:rsid w:val="00034616"/>
    <w:rsid w:val="0006063C"/>
    <w:rsid w:val="00060D84"/>
    <w:rsid w:val="0007417E"/>
    <w:rsid w:val="00096952"/>
    <w:rsid w:val="000E541F"/>
    <w:rsid w:val="000F7E44"/>
    <w:rsid w:val="0015074B"/>
    <w:rsid w:val="00214A7E"/>
    <w:rsid w:val="002250A1"/>
    <w:rsid w:val="002465D2"/>
    <w:rsid w:val="0029639D"/>
    <w:rsid w:val="002D0BC8"/>
    <w:rsid w:val="002F45E2"/>
    <w:rsid w:val="00304650"/>
    <w:rsid w:val="00326F90"/>
    <w:rsid w:val="00331F2C"/>
    <w:rsid w:val="00344344"/>
    <w:rsid w:val="00393AB5"/>
    <w:rsid w:val="003A0A3E"/>
    <w:rsid w:val="003D1442"/>
    <w:rsid w:val="00443E10"/>
    <w:rsid w:val="004525D5"/>
    <w:rsid w:val="00477231"/>
    <w:rsid w:val="004900F7"/>
    <w:rsid w:val="004D1B72"/>
    <w:rsid w:val="00583DED"/>
    <w:rsid w:val="00634885"/>
    <w:rsid w:val="006B40A9"/>
    <w:rsid w:val="006F3FE3"/>
    <w:rsid w:val="00806A24"/>
    <w:rsid w:val="00846864"/>
    <w:rsid w:val="00855010"/>
    <w:rsid w:val="00871149"/>
    <w:rsid w:val="0089753F"/>
    <w:rsid w:val="008B1873"/>
    <w:rsid w:val="00971FCF"/>
    <w:rsid w:val="0097558C"/>
    <w:rsid w:val="009B255C"/>
    <w:rsid w:val="009B5662"/>
    <w:rsid w:val="00A8556F"/>
    <w:rsid w:val="00AA1D8D"/>
    <w:rsid w:val="00AB066D"/>
    <w:rsid w:val="00B47730"/>
    <w:rsid w:val="00B55E62"/>
    <w:rsid w:val="00BC372A"/>
    <w:rsid w:val="00C554D4"/>
    <w:rsid w:val="00C915C6"/>
    <w:rsid w:val="00CB0664"/>
    <w:rsid w:val="00CC1D32"/>
    <w:rsid w:val="00D3699A"/>
    <w:rsid w:val="00DA0274"/>
    <w:rsid w:val="00E022D6"/>
    <w:rsid w:val="00E071C6"/>
    <w:rsid w:val="00E76AEC"/>
    <w:rsid w:val="00EB22C3"/>
    <w:rsid w:val="00FC693F"/>
    <w:rsid w:val="00FE039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B255C"/>
    <w:rPr>
      <w:color w:val="0000FF" w:themeColor="hyperlink"/>
      <w:u w:val="single"/>
    </w:rPr>
  </w:style>
  <w:style w:type="character" w:customStyle="1" w:styleId="UnresolvedMention">
    <w:name w:val="Unresolved Mention"/>
    <w:basedOn w:val="DefaultParagraphFont"/>
    <w:uiPriority w:val="99"/>
    <w:semiHidden/>
    <w:unhideWhenUsed/>
    <w:rsid w:val="009B255C"/>
    <w:rPr>
      <w:color w:val="605E5C"/>
      <w:shd w:val="clear" w:color="auto" w:fill="E1DFDD"/>
    </w:rPr>
  </w:style>
  <w:style w:type="paragraph" w:styleId="BalloonText">
    <w:name w:val="Balloon Text"/>
    <w:basedOn w:val="Normal"/>
    <w:link w:val="BalloonTextChar"/>
    <w:uiPriority w:val="99"/>
    <w:semiHidden/>
    <w:unhideWhenUsed/>
    <w:rsid w:val="00AB06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066D"/>
    <w:rPr>
      <w:rFonts w:ascii="Tahoma" w:hAnsi="Tahoma" w:cs="Tahoma"/>
      <w:sz w:val="16"/>
      <w:szCs w:val="16"/>
    </w:rPr>
  </w:style>
  <w:style w:type="character" w:customStyle="1" w:styleId="math-inline">
    <w:name w:val="math-inline"/>
    <w:basedOn w:val="DefaultParagraphFont"/>
    <w:rsid w:val="00AB066D"/>
  </w:style>
  <w:style w:type="paragraph" w:styleId="NormalWeb">
    <w:name w:val="Normal (Web)"/>
    <w:basedOn w:val="Normal"/>
    <w:uiPriority w:val="99"/>
    <w:unhideWhenUsed/>
    <w:rsid w:val="00AB066D"/>
    <w:pPr>
      <w:spacing w:before="100" w:beforeAutospacing="1" w:after="100" w:afterAutospacing="1" w:line="240" w:lineRule="auto"/>
    </w:pPr>
    <w:rPr>
      <w:rFonts w:ascii="Times New Roman" w:eastAsia="Times New Roman" w:hAnsi="Times New Roman" w:cs="Times New Roman"/>
      <w:sz w:val="24"/>
      <w:szCs w:val="24"/>
    </w:rPr>
  </w:style>
  <w:style w:type="character" w:styleId="HTMLCode">
    <w:name w:val="HTML Code"/>
    <w:basedOn w:val="DefaultParagraphFont"/>
    <w:uiPriority w:val="99"/>
    <w:semiHidden/>
    <w:unhideWhenUsed/>
    <w:rsid w:val="00DA0274"/>
    <w:rPr>
      <w:rFonts w:ascii="Courier New" w:eastAsia="Times New Roman" w:hAnsi="Courier New" w:cs="Courier New"/>
      <w:sz w:val="20"/>
      <w:szCs w:val="20"/>
    </w:rPr>
  </w:style>
  <w:style w:type="paragraph" w:styleId="TOC1">
    <w:name w:val="toc 1"/>
    <w:basedOn w:val="Normal"/>
    <w:next w:val="Normal"/>
    <w:autoRedefine/>
    <w:uiPriority w:val="39"/>
    <w:unhideWhenUsed/>
    <w:rsid w:val="00477231"/>
    <w:pPr>
      <w:spacing w:after="100"/>
    </w:pPr>
  </w:style>
  <w:style w:type="paragraph" w:styleId="TOC3">
    <w:name w:val="toc 3"/>
    <w:basedOn w:val="Normal"/>
    <w:next w:val="Normal"/>
    <w:autoRedefine/>
    <w:uiPriority w:val="39"/>
    <w:unhideWhenUsed/>
    <w:rsid w:val="00477231"/>
    <w:pPr>
      <w:spacing w:after="100"/>
      <w:ind w:left="440"/>
    </w:pPr>
  </w:style>
  <w:style w:type="paragraph" w:styleId="TOC2">
    <w:name w:val="toc 2"/>
    <w:basedOn w:val="Normal"/>
    <w:next w:val="Normal"/>
    <w:autoRedefine/>
    <w:uiPriority w:val="39"/>
    <w:unhideWhenUsed/>
    <w:rsid w:val="00477231"/>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B255C"/>
    <w:rPr>
      <w:color w:val="0000FF" w:themeColor="hyperlink"/>
      <w:u w:val="single"/>
    </w:rPr>
  </w:style>
  <w:style w:type="character" w:customStyle="1" w:styleId="UnresolvedMention">
    <w:name w:val="Unresolved Mention"/>
    <w:basedOn w:val="DefaultParagraphFont"/>
    <w:uiPriority w:val="99"/>
    <w:semiHidden/>
    <w:unhideWhenUsed/>
    <w:rsid w:val="009B255C"/>
    <w:rPr>
      <w:color w:val="605E5C"/>
      <w:shd w:val="clear" w:color="auto" w:fill="E1DFDD"/>
    </w:rPr>
  </w:style>
  <w:style w:type="paragraph" w:styleId="BalloonText">
    <w:name w:val="Balloon Text"/>
    <w:basedOn w:val="Normal"/>
    <w:link w:val="BalloonTextChar"/>
    <w:uiPriority w:val="99"/>
    <w:semiHidden/>
    <w:unhideWhenUsed/>
    <w:rsid w:val="00AB06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066D"/>
    <w:rPr>
      <w:rFonts w:ascii="Tahoma" w:hAnsi="Tahoma" w:cs="Tahoma"/>
      <w:sz w:val="16"/>
      <w:szCs w:val="16"/>
    </w:rPr>
  </w:style>
  <w:style w:type="character" w:customStyle="1" w:styleId="math-inline">
    <w:name w:val="math-inline"/>
    <w:basedOn w:val="DefaultParagraphFont"/>
    <w:rsid w:val="00AB066D"/>
  </w:style>
  <w:style w:type="paragraph" w:styleId="NormalWeb">
    <w:name w:val="Normal (Web)"/>
    <w:basedOn w:val="Normal"/>
    <w:uiPriority w:val="99"/>
    <w:unhideWhenUsed/>
    <w:rsid w:val="00AB066D"/>
    <w:pPr>
      <w:spacing w:before="100" w:beforeAutospacing="1" w:after="100" w:afterAutospacing="1" w:line="240" w:lineRule="auto"/>
    </w:pPr>
    <w:rPr>
      <w:rFonts w:ascii="Times New Roman" w:eastAsia="Times New Roman" w:hAnsi="Times New Roman" w:cs="Times New Roman"/>
      <w:sz w:val="24"/>
      <w:szCs w:val="24"/>
    </w:rPr>
  </w:style>
  <w:style w:type="character" w:styleId="HTMLCode">
    <w:name w:val="HTML Code"/>
    <w:basedOn w:val="DefaultParagraphFont"/>
    <w:uiPriority w:val="99"/>
    <w:semiHidden/>
    <w:unhideWhenUsed/>
    <w:rsid w:val="00DA0274"/>
    <w:rPr>
      <w:rFonts w:ascii="Courier New" w:eastAsia="Times New Roman" w:hAnsi="Courier New" w:cs="Courier New"/>
      <w:sz w:val="20"/>
      <w:szCs w:val="20"/>
    </w:rPr>
  </w:style>
  <w:style w:type="paragraph" w:styleId="TOC1">
    <w:name w:val="toc 1"/>
    <w:basedOn w:val="Normal"/>
    <w:next w:val="Normal"/>
    <w:autoRedefine/>
    <w:uiPriority w:val="39"/>
    <w:unhideWhenUsed/>
    <w:rsid w:val="00477231"/>
    <w:pPr>
      <w:spacing w:after="100"/>
    </w:pPr>
  </w:style>
  <w:style w:type="paragraph" w:styleId="TOC3">
    <w:name w:val="toc 3"/>
    <w:basedOn w:val="Normal"/>
    <w:next w:val="Normal"/>
    <w:autoRedefine/>
    <w:uiPriority w:val="39"/>
    <w:unhideWhenUsed/>
    <w:rsid w:val="00477231"/>
    <w:pPr>
      <w:spacing w:after="100"/>
      <w:ind w:left="440"/>
    </w:pPr>
  </w:style>
  <w:style w:type="paragraph" w:styleId="TOC2">
    <w:name w:val="toc 2"/>
    <w:basedOn w:val="Normal"/>
    <w:next w:val="Normal"/>
    <w:autoRedefine/>
    <w:uiPriority w:val="39"/>
    <w:unhideWhenUsed/>
    <w:rsid w:val="0047723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662685">
      <w:bodyDiv w:val="1"/>
      <w:marLeft w:val="0"/>
      <w:marRight w:val="0"/>
      <w:marTop w:val="0"/>
      <w:marBottom w:val="0"/>
      <w:divBdr>
        <w:top w:val="none" w:sz="0" w:space="0" w:color="auto"/>
        <w:left w:val="none" w:sz="0" w:space="0" w:color="auto"/>
        <w:bottom w:val="none" w:sz="0" w:space="0" w:color="auto"/>
        <w:right w:val="none" w:sz="0" w:space="0" w:color="auto"/>
      </w:divBdr>
    </w:div>
    <w:div w:id="666708186">
      <w:bodyDiv w:val="1"/>
      <w:marLeft w:val="0"/>
      <w:marRight w:val="0"/>
      <w:marTop w:val="0"/>
      <w:marBottom w:val="0"/>
      <w:divBdr>
        <w:top w:val="none" w:sz="0" w:space="0" w:color="auto"/>
        <w:left w:val="none" w:sz="0" w:space="0" w:color="auto"/>
        <w:bottom w:val="none" w:sz="0" w:space="0" w:color="auto"/>
        <w:right w:val="none" w:sz="0" w:space="0" w:color="auto"/>
      </w:divBdr>
    </w:div>
    <w:div w:id="703137339">
      <w:bodyDiv w:val="1"/>
      <w:marLeft w:val="0"/>
      <w:marRight w:val="0"/>
      <w:marTop w:val="0"/>
      <w:marBottom w:val="0"/>
      <w:divBdr>
        <w:top w:val="none" w:sz="0" w:space="0" w:color="auto"/>
        <w:left w:val="none" w:sz="0" w:space="0" w:color="auto"/>
        <w:bottom w:val="none" w:sz="0" w:space="0" w:color="auto"/>
        <w:right w:val="none" w:sz="0" w:space="0" w:color="auto"/>
      </w:divBdr>
    </w:div>
    <w:div w:id="830828983">
      <w:bodyDiv w:val="1"/>
      <w:marLeft w:val="0"/>
      <w:marRight w:val="0"/>
      <w:marTop w:val="0"/>
      <w:marBottom w:val="0"/>
      <w:divBdr>
        <w:top w:val="none" w:sz="0" w:space="0" w:color="auto"/>
        <w:left w:val="none" w:sz="0" w:space="0" w:color="auto"/>
        <w:bottom w:val="none" w:sz="0" w:space="0" w:color="auto"/>
        <w:right w:val="none" w:sz="0" w:space="0" w:color="auto"/>
      </w:divBdr>
    </w:div>
    <w:div w:id="888414643">
      <w:bodyDiv w:val="1"/>
      <w:marLeft w:val="0"/>
      <w:marRight w:val="0"/>
      <w:marTop w:val="0"/>
      <w:marBottom w:val="0"/>
      <w:divBdr>
        <w:top w:val="none" w:sz="0" w:space="0" w:color="auto"/>
        <w:left w:val="none" w:sz="0" w:space="0" w:color="auto"/>
        <w:bottom w:val="none" w:sz="0" w:space="0" w:color="auto"/>
        <w:right w:val="none" w:sz="0" w:space="0" w:color="auto"/>
      </w:divBdr>
    </w:div>
    <w:div w:id="892426716">
      <w:bodyDiv w:val="1"/>
      <w:marLeft w:val="0"/>
      <w:marRight w:val="0"/>
      <w:marTop w:val="0"/>
      <w:marBottom w:val="0"/>
      <w:divBdr>
        <w:top w:val="none" w:sz="0" w:space="0" w:color="auto"/>
        <w:left w:val="none" w:sz="0" w:space="0" w:color="auto"/>
        <w:bottom w:val="none" w:sz="0" w:space="0" w:color="auto"/>
        <w:right w:val="none" w:sz="0" w:space="0" w:color="auto"/>
      </w:divBdr>
    </w:div>
    <w:div w:id="979503363">
      <w:bodyDiv w:val="1"/>
      <w:marLeft w:val="0"/>
      <w:marRight w:val="0"/>
      <w:marTop w:val="0"/>
      <w:marBottom w:val="0"/>
      <w:divBdr>
        <w:top w:val="none" w:sz="0" w:space="0" w:color="auto"/>
        <w:left w:val="none" w:sz="0" w:space="0" w:color="auto"/>
        <w:bottom w:val="none" w:sz="0" w:space="0" w:color="auto"/>
        <w:right w:val="none" w:sz="0" w:space="0" w:color="auto"/>
      </w:divBdr>
    </w:div>
    <w:div w:id="1151096276">
      <w:bodyDiv w:val="1"/>
      <w:marLeft w:val="0"/>
      <w:marRight w:val="0"/>
      <w:marTop w:val="0"/>
      <w:marBottom w:val="0"/>
      <w:divBdr>
        <w:top w:val="none" w:sz="0" w:space="0" w:color="auto"/>
        <w:left w:val="none" w:sz="0" w:space="0" w:color="auto"/>
        <w:bottom w:val="none" w:sz="0" w:space="0" w:color="auto"/>
        <w:right w:val="none" w:sz="0" w:space="0" w:color="auto"/>
      </w:divBdr>
    </w:div>
    <w:div w:id="1294942527">
      <w:bodyDiv w:val="1"/>
      <w:marLeft w:val="0"/>
      <w:marRight w:val="0"/>
      <w:marTop w:val="0"/>
      <w:marBottom w:val="0"/>
      <w:divBdr>
        <w:top w:val="none" w:sz="0" w:space="0" w:color="auto"/>
        <w:left w:val="none" w:sz="0" w:space="0" w:color="auto"/>
        <w:bottom w:val="none" w:sz="0" w:space="0" w:color="auto"/>
        <w:right w:val="none" w:sz="0" w:space="0" w:color="auto"/>
      </w:divBdr>
    </w:div>
    <w:div w:id="1374958146">
      <w:bodyDiv w:val="1"/>
      <w:marLeft w:val="0"/>
      <w:marRight w:val="0"/>
      <w:marTop w:val="0"/>
      <w:marBottom w:val="0"/>
      <w:divBdr>
        <w:top w:val="none" w:sz="0" w:space="0" w:color="auto"/>
        <w:left w:val="none" w:sz="0" w:space="0" w:color="auto"/>
        <w:bottom w:val="none" w:sz="0" w:space="0" w:color="auto"/>
        <w:right w:val="none" w:sz="0" w:space="0" w:color="auto"/>
      </w:divBdr>
    </w:div>
    <w:div w:id="1387336266">
      <w:bodyDiv w:val="1"/>
      <w:marLeft w:val="0"/>
      <w:marRight w:val="0"/>
      <w:marTop w:val="0"/>
      <w:marBottom w:val="0"/>
      <w:divBdr>
        <w:top w:val="none" w:sz="0" w:space="0" w:color="auto"/>
        <w:left w:val="none" w:sz="0" w:space="0" w:color="auto"/>
        <w:bottom w:val="none" w:sz="0" w:space="0" w:color="auto"/>
        <w:right w:val="none" w:sz="0" w:space="0" w:color="auto"/>
      </w:divBdr>
    </w:div>
    <w:div w:id="1434134791">
      <w:bodyDiv w:val="1"/>
      <w:marLeft w:val="0"/>
      <w:marRight w:val="0"/>
      <w:marTop w:val="0"/>
      <w:marBottom w:val="0"/>
      <w:divBdr>
        <w:top w:val="none" w:sz="0" w:space="0" w:color="auto"/>
        <w:left w:val="none" w:sz="0" w:space="0" w:color="auto"/>
        <w:bottom w:val="none" w:sz="0" w:space="0" w:color="auto"/>
        <w:right w:val="none" w:sz="0" w:space="0" w:color="auto"/>
      </w:divBdr>
    </w:div>
    <w:div w:id="1552688922">
      <w:bodyDiv w:val="1"/>
      <w:marLeft w:val="0"/>
      <w:marRight w:val="0"/>
      <w:marTop w:val="0"/>
      <w:marBottom w:val="0"/>
      <w:divBdr>
        <w:top w:val="none" w:sz="0" w:space="0" w:color="auto"/>
        <w:left w:val="none" w:sz="0" w:space="0" w:color="auto"/>
        <w:bottom w:val="none" w:sz="0" w:space="0" w:color="auto"/>
        <w:right w:val="none" w:sz="0" w:space="0" w:color="auto"/>
      </w:divBdr>
    </w:div>
    <w:div w:id="1564637588">
      <w:bodyDiv w:val="1"/>
      <w:marLeft w:val="0"/>
      <w:marRight w:val="0"/>
      <w:marTop w:val="0"/>
      <w:marBottom w:val="0"/>
      <w:divBdr>
        <w:top w:val="none" w:sz="0" w:space="0" w:color="auto"/>
        <w:left w:val="none" w:sz="0" w:space="0" w:color="auto"/>
        <w:bottom w:val="none" w:sz="0" w:space="0" w:color="auto"/>
        <w:right w:val="none" w:sz="0" w:space="0" w:color="auto"/>
      </w:divBdr>
    </w:div>
    <w:div w:id="1616791420">
      <w:bodyDiv w:val="1"/>
      <w:marLeft w:val="0"/>
      <w:marRight w:val="0"/>
      <w:marTop w:val="0"/>
      <w:marBottom w:val="0"/>
      <w:divBdr>
        <w:top w:val="none" w:sz="0" w:space="0" w:color="auto"/>
        <w:left w:val="none" w:sz="0" w:space="0" w:color="auto"/>
        <w:bottom w:val="none" w:sz="0" w:space="0" w:color="auto"/>
        <w:right w:val="none" w:sz="0" w:space="0" w:color="auto"/>
      </w:divBdr>
    </w:div>
    <w:div w:id="1627005155">
      <w:bodyDiv w:val="1"/>
      <w:marLeft w:val="0"/>
      <w:marRight w:val="0"/>
      <w:marTop w:val="0"/>
      <w:marBottom w:val="0"/>
      <w:divBdr>
        <w:top w:val="none" w:sz="0" w:space="0" w:color="auto"/>
        <w:left w:val="none" w:sz="0" w:space="0" w:color="auto"/>
        <w:bottom w:val="none" w:sz="0" w:space="0" w:color="auto"/>
        <w:right w:val="none" w:sz="0" w:space="0" w:color="auto"/>
      </w:divBdr>
    </w:div>
    <w:div w:id="1753159024">
      <w:bodyDiv w:val="1"/>
      <w:marLeft w:val="0"/>
      <w:marRight w:val="0"/>
      <w:marTop w:val="0"/>
      <w:marBottom w:val="0"/>
      <w:divBdr>
        <w:top w:val="none" w:sz="0" w:space="0" w:color="auto"/>
        <w:left w:val="none" w:sz="0" w:space="0" w:color="auto"/>
        <w:bottom w:val="none" w:sz="0" w:space="0" w:color="auto"/>
        <w:right w:val="none" w:sz="0" w:space="0" w:color="auto"/>
      </w:divBdr>
    </w:div>
    <w:div w:id="1790780055">
      <w:bodyDiv w:val="1"/>
      <w:marLeft w:val="0"/>
      <w:marRight w:val="0"/>
      <w:marTop w:val="0"/>
      <w:marBottom w:val="0"/>
      <w:divBdr>
        <w:top w:val="none" w:sz="0" w:space="0" w:color="auto"/>
        <w:left w:val="none" w:sz="0" w:space="0" w:color="auto"/>
        <w:bottom w:val="none" w:sz="0" w:space="0" w:color="auto"/>
        <w:right w:val="none" w:sz="0" w:space="0" w:color="auto"/>
      </w:divBdr>
    </w:div>
    <w:div w:id="1950120813">
      <w:bodyDiv w:val="1"/>
      <w:marLeft w:val="0"/>
      <w:marRight w:val="0"/>
      <w:marTop w:val="0"/>
      <w:marBottom w:val="0"/>
      <w:divBdr>
        <w:top w:val="none" w:sz="0" w:space="0" w:color="auto"/>
        <w:left w:val="none" w:sz="0" w:space="0" w:color="auto"/>
        <w:bottom w:val="none" w:sz="0" w:space="0" w:color="auto"/>
        <w:right w:val="none" w:sz="0" w:space="0" w:color="auto"/>
      </w:divBdr>
    </w:div>
    <w:div w:id="1968312849">
      <w:bodyDiv w:val="1"/>
      <w:marLeft w:val="0"/>
      <w:marRight w:val="0"/>
      <w:marTop w:val="0"/>
      <w:marBottom w:val="0"/>
      <w:divBdr>
        <w:top w:val="none" w:sz="0" w:space="0" w:color="auto"/>
        <w:left w:val="none" w:sz="0" w:space="0" w:color="auto"/>
        <w:bottom w:val="none" w:sz="0" w:space="0" w:color="auto"/>
        <w:right w:val="none" w:sz="0" w:space="0" w:color="auto"/>
      </w:divBdr>
    </w:div>
    <w:div w:id="199256341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B0BEA-05FE-412C-950E-90E6920DA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25</Pages>
  <Words>11224</Words>
  <Characters>63978</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75052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HP</cp:lastModifiedBy>
  <cp:revision>14</cp:revision>
  <dcterms:created xsi:type="dcterms:W3CDTF">2026-08-13T17:30:00Z</dcterms:created>
  <dcterms:modified xsi:type="dcterms:W3CDTF">2026-08-24T08:34:00Z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7dec0818-f929-47f7-93d8-24c01dd7b066</vt:lpwstr>
  </property>
</Properties>
</file>