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97B641" w14:textId="77777777" w:rsidR="009C57D2" w:rsidRPr="00570082" w:rsidRDefault="009C57D2" w:rsidP="009C57D2">
      <w:pPr>
        <w:pStyle w:val="Heading2"/>
        <w:ind w:left="1080"/>
        <w:rPr>
          <w:rFonts w:ascii="Georgia" w:hAnsi="Georgia"/>
          <w:i w:val="0"/>
          <w:sz w:val="24"/>
          <w:szCs w:val="24"/>
        </w:rPr>
      </w:pPr>
      <w:r>
        <w:rPr>
          <w:rFonts w:ascii="Georgia" w:hAnsi="Georgia"/>
          <w:bCs w:val="0"/>
          <w:i w:val="0"/>
          <w:sz w:val="24"/>
          <w:szCs w:val="24"/>
        </w:rPr>
        <w:t>9</w:t>
      </w:r>
      <w:r w:rsidRPr="00570082">
        <w:rPr>
          <w:rFonts w:ascii="Georgia" w:hAnsi="Georgia"/>
          <w:i w:val="0"/>
          <w:sz w:val="24"/>
          <w:szCs w:val="24"/>
        </w:rPr>
        <w:tab/>
        <w:t>Iraq [MID]</w:t>
      </w:r>
    </w:p>
    <w:p w14:paraId="6E378532" w14:textId="77777777" w:rsidR="009C57D2" w:rsidRPr="00570082" w:rsidRDefault="009C57D2" w:rsidP="009C57D2">
      <w:pPr>
        <w:ind w:left="1080"/>
        <w:rPr>
          <w:rFonts w:ascii="Georgia" w:hAnsi="Georgia"/>
          <w:szCs w:val="24"/>
          <w:lang w:eastAsia="en-US"/>
        </w:rPr>
      </w:pPr>
    </w:p>
    <w:p w14:paraId="62FDC819" w14:textId="77777777" w:rsidR="009C57D2" w:rsidRPr="00570082" w:rsidRDefault="009C57D2" w:rsidP="009C57D2">
      <w:pPr>
        <w:ind w:left="1080" w:firstLine="360"/>
        <w:rPr>
          <w:rFonts w:ascii="Georgia" w:hAnsi="Georgia"/>
          <w:szCs w:val="24"/>
        </w:rPr>
      </w:pPr>
      <w:r w:rsidRPr="00570082">
        <w:rPr>
          <w:rFonts w:ascii="Georgia" w:hAnsi="Georgia"/>
          <w:szCs w:val="24"/>
        </w:rPr>
        <w:t>Iraq is another country which was part of the Ottoman legacy, and acquired independence at 1956. The experiment that the American decision maker seem to have made by invading Iraq in order revive the weakening USA economy seems to be posing a major threat to the future of USA and the world. The outcome of such an experiment is still to be seen. Historically speaking Iraq is a unique country due to its location and cultural chemistry. Even the managing of its irrigation system required a special knowledge which forced Umar when Iraq was conquered, to leave it in the hands of its people and not to distribute it amongst the conquerors. This was due to the fact that only the owners possessed the necessary skills for its future cultivation, whereas the nomadic conquerors lacked such aptitude and skills. In contrast to this the American invasion to Iraq seems to have taken place without a consideration to the future development of the country which lead to many disasters. The cultural rapture and the development of new organic attitude towards law and politics is one of the interesting phenomena that can be observed in Iraq. On the legal side Izzi Dien</w:t>
      </w:r>
      <w:r w:rsidRPr="00570082">
        <w:rPr>
          <w:rStyle w:val="EndnoteReference"/>
          <w:rFonts w:ascii="Georgia" w:hAnsi="Georgia"/>
          <w:szCs w:val="24"/>
        </w:rPr>
        <w:endnoteReference w:id="1"/>
      </w:r>
      <w:r w:rsidRPr="00570082">
        <w:rPr>
          <w:rFonts w:ascii="Georgia" w:hAnsi="Georgia"/>
          <w:szCs w:val="24"/>
        </w:rPr>
        <w:t xml:space="preserve"> has the following to say:  </w:t>
      </w:r>
    </w:p>
    <w:p w14:paraId="3CF24784" w14:textId="77777777" w:rsidR="009C57D2" w:rsidRPr="00570082" w:rsidRDefault="009C57D2" w:rsidP="009C57D2">
      <w:pPr>
        <w:ind w:left="1080"/>
        <w:rPr>
          <w:rFonts w:ascii="Georgia" w:hAnsi="Georgia"/>
          <w:szCs w:val="24"/>
        </w:rPr>
      </w:pPr>
    </w:p>
    <w:p w14:paraId="35AE6407" w14:textId="77777777" w:rsidR="009C57D2" w:rsidRPr="00570082" w:rsidRDefault="009C57D2" w:rsidP="009C57D2">
      <w:pPr>
        <w:ind w:left="1080"/>
        <w:rPr>
          <w:rFonts w:ascii="Georgia" w:hAnsi="Georgia"/>
          <w:szCs w:val="24"/>
        </w:rPr>
      </w:pPr>
      <w:r w:rsidRPr="00570082">
        <w:rPr>
          <w:rFonts w:ascii="Georgia" w:hAnsi="Georgia"/>
          <w:szCs w:val="24"/>
        </w:rPr>
        <w:t xml:space="preserve">“The removal of the Baath government in Iraq posed many questions such as: </w:t>
      </w:r>
    </w:p>
    <w:p w14:paraId="7E40288C" w14:textId="77777777" w:rsidR="009C57D2" w:rsidRPr="00570082" w:rsidRDefault="009C57D2" w:rsidP="009C57D2">
      <w:pPr>
        <w:ind w:left="1080"/>
        <w:rPr>
          <w:rFonts w:ascii="Georgia" w:hAnsi="Georgia"/>
          <w:szCs w:val="24"/>
        </w:rPr>
      </w:pPr>
    </w:p>
    <w:p w14:paraId="7E60720D" w14:textId="77777777" w:rsidR="009C57D2" w:rsidRPr="00570082" w:rsidRDefault="009C57D2" w:rsidP="009C57D2">
      <w:pPr>
        <w:ind w:left="1080"/>
        <w:rPr>
          <w:rFonts w:ascii="Georgia" w:hAnsi="Georgia"/>
          <w:szCs w:val="24"/>
        </w:rPr>
      </w:pPr>
      <w:r w:rsidRPr="00570082">
        <w:rPr>
          <w:rFonts w:ascii="Georgia" w:hAnsi="Georgia"/>
          <w:szCs w:val="24"/>
        </w:rPr>
        <w:t>“Can Islam as legal and political system be valid in contemporary society and if so what are the mechanisms and methodology that can be employed in such a process?</w:t>
      </w:r>
    </w:p>
    <w:p w14:paraId="55044BD7" w14:textId="77777777" w:rsidR="009C57D2" w:rsidRPr="00570082" w:rsidRDefault="009C57D2" w:rsidP="009C57D2">
      <w:pPr>
        <w:ind w:left="1080"/>
        <w:rPr>
          <w:rFonts w:ascii="Georgia" w:hAnsi="Georgia"/>
          <w:szCs w:val="24"/>
        </w:rPr>
      </w:pPr>
    </w:p>
    <w:p w14:paraId="20DE5F55" w14:textId="77777777" w:rsidR="009C57D2" w:rsidRPr="00570082" w:rsidRDefault="009C57D2" w:rsidP="009C57D2">
      <w:pPr>
        <w:pStyle w:val="BodyText"/>
        <w:ind w:left="1080"/>
        <w:rPr>
          <w:rFonts w:ascii="Georgia" w:hAnsi="Georgia"/>
          <w:szCs w:val="24"/>
        </w:rPr>
      </w:pPr>
      <w:r w:rsidRPr="00570082">
        <w:rPr>
          <w:rFonts w:ascii="Georgia" w:hAnsi="Georgia"/>
          <w:szCs w:val="24"/>
        </w:rPr>
        <w:t>“At the outbreak of World War II, the Arabic world witnessed a new era of change and challenges to their land, culture and law. The American led coalition invasion of Iraq was seen by many as a repetition of that action. The motto that was used at this time was the same used by General Maude when he entered Baghdad in March 1917</w:t>
      </w:r>
      <w:r w:rsidRPr="00570082">
        <w:rPr>
          <w:rStyle w:val="EndnoteReference"/>
          <w:rFonts w:ascii="Georgia" w:hAnsi="Georgia"/>
          <w:szCs w:val="24"/>
        </w:rPr>
        <w:endnoteReference w:id="2"/>
      </w:r>
      <w:r w:rsidRPr="00570082">
        <w:rPr>
          <w:rFonts w:ascii="Georgia" w:hAnsi="Georgia"/>
          <w:szCs w:val="24"/>
        </w:rPr>
        <w:t xml:space="preserve"> stating ‘we came here as liberators, not as conquerors’. However, the television footage representing an attack on the famous Mosque of Abu Hanifa and the consequent burning of the library of </w:t>
      </w:r>
      <w:r w:rsidRPr="00570082">
        <w:rPr>
          <w:rFonts w:ascii="Georgia" w:hAnsi="Georgia"/>
          <w:i/>
          <w:iCs/>
          <w:szCs w:val="24"/>
        </w:rPr>
        <w:t>Awqaf</w:t>
      </w:r>
      <w:r w:rsidRPr="00570082">
        <w:rPr>
          <w:rFonts w:ascii="Georgia" w:hAnsi="Georgia"/>
          <w:szCs w:val="24"/>
        </w:rPr>
        <w:t xml:space="preserve"> sent menacing messages to other states in the region, who claim to be Sunni Muslim states, such as Saudi Arabia, Sudan and the Gulf States. Although no one can be certain as to the legal and political  system Iraq is going to finally adopt, there is little doubt that the organic form of the law is going to be set in motion amongst the people and might well continue to co-exist with any future law.  The organic law is the mass law, which operates in a non- institutionalised form. It operates like a blade of grass which bends to the wind, but continues to survive either by itself or within clusters of its own kind. The application of law primarily requires the understanding of the law through interpretation and then its application to various social and religious cases. Such interpretation and application does not cover all spheres of Islamic law, since </w:t>
      </w:r>
      <w:r w:rsidRPr="00570082">
        <w:rPr>
          <w:rFonts w:ascii="Georgia" w:hAnsi="Georgia"/>
          <w:szCs w:val="24"/>
        </w:rPr>
        <w:lastRenderedPageBreak/>
        <w:t xml:space="preserve">individuals cannot control the applying of injunctions relevant to public issues such as punishments of others for crimes such as </w:t>
      </w:r>
      <w:r w:rsidRPr="00570082">
        <w:rPr>
          <w:rFonts w:ascii="Georgia" w:hAnsi="Georgia"/>
          <w:i/>
          <w:iCs/>
          <w:szCs w:val="24"/>
        </w:rPr>
        <w:t>hudud.</w:t>
      </w:r>
      <w:r w:rsidRPr="00570082">
        <w:rPr>
          <w:rFonts w:ascii="Georgia" w:hAnsi="Georgia"/>
          <w:szCs w:val="24"/>
        </w:rPr>
        <w:t xml:space="preserve"> However, the idea of an organic law is valid for many injunctions, such as rituals, whereby a person can monitor him/herself to follow what he believes to be the law, thus fasting at the correct time and paying the right amount of zakah. This leads to a legal vacuum, whereby certain parts of the law are not applicable or incorrectly interpreted by individuals to justify what they want to do. The thieves who were looting Baghdad after the war had neither a legal system to arrest them, nor individuals who were able to punish them, or indeed a conscience to stop them.</w:t>
      </w:r>
    </w:p>
    <w:p w14:paraId="0DFC0CC2" w14:textId="77777777" w:rsidR="009C57D2" w:rsidRPr="00570082" w:rsidRDefault="009C57D2" w:rsidP="009C57D2">
      <w:pPr>
        <w:pStyle w:val="BodyText"/>
        <w:ind w:left="1080"/>
        <w:rPr>
          <w:rFonts w:ascii="Georgia" w:hAnsi="Georgia"/>
          <w:szCs w:val="24"/>
        </w:rPr>
      </w:pPr>
      <w:r w:rsidRPr="00570082">
        <w:rPr>
          <w:rFonts w:ascii="Georgia" w:hAnsi="Georgia"/>
          <w:szCs w:val="24"/>
        </w:rPr>
        <w:t xml:space="preserve">“An interesting question here would be: what would be the response if the prevalent legal system maintains that the thief should be punished, not according to Islamic law, but by the principle of some other law? Can Islamic law accept such a ruling whereby authority does not lie with it?  No doubt such a subservient legal position is not the ideal position under which Islamic law would like to operate.  But it seems likely to occur as a </w:t>
      </w:r>
      <w:r w:rsidRPr="00570082">
        <w:rPr>
          <w:rFonts w:ascii="Georgia" w:hAnsi="Georgia"/>
          <w:i/>
          <w:iCs/>
          <w:szCs w:val="24"/>
        </w:rPr>
        <w:t>de facto</w:t>
      </w:r>
      <w:r w:rsidRPr="00570082">
        <w:rPr>
          <w:rFonts w:ascii="Georgia" w:hAnsi="Georgia"/>
          <w:szCs w:val="24"/>
        </w:rPr>
        <w:t xml:space="preserve"> situation in which Islamic law co-exists with another local law.  Although Islamic law sometimes appears to be single minded with regard to authority, it does accommodate itself to accept other legal systems, not only when it does not have an upper political hand,</w:t>
      </w:r>
      <w:r w:rsidRPr="00570082">
        <w:rPr>
          <w:rFonts w:ascii="Georgia" w:hAnsi="Georgia"/>
          <w:color w:val="000000"/>
          <w:szCs w:val="24"/>
        </w:rPr>
        <w:t xml:space="preserve"> but also</w:t>
      </w:r>
      <w:r w:rsidRPr="00570082">
        <w:rPr>
          <w:rFonts w:ascii="Georgia" w:hAnsi="Georgia"/>
          <w:szCs w:val="24"/>
        </w:rPr>
        <w:t xml:space="preserve"> when it has full state control. The Turkish </w:t>
      </w:r>
      <w:r w:rsidRPr="00570082">
        <w:rPr>
          <w:rFonts w:ascii="Georgia" w:hAnsi="Georgia"/>
          <w:i/>
          <w:iCs/>
          <w:color w:val="000000"/>
          <w:szCs w:val="24"/>
        </w:rPr>
        <w:t>T</w:t>
      </w:r>
      <w:r w:rsidRPr="00570082">
        <w:rPr>
          <w:rFonts w:ascii="Georgia" w:hAnsi="Georgia"/>
          <w:i/>
          <w:iCs/>
          <w:szCs w:val="24"/>
        </w:rPr>
        <w:t>anzimat</w:t>
      </w:r>
      <w:r w:rsidRPr="00570082">
        <w:rPr>
          <w:rFonts w:ascii="Georgia" w:hAnsi="Georgia"/>
          <w:szCs w:val="24"/>
        </w:rPr>
        <w:t xml:space="preserve"> reforms of the period 1839-1876 are an example of this, whereby the commercial code promulgated in 1850 followed the French commercial code, which included provision of payment of interest. The same applied to the penal code 1858 which abolished the punishment of </w:t>
      </w:r>
      <w:r w:rsidRPr="00570082">
        <w:rPr>
          <w:rFonts w:ascii="Georgia" w:hAnsi="Georgia"/>
          <w:i/>
          <w:iCs/>
          <w:szCs w:val="24"/>
        </w:rPr>
        <w:t>Shari‘a</w:t>
      </w:r>
      <w:r w:rsidRPr="00570082">
        <w:rPr>
          <w:rFonts w:ascii="Georgia" w:hAnsi="Georgia"/>
          <w:szCs w:val="24"/>
        </w:rPr>
        <w:t xml:space="preserve"> law.</w:t>
      </w:r>
      <w:r w:rsidRPr="00570082">
        <w:rPr>
          <w:rStyle w:val="EndnoteReference"/>
          <w:rFonts w:ascii="Georgia" w:hAnsi="Georgia"/>
          <w:szCs w:val="24"/>
        </w:rPr>
        <w:endnoteReference w:id="3"/>
      </w:r>
      <w:r w:rsidRPr="00570082">
        <w:rPr>
          <w:rFonts w:ascii="Georgia" w:hAnsi="Georgia"/>
          <w:szCs w:val="24"/>
        </w:rPr>
        <w:t xml:space="preserve"> The result of the Ottoman’s steps towards westernising the law forms a vital part of the legal system of most Middle Eastern countries. Therefore, the accommodation of Western principles of law does not mean the total abolition of Islamic law, despite the fact that secular laws were objected to by Muslim scholars when applied in their societies. But Muslim scholars felt that it was better to let the </w:t>
      </w:r>
      <w:r w:rsidRPr="00570082">
        <w:rPr>
          <w:rFonts w:ascii="Georgia" w:hAnsi="Georgia"/>
          <w:i/>
          <w:iCs/>
          <w:szCs w:val="24"/>
        </w:rPr>
        <w:t>Shari‘a</w:t>
      </w:r>
      <w:r w:rsidRPr="00570082">
        <w:rPr>
          <w:rFonts w:ascii="Georgia" w:hAnsi="Georgia"/>
          <w:szCs w:val="24"/>
        </w:rPr>
        <w:t xml:space="preserve"> pass peacefully away from the field of legal practice intact rather than change its principles radically, as modern conditions required. At the same time, Islamic legal tradition has always recognised the right of the ruler through his </w:t>
      </w:r>
      <w:r w:rsidRPr="00570082">
        <w:rPr>
          <w:rFonts w:ascii="Georgia" w:hAnsi="Georgia"/>
          <w:i/>
          <w:iCs/>
          <w:szCs w:val="24"/>
        </w:rPr>
        <w:t>ma’alim</w:t>
      </w:r>
      <w:r w:rsidRPr="00570082">
        <w:rPr>
          <w:rFonts w:ascii="Georgia" w:hAnsi="Georgia"/>
          <w:szCs w:val="24"/>
        </w:rPr>
        <w:t xml:space="preserve"> jurisdiction to supplement strict </w:t>
      </w:r>
      <w:r w:rsidRPr="00570082">
        <w:rPr>
          <w:rFonts w:ascii="Georgia" w:hAnsi="Georgia"/>
          <w:i/>
          <w:iCs/>
          <w:szCs w:val="24"/>
        </w:rPr>
        <w:t>Shari‘a</w:t>
      </w:r>
      <w:r w:rsidRPr="00570082">
        <w:rPr>
          <w:rFonts w:ascii="Georgia" w:hAnsi="Georgia"/>
          <w:szCs w:val="24"/>
        </w:rPr>
        <w:t xml:space="preserve"> doctrine in the field of public and general civil</w:t>
      </w:r>
      <w:r w:rsidRPr="00570082">
        <w:rPr>
          <w:rFonts w:ascii="Georgia" w:hAnsi="Georgia"/>
          <w:color w:val="FF00FF"/>
          <w:szCs w:val="24"/>
        </w:rPr>
        <w:t xml:space="preserve"> </w:t>
      </w:r>
      <w:r w:rsidRPr="00570082">
        <w:rPr>
          <w:rFonts w:ascii="Georgia" w:hAnsi="Georgia"/>
          <w:szCs w:val="24"/>
        </w:rPr>
        <w:t>law.</w:t>
      </w:r>
      <w:r w:rsidRPr="00570082">
        <w:rPr>
          <w:rStyle w:val="EndnoteReference"/>
          <w:rFonts w:ascii="Georgia" w:hAnsi="Georgia"/>
          <w:szCs w:val="24"/>
        </w:rPr>
        <w:endnoteReference w:id="4"/>
      </w:r>
      <w:r w:rsidRPr="00570082">
        <w:rPr>
          <w:rFonts w:ascii="Georgia" w:hAnsi="Georgia"/>
          <w:szCs w:val="24"/>
        </w:rPr>
        <w:t xml:space="preserve"> However, in practice this can be difficult since, as Coulson puts it, “The adoption of Western codes in these spheres could appear as no more than a necessary extension of his admitted powers.”</w:t>
      </w:r>
      <w:r w:rsidRPr="00570082">
        <w:rPr>
          <w:rStyle w:val="EndnoteReference"/>
          <w:rFonts w:ascii="Georgia" w:hAnsi="Georgia"/>
          <w:szCs w:val="24"/>
        </w:rPr>
        <w:endnoteReference w:id="5"/>
      </w:r>
      <w:r w:rsidRPr="00570082">
        <w:rPr>
          <w:rFonts w:ascii="Georgia" w:hAnsi="Georgia"/>
          <w:szCs w:val="24"/>
        </w:rPr>
        <w:t xml:space="preserve">  The </w:t>
      </w:r>
      <w:r w:rsidRPr="00570082">
        <w:rPr>
          <w:rFonts w:ascii="Georgia" w:hAnsi="Georgia"/>
          <w:i/>
          <w:iCs/>
          <w:szCs w:val="24"/>
        </w:rPr>
        <w:t>Shari‘a</w:t>
      </w:r>
      <w:r w:rsidRPr="00570082">
        <w:rPr>
          <w:rFonts w:ascii="Georgia" w:hAnsi="Georgia"/>
          <w:szCs w:val="24"/>
        </w:rPr>
        <w:t xml:space="preserve"> law would then have to be fine-tuned to accommodate the power of the ruler which could create a stalemate between themselves and the public.  </w:t>
      </w:r>
    </w:p>
    <w:p w14:paraId="19822FE4" w14:textId="77777777" w:rsidR="009C57D2" w:rsidRPr="00570082" w:rsidRDefault="009C57D2" w:rsidP="009C57D2">
      <w:pPr>
        <w:pStyle w:val="BodyText"/>
        <w:ind w:left="1080"/>
        <w:rPr>
          <w:rFonts w:ascii="Georgia" w:hAnsi="Georgia"/>
          <w:szCs w:val="24"/>
        </w:rPr>
      </w:pPr>
    </w:p>
    <w:p w14:paraId="32740742" w14:textId="77777777" w:rsidR="009C57D2" w:rsidRPr="00570082" w:rsidRDefault="009C57D2" w:rsidP="009C57D2">
      <w:pPr>
        <w:ind w:left="1080"/>
        <w:rPr>
          <w:rFonts w:ascii="Georgia" w:hAnsi="Georgia"/>
          <w:szCs w:val="24"/>
        </w:rPr>
      </w:pPr>
      <w:r w:rsidRPr="00570082">
        <w:rPr>
          <w:rFonts w:ascii="Georgia" w:hAnsi="Georgia"/>
          <w:szCs w:val="24"/>
        </w:rPr>
        <w:t xml:space="preserve">“The nature of Islamic law is such that it can operate as an organic law, even when the big tree of the organisation collapses and fails to function.  History relates that this is what happened when the Mongols ravaged Baghdad and the Turkish defenders of the Empire </w:t>
      </w:r>
      <w:r w:rsidRPr="00570082">
        <w:rPr>
          <w:rFonts w:ascii="Georgia" w:hAnsi="Georgia"/>
          <w:szCs w:val="24"/>
        </w:rPr>
        <w:lastRenderedPageBreak/>
        <w:t xml:space="preserve">were not able to continue their role as the guardians and custodians of Islam. This is due to the nature of Islamic law, which is not a law in the Western sense of the word. </w:t>
      </w:r>
      <w:r w:rsidRPr="00570082">
        <w:rPr>
          <w:rFonts w:ascii="Georgia" w:hAnsi="Georgia"/>
          <w:i/>
          <w:iCs/>
          <w:szCs w:val="24"/>
        </w:rPr>
        <w:t>Fiqh</w:t>
      </w:r>
      <w:r w:rsidRPr="00570082">
        <w:rPr>
          <w:rFonts w:ascii="Georgia" w:hAnsi="Georgia"/>
          <w:szCs w:val="24"/>
        </w:rPr>
        <w:t xml:space="preserve">, as Laleh Bakhtiar maintains, is a </w:t>
      </w:r>
      <w:r w:rsidRPr="00570082">
        <w:rPr>
          <w:rFonts w:ascii="Georgia" w:hAnsi="Georgia"/>
          <w:color w:val="000000"/>
          <w:szCs w:val="24"/>
        </w:rPr>
        <w:t xml:space="preserve">‘praxic </w:t>
      </w:r>
      <w:r w:rsidRPr="00570082">
        <w:rPr>
          <w:rFonts w:ascii="Georgia" w:hAnsi="Georgia"/>
          <w:szCs w:val="24"/>
        </w:rPr>
        <w:t>understanding’, that provides an inside vision into how one is to act and live as a Muslim.</w:t>
      </w:r>
      <w:r w:rsidRPr="00570082">
        <w:rPr>
          <w:rStyle w:val="EndnoteReference"/>
          <w:rFonts w:ascii="Georgia" w:hAnsi="Georgia"/>
          <w:szCs w:val="24"/>
        </w:rPr>
        <w:endnoteReference w:id="6"/>
      </w:r>
      <w:r w:rsidRPr="00570082">
        <w:rPr>
          <w:rFonts w:ascii="Georgia" w:hAnsi="Georgia"/>
          <w:szCs w:val="24"/>
        </w:rPr>
        <w:t xml:space="preserve"> This probably explains Schacht’s statement that we quoted early in the book that Islamic law is a phenomenon so different from all other forms of law.</w:t>
      </w:r>
      <w:r w:rsidRPr="00570082">
        <w:rPr>
          <w:rStyle w:val="EndnoteReference"/>
          <w:rFonts w:ascii="Georgia" w:hAnsi="Georgia"/>
          <w:szCs w:val="24"/>
        </w:rPr>
        <w:endnoteReference w:id="7"/>
      </w:r>
      <w:r w:rsidRPr="00570082">
        <w:rPr>
          <w:rFonts w:ascii="Georgia" w:hAnsi="Georgia"/>
          <w:szCs w:val="24"/>
        </w:rPr>
        <w:t xml:space="preserve"> The phenomenal praxic understanding of Islamic law can be seen as the </w:t>
      </w:r>
      <w:r w:rsidRPr="00570082">
        <w:rPr>
          <w:rFonts w:ascii="Georgia" w:hAnsi="Georgia"/>
          <w:i/>
          <w:iCs/>
          <w:szCs w:val="24"/>
        </w:rPr>
        <w:t>raison d'être</w:t>
      </w:r>
      <w:r w:rsidRPr="00570082">
        <w:rPr>
          <w:rFonts w:ascii="Georgia" w:hAnsi="Georgia"/>
          <w:szCs w:val="24"/>
        </w:rPr>
        <w:t xml:space="preserve"> behind the assimilation of Mongols, which turned them from being the hostile invaders into believers, who then participated in pushing forward the wheel of Islam. The Western invaders from 1750-2003, as Karen Armstrong names them, had a different background from the Mongols:</w:t>
      </w:r>
    </w:p>
    <w:p w14:paraId="2847491E" w14:textId="77777777" w:rsidR="009C57D2" w:rsidRPr="00570082" w:rsidRDefault="009C57D2" w:rsidP="009C57D2">
      <w:pPr>
        <w:ind w:left="1080"/>
        <w:rPr>
          <w:rFonts w:ascii="Georgia" w:hAnsi="Georgia"/>
          <w:szCs w:val="24"/>
        </w:rPr>
      </w:pPr>
    </w:p>
    <w:p w14:paraId="51CCCB14" w14:textId="77777777" w:rsidR="009C57D2" w:rsidRPr="00570082" w:rsidRDefault="009C57D2" w:rsidP="009C57D2">
      <w:pPr>
        <w:ind w:left="1620"/>
        <w:rPr>
          <w:rFonts w:ascii="Georgia" w:hAnsi="Georgia"/>
          <w:szCs w:val="24"/>
        </w:rPr>
      </w:pPr>
      <w:r w:rsidRPr="00570082">
        <w:rPr>
          <w:rFonts w:ascii="Georgia" w:hAnsi="Georgia"/>
          <w:szCs w:val="24"/>
        </w:rPr>
        <w:t>“They came with the ideals of democracy, pluralism, tolerance, human rights and secularism, which were not simply beautiful but were dictated by the need of the modern sta</w:t>
      </w:r>
      <w:bookmarkStart w:id="0" w:name="_GoBack"/>
      <w:bookmarkEnd w:id="0"/>
      <w:r w:rsidRPr="00570082">
        <w:rPr>
          <w:rFonts w:ascii="Georgia" w:hAnsi="Georgia"/>
          <w:szCs w:val="24"/>
        </w:rPr>
        <w:t>te”.</w:t>
      </w:r>
      <w:r w:rsidRPr="00570082">
        <w:rPr>
          <w:rStyle w:val="EndnoteReference"/>
          <w:rFonts w:ascii="Georgia" w:hAnsi="Georgia"/>
          <w:szCs w:val="24"/>
        </w:rPr>
        <w:endnoteReference w:id="8"/>
      </w:r>
      <w:r w:rsidRPr="00570082">
        <w:rPr>
          <w:rFonts w:ascii="Georgia" w:hAnsi="Georgia"/>
          <w:szCs w:val="24"/>
        </w:rPr>
        <w:t xml:space="preserve"> </w:t>
      </w:r>
    </w:p>
    <w:p w14:paraId="3897AD89" w14:textId="77777777" w:rsidR="009C57D2" w:rsidRPr="00570082" w:rsidRDefault="009C57D2" w:rsidP="009C57D2">
      <w:pPr>
        <w:ind w:left="1080"/>
        <w:rPr>
          <w:rFonts w:ascii="Georgia" w:hAnsi="Georgia"/>
          <w:szCs w:val="24"/>
        </w:rPr>
      </w:pPr>
    </w:p>
    <w:p w14:paraId="2DE9307F" w14:textId="77777777" w:rsidR="009C57D2" w:rsidRPr="00570082" w:rsidRDefault="009C57D2" w:rsidP="009C57D2">
      <w:pPr>
        <w:ind w:left="1080"/>
        <w:rPr>
          <w:rFonts w:ascii="Georgia" w:hAnsi="Georgia"/>
          <w:szCs w:val="24"/>
        </w:rPr>
      </w:pPr>
      <w:r w:rsidRPr="00570082">
        <w:rPr>
          <w:rFonts w:ascii="Georgia" w:hAnsi="Georgia"/>
          <w:szCs w:val="24"/>
        </w:rPr>
        <w:t>“However, these modern states required colonisation to expand and that meant the colonisation of agrarian societies for raw materials and the exportation of their goods. The ideals of democracy, tolerance and human rights were valid within the state, but seem to be totally void concepts when Western states had to subsume their colonised countries in order to survive.  This whole process was experienced by the agrarian colonies as invasive, disturbing and alien. It was almost impossible to achieve modernisation, due to the rapidity with which it was being applied.</w:t>
      </w:r>
      <w:r w:rsidRPr="00570082">
        <w:rPr>
          <w:rStyle w:val="EndnoteReference"/>
          <w:rFonts w:ascii="Georgia" w:hAnsi="Georgia"/>
          <w:szCs w:val="24"/>
        </w:rPr>
        <w:endnoteReference w:id="9"/>
      </w:r>
      <w:r w:rsidRPr="00570082">
        <w:rPr>
          <w:rFonts w:ascii="Georgia" w:hAnsi="Georgia"/>
          <w:szCs w:val="24"/>
        </w:rPr>
        <w:t xml:space="preserve"> The problem was not only that, but also that the colonised had to adhere to someone else’s program of ‘what is the meaning of modernisation’. Undoubtedly, this led to massive cultural problems in the societies where industrialization was being developed. A new culture was imposed with modern fast machine driven by the same individuals who had driven camels and donkeys only a few years before.</w:t>
      </w:r>
      <w:r w:rsidRPr="00570082">
        <w:rPr>
          <w:rStyle w:val="EndnoteReference"/>
          <w:rFonts w:ascii="Georgia" w:hAnsi="Georgia"/>
          <w:szCs w:val="24"/>
        </w:rPr>
        <w:endnoteReference w:id="10"/>
      </w:r>
      <w:r w:rsidRPr="00570082">
        <w:rPr>
          <w:rFonts w:ascii="Georgia" w:hAnsi="Georgia"/>
          <w:szCs w:val="24"/>
        </w:rPr>
        <w:t xml:space="preserve"> The result was a cultural ‘rapture’ that initially created a rejection of the traditional values, but ultimately came the realisation that the only way forward was the rejection of the colonised alien culture. This rejection was translated by reverting to Islam, particularly to the rule of </w:t>
      </w:r>
      <w:r w:rsidRPr="00570082">
        <w:rPr>
          <w:rFonts w:ascii="Georgia" w:hAnsi="Georgia"/>
          <w:i/>
          <w:iCs/>
          <w:szCs w:val="24"/>
        </w:rPr>
        <w:t>Shari‘a</w:t>
      </w:r>
      <w:r w:rsidRPr="00570082">
        <w:rPr>
          <w:rFonts w:ascii="Georgia" w:hAnsi="Georgia"/>
          <w:szCs w:val="24"/>
        </w:rPr>
        <w:t>, and when the mass discovered that often it was not possible to apply the “organisational” form of Islam, then the alternative was the application of the “organic” Islam.</w:t>
      </w:r>
    </w:p>
    <w:p w14:paraId="65F635CD" w14:textId="77777777" w:rsidR="009C57D2" w:rsidRPr="00570082" w:rsidRDefault="009C57D2" w:rsidP="009C57D2">
      <w:pPr>
        <w:ind w:left="1080"/>
        <w:rPr>
          <w:rFonts w:ascii="Georgia" w:hAnsi="Georgia"/>
          <w:szCs w:val="24"/>
        </w:rPr>
      </w:pPr>
    </w:p>
    <w:p w14:paraId="317AE61F" w14:textId="77777777" w:rsidR="009C57D2" w:rsidRPr="00570082" w:rsidRDefault="009C57D2" w:rsidP="009C57D2">
      <w:pPr>
        <w:ind w:left="1080"/>
        <w:rPr>
          <w:rFonts w:ascii="Georgia" w:hAnsi="Georgia"/>
          <w:szCs w:val="24"/>
        </w:rPr>
      </w:pPr>
      <w:r w:rsidRPr="00570082">
        <w:rPr>
          <w:rFonts w:ascii="Georgia" w:hAnsi="Georgia"/>
          <w:szCs w:val="24"/>
        </w:rPr>
        <w:t>“The organic Islam is a form of Islam that is easy and convenient to apply, since all that it requires is an individual’s or a small group’s understanding of Islam. No doubt, Islamic extremism has found by this means a way to invade society, as Manson claims, “Islamic fundamentalism is driven by an outrage at western culture and economic penetration perhaps more than political subjugation, since the former is pervasive and insidious”.</w:t>
      </w:r>
      <w:r w:rsidRPr="00570082">
        <w:rPr>
          <w:rStyle w:val="EndnoteReference"/>
          <w:rFonts w:ascii="Georgia" w:hAnsi="Georgia"/>
          <w:szCs w:val="24"/>
        </w:rPr>
        <w:endnoteReference w:id="11"/>
      </w:r>
      <w:r w:rsidRPr="00570082">
        <w:rPr>
          <w:rFonts w:ascii="Georgia" w:hAnsi="Georgia"/>
          <w:szCs w:val="24"/>
        </w:rPr>
        <w:t xml:space="preserve">  One cannot help but pose the question of the position that Islamic law will play in the future of the Islamic world and particularly the Arabic world which is largely Sunni, with new road-map(s)</w:t>
      </w:r>
      <w:r w:rsidRPr="009C57D2">
        <w:rPr>
          <w:rFonts w:ascii="Georgia" w:hAnsi="Georgia"/>
          <w:color w:val="FF0000"/>
          <w:szCs w:val="24"/>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 xml:space="preserve"> </w:t>
      </w:r>
      <w:r w:rsidRPr="00570082">
        <w:rPr>
          <w:rFonts w:ascii="Georgia" w:hAnsi="Georgia"/>
          <w:szCs w:val="24"/>
        </w:rPr>
        <w:t xml:space="preserve">being drawn up by ‘the </w:t>
      </w:r>
      <w:r w:rsidRPr="00570082">
        <w:rPr>
          <w:rFonts w:ascii="Georgia" w:hAnsi="Georgia"/>
          <w:szCs w:val="24"/>
        </w:rPr>
        <w:lastRenderedPageBreak/>
        <w:t>mother of all bombs’, which led to the total disillusionment of Muslim believers in democracy, human rights and tolerance. One can sadly anticipate a mutant form of organic Islamic law, which justifies all forms of illegitimate actions against democracy, human rights and tolerance. It is the mutant organic form of Islamic law that created radical and dangerous attitudes, such as that of</w:t>
      </w:r>
      <w:r w:rsidRPr="00570082">
        <w:rPr>
          <w:rFonts w:ascii="Georgia" w:hAnsi="Georgia"/>
          <w:color w:val="0000FF"/>
          <w:szCs w:val="24"/>
        </w:rPr>
        <w:t xml:space="preserve"> </w:t>
      </w:r>
      <w:r w:rsidRPr="00570082">
        <w:rPr>
          <w:rFonts w:ascii="Georgia" w:hAnsi="Georgia"/>
          <w:szCs w:val="24"/>
        </w:rPr>
        <w:t>Usama Bin Laden and one would not be too surprised to see the growth of similar forms of movement that have the potential to be even more violent and aggressive. Such movements, in my opinion, cannot be stopped by means of force; this appears to be exactly what their followers want.</w:t>
      </w:r>
    </w:p>
    <w:p w14:paraId="52DAF546" w14:textId="77777777" w:rsidR="009C57D2" w:rsidRPr="00570082" w:rsidRDefault="009C57D2" w:rsidP="009C57D2">
      <w:pPr>
        <w:spacing w:before="240"/>
        <w:ind w:left="1080"/>
        <w:rPr>
          <w:rFonts w:ascii="Georgia" w:hAnsi="Georgia"/>
          <w:szCs w:val="24"/>
        </w:rPr>
      </w:pPr>
      <w:r w:rsidRPr="00570082">
        <w:rPr>
          <w:rFonts w:ascii="Georgia" w:hAnsi="Georgia"/>
          <w:szCs w:val="24"/>
        </w:rPr>
        <w:t xml:space="preserve">“Historically speaking, the principle of theological rebellion against the </w:t>
      </w:r>
      <w:r w:rsidRPr="00570082">
        <w:rPr>
          <w:rFonts w:ascii="Georgia" w:hAnsi="Georgia"/>
          <w:i/>
          <w:iCs/>
          <w:szCs w:val="24"/>
        </w:rPr>
        <w:t>umma</w:t>
      </w:r>
      <w:r w:rsidRPr="00570082">
        <w:rPr>
          <w:rFonts w:ascii="Georgia" w:hAnsi="Georgia"/>
          <w:szCs w:val="24"/>
        </w:rPr>
        <w:t xml:space="preserve"> is not a new phenomenon. The </w:t>
      </w:r>
      <w:r w:rsidRPr="00570082">
        <w:rPr>
          <w:rFonts w:ascii="Georgia" w:hAnsi="Georgia"/>
          <w:i/>
          <w:iCs/>
          <w:color w:val="000000"/>
          <w:szCs w:val="24"/>
        </w:rPr>
        <w:t xml:space="preserve">Khawarij </w:t>
      </w:r>
      <w:r w:rsidRPr="00570082">
        <w:rPr>
          <w:rFonts w:ascii="Georgia" w:hAnsi="Georgia"/>
          <w:szCs w:val="24"/>
        </w:rPr>
        <w:t xml:space="preserve">seceders rebelled against Ali because they interpreted Islamic law to justify their actions. They withdrew from the Muslim community, which they claimed had betrayed the spirit of Islam and subsequently set up their own camp with an independent commander. The importance of the </w:t>
      </w:r>
      <w:r w:rsidRPr="00570082">
        <w:rPr>
          <w:rFonts w:ascii="Georgia" w:hAnsi="Georgia"/>
          <w:i/>
          <w:iCs/>
          <w:szCs w:val="24"/>
        </w:rPr>
        <w:t>Khawarij</w:t>
      </w:r>
      <w:r w:rsidRPr="00570082">
        <w:rPr>
          <w:rFonts w:ascii="Georgia" w:hAnsi="Georgia"/>
          <w:szCs w:val="24"/>
        </w:rPr>
        <w:t>, in a historical sense, comes from their having formed the first seed of a Muslim trend, whereby the politics that were affected led to a new theological argument.</w:t>
      </w:r>
      <w:r w:rsidRPr="00570082">
        <w:rPr>
          <w:rStyle w:val="EndnoteReference"/>
          <w:rFonts w:ascii="Georgia" w:hAnsi="Georgia"/>
          <w:szCs w:val="24"/>
        </w:rPr>
        <w:endnoteReference w:id="12"/>
      </w:r>
      <w:r w:rsidRPr="00570082">
        <w:rPr>
          <w:rFonts w:ascii="Georgia" w:hAnsi="Georgia"/>
          <w:szCs w:val="24"/>
        </w:rPr>
        <w:t xml:space="preserve"> The action of </w:t>
      </w:r>
      <w:r w:rsidRPr="00570082">
        <w:rPr>
          <w:rFonts w:ascii="Georgia" w:hAnsi="Georgia"/>
          <w:i/>
          <w:iCs/>
          <w:szCs w:val="24"/>
        </w:rPr>
        <w:t xml:space="preserve">Khawarij </w:t>
      </w:r>
      <w:r w:rsidRPr="00570082">
        <w:rPr>
          <w:rFonts w:ascii="Georgia" w:hAnsi="Georgia"/>
          <w:szCs w:val="24"/>
        </w:rPr>
        <w:t xml:space="preserve">gives us an excellent historical example of how a cellular view can develop into a sectarian theological view, with its followers and armies. The </w:t>
      </w:r>
      <w:r w:rsidRPr="00570082">
        <w:rPr>
          <w:rFonts w:ascii="Georgia" w:hAnsi="Georgia"/>
          <w:i/>
          <w:iCs/>
          <w:szCs w:val="24"/>
        </w:rPr>
        <w:t xml:space="preserve">Khawarij </w:t>
      </w:r>
      <w:r w:rsidRPr="00570082">
        <w:rPr>
          <w:rFonts w:ascii="Georgia" w:hAnsi="Georgia"/>
          <w:szCs w:val="24"/>
        </w:rPr>
        <w:t xml:space="preserve">disowned Ali and the entire Muslim community for the simple reason that Ali accepted the arbitration concerning the issue of who was entitled to be the leader of the community. In addition, the </w:t>
      </w:r>
      <w:r w:rsidRPr="00570082">
        <w:rPr>
          <w:rFonts w:ascii="Georgia" w:hAnsi="Georgia"/>
          <w:i/>
          <w:iCs/>
          <w:szCs w:val="24"/>
        </w:rPr>
        <w:t xml:space="preserve">Khawarij </w:t>
      </w:r>
      <w:r w:rsidRPr="00570082">
        <w:rPr>
          <w:rFonts w:ascii="Georgia" w:hAnsi="Georgia"/>
          <w:szCs w:val="24"/>
        </w:rPr>
        <w:t>perceived any person who had committed a mortal sin as an apostate.</w:t>
      </w:r>
      <w:r w:rsidRPr="00570082">
        <w:rPr>
          <w:rStyle w:val="EndnoteReference"/>
          <w:rFonts w:ascii="Georgia" w:hAnsi="Georgia"/>
          <w:szCs w:val="24"/>
        </w:rPr>
        <w:endnoteReference w:id="13"/>
      </w:r>
      <w:r w:rsidRPr="00570082">
        <w:rPr>
          <w:rFonts w:ascii="Georgia" w:hAnsi="Georgia"/>
          <w:szCs w:val="24"/>
        </w:rPr>
        <w:t xml:space="preserve"> The danger of such a movement emerges not only from its temporary rise to power, but also from its free interpretation of texts to validate a political stand, such as its interpretation of the Qur’anic verse “Amongst the people is the one who sells himself desiring God’s approval, these are those who have purchased error for the right guidance”. This interpretation led to the creation of another extremist splinter group which sprang out of the </w:t>
      </w:r>
      <w:r w:rsidRPr="00570082">
        <w:rPr>
          <w:rFonts w:ascii="Georgia" w:hAnsi="Georgia"/>
          <w:i/>
          <w:iCs/>
          <w:szCs w:val="24"/>
        </w:rPr>
        <w:t>Khawarij</w:t>
      </w:r>
      <w:r w:rsidRPr="00570082">
        <w:rPr>
          <w:rFonts w:ascii="Georgia" w:hAnsi="Georgia"/>
          <w:szCs w:val="24"/>
        </w:rPr>
        <w:t xml:space="preserve">. They called themselves ‘purchasers’ </w:t>
      </w:r>
      <w:r w:rsidRPr="00570082">
        <w:rPr>
          <w:rFonts w:ascii="Georgia" w:hAnsi="Georgia"/>
          <w:i/>
          <w:iCs/>
          <w:szCs w:val="24"/>
        </w:rPr>
        <w:t>shurat</w:t>
      </w:r>
      <w:r w:rsidRPr="00570082">
        <w:rPr>
          <w:rFonts w:ascii="Georgia" w:hAnsi="Georgia"/>
          <w:i/>
          <w:iCs/>
          <w:color w:val="000000"/>
          <w:szCs w:val="24"/>
        </w:rPr>
        <w:t>,</w:t>
      </w:r>
      <w:r w:rsidRPr="00570082">
        <w:rPr>
          <w:rFonts w:ascii="Georgia" w:hAnsi="Georgia"/>
          <w:szCs w:val="24"/>
        </w:rPr>
        <w:t xml:space="preserve"> because the members bought God’s forgiveness in exchange for dedicating their souls to the elimination of the infidels, including any Muslims who disagreed with </w:t>
      </w:r>
      <w:r w:rsidRPr="00570082">
        <w:rPr>
          <w:rFonts w:ascii="Georgia" w:hAnsi="Georgia"/>
          <w:color w:val="000000"/>
          <w:szCs w:val="24"/>
        </w:rPr>
        <w:t>them</w:t>
      </w:r>
      <w:r w:rsidRPr="00570082">
        <w:rPr>
          <w:rFonts w:ascii="Georgia" w:hAnsi="Georgia"/>
          <w:szCs w:val="24"/>
        </w:rPr>
        <w:t>.</w:t>
      </w:r>
      <w:r w:rsidRPr="00570082">
        <w:rPr>
          <w:rStyle w:val="EndnoteReference"/>
          <w:rFonts w:ascii="Georgia" w:hAnsi="Georgia"/>
          <w:szCs w:val="24"/>
        </w:rPr>
        <w:endnoteReference w:id="14"/>
      </w:r>
      <w:r w:rsidRPr="00570082">
        <w:rPr>
          <w:rFonts w:ascii="Georgia" w:hAnsi="Georgia"/>
          <w:szCs w:val="24"/>
        </w:rPr>
        <w:t xml:space="preserve"> More fanaticism was created from new splinter groups, which then interpreted theology with further extremism. The </w:t>
      </w:r>
      <w:r w:rsidRPr="00570082">
        <w:rPr>
          <w:rFonts w:ascii="Georgia" w:hAnsi="Georgia"/>
          <w:i/>
          <w:iCs/>
          <w:color w:val="000000"/>
          <w:szCs w:val="24"/>
        </w:rPr>
        <w:t>Azariqa</w:t>
      </w:r>
      <w:r w:rsidRPr="00570082">
        <w:rPr>
          <w:rFonts w:ascii="Georgia" w:hAnsi="Georgia"/>
          <w:i/>
          <w:iCs/>
          <w:szCs w:val="24"/>
        </w:rPr>
        <w:t xml:space="preserve">, </w:t>
      </w:r>
      <w:r w:rsidRPr="00570082">
        <w:rPr>
          <w:rFonts w:ascii="Georgia" w:hAnsi="Georgia"/>
          <w:szCs w:val="24"/>
        </w:rPr>
        <w:t>who</w:t>
      </w:r>
      <w:r w:rsidRPr="00570082">
        <w:rPr>
          <w:rFonts w:ascii="Georgia" w:hAnsi="Georgia"/>
          <w:i/>
          <w:iCs/>
          <w:szCs w:val="24"/>
        </w:rPr>
        <w:t xml:space="preserve"> </w:t>
      </w:r>
      <w:r w:rsidRPr="00570082">
        <w:rPr>
          <w:rFonts w:ascii="Georgia" w:hAnsi="Georgia"/>
          <w:szCs w:val="24"/>
        </w:rPr>
        <w:t xml:space="preserve">broke from the </w:t>
      </w:r>
      <w:r w:rsidRPr="00570082">
        <w:rPr>
          <w:rFonts w:ascii="Georgia" w:hAnsi="Georgia"/>
          <w:i/>
          <w:iCs/>
          <w:szCs w:val="24"/>
        </w:rPr>
        <w:t>Khawarij</w:t>
      </w:r>
      <w:r w:rsidRPr="00570082">
        <w:rPr>
          <w:rFonts w:ascii="Georgia" w:hAnsi="Georgia"/>
          <w:color w:val="000000"/>
          <w:szCs w:val="24"/>
        </w:rPr>
        <w:t>,</w:t>
      </w:r>
      <w:r w:rsidRPr="00570082">
        <w:rPr>
          <w:rFonts w:ascii="Georgia" w:hAnsi="Georgia"/>
          <w:i/>
          <w:iCs/>
          <w:color w:val="000000"/>
          <w:szCs w:val="24"/>
        </w:rPr>
        <w:t xml:space="preserve"> </w:t>
      </w:r>
      <w:r w:rsidRPr="00570082">
        <w:rPr>
          <w:rFonts w:ascii="Georgia" w:hAnsi="Georgia"/>
          <w:color w:val="000000"/>
          <w:szCs w:val="24"/>
        </w:rPr>
        <w:t>m</w:t>
      </w:r>
      <w:r w:rsidRPr="00570082">
        <w:rPr>
          <w:rFonts w:ascii="Georgia" w:hAnsi="Georgia"/>
          <w:szCs w:val="24"/>
        </w:rPr>
        <w:t>aintained that a person who becomes an infidel in this way (by committing a sin)</w:t>
      </w:r>
      <w:r w:rsidRPr="00570082">
        <w:rPr>
          <w:rFonts w:ascii="Georgia" w:hAnsi="Georgia"/>
          <w:color w:val="000000"/>
          <w:szCs w:val="24"/>
        </w:rPr>
        <w:t xml:space="preserve"> cannot</w:t>
      </w:r>
      <w:r w:rsidRPr="00570082">
        <w:rPr>
          <w:rFonts w:ascii="Georgia" w:hAnsi="Georgia"/>
          <w:szCs w:val="24"/>
        </w:rPr>
        <w:t xml:space="preserve"> be readmitted to Islam.</w:t>
      </w:r>
      <w:r w:rsidRPr="00570082">
        <w:rPr>
          <w:rStyle w:val="EndnoteReference"/>
          <w:rFonts w:ascii="Georgia" w:hAnsi="Georgia"/>
          <w:szCs w:val="24"/>
        </w:rPr>
        <w:endnoteReference w:id="15"/>
      </w:r>
      <w:r w:rsidRPr="00570082">
        <w:rPr>
          <w:rFonts w:ascii="Georgia" w:hAnsi="Georgia"/>
          <w:szCs w:val="24"/>
        </w:rPr>
        <w:t xml:space="preserve">  Although Ali defeated the </w:t>
      </w:r>
      <w:r w:rsidRPr="00570082">
        <w:rPr>
          <w:rFonts w:ascii="Georgia" w:hAnsi="Georgia"/>
          <w:i/>
          <w:iCs/>
          <w:szCs w:val="24"/>
        </w:rPr>
        <w:t xml:space="preserve">Khawarij </w:t>
      </w:r>
      <w:r w:rsidRPr="00570082">
        <w:rPr>
          <w:rFonts w:ascii="Georgia" w:hAnsi="Georgia"/>
          <w:szCs w:val="24"/>
        </w:rPr>
        <w:t>at the battle of</w:t>
      </w:r>
      <w:r w:rsidRPr="00570082">
        <w:rPr>
          <w:rFonts w:ascii="Georgia" w:hAnsi="Georgia"/>
          <w:i/>
          <w:iCs/>
          <w:szCs w:val="24"/>
        </w:rPr>
        <w:t xml:space="preserve"> Al Nahrawan</w:t>
      </w:r>
      <w:r w:rsidRPr="00570082">
        <w:rPr>
          <w:rFonts w:ascii="Georgia" w:hAnsi="Georgia"/>
          <w:szCs w:val="24"/>
        </w:rPr>
        <w:t xml:space="preserve">, that battle later cost Ali his life at the dagger of a member of the </w:t>
      </w:r>
      <w:r w:rsidRPr="00570082">
        <w:rPr>
          <w:rFonts w:ascii="Georgia" w:hAnsi="Georgia"/>
          <w:i/>
          <w:iCs/>
          <w:szCs w:val="24"/>
        </w:rPr>
        <w:t xml:space="preserve">Khawarij </w:t>
      </w:r>
      <w:r w:rsidRPr="00570082">
        <w:rPr>
          <w:rFonts w:ascii="Georgia" w:hAnsi="Georgia"/>
          <w:szCs w:val="24"/>
        </w:rPr>
        <w:t xml:space="preserve">fanatic group named Abdul Rahman b. Muljim. Ibn Muljim’s act was part of a conspiracy to expunge all the competing leaders including Ali, Mu’awiyah and the governor of Egypt, </w:t>
      </w:r>
      <w:r w:rsidRPr="00570082">
        <w:rPr>
          <w:rFonts w:ascii="Georgia" w:hAnsi="Georgia"/>
          <w:color w:val="000000"/>
          <w:szCs w:val="24"/>
        </w:rPr>
        <w:t xml:space="preserve">‘Amr Ibn </w:t>
      </w:r>
      <w:r w:rsidRPr="00570082">
        <w:rPr>
          <w:rFonts w:ascii="Georgia" w:hAnsi="Georgia"/>
          <w:szCs w:val="24"/>
        </w:rPr>
        <w:t xml:space="preserve">Al-Aas. The extreme fanaticism of the </w:t>
      </w:r>
      <w:r w:rsidRPr="00570082">
        <w:rPr>
          <w:rFonts w:ascii="Georgia" w:hAnsi="Georgia"/>
          <w:i/>
          <w:iCs/>
          <w:szCs w:val="24"/>
        </w:rPr>
        <w:t xml:space="preserve">Khawarij </w:t>
      </w:r>
      <w:r w:rsidRPr="00570082">
        <w:rPr>
          <w:rFonts w:ascii="Georgia" w:hAnsi="Georgia"/>
          <w:szCs w:val="24"/>
        </w:rPr>
        <w:t>justified even the murder of women, because the movement</w:t>
      </w:r>
      <w:r w:rsidRPr="00570082">
        <w:rPr>
          <w:rFonts w:ascii="Georgia" w:hAnsi="Georgia"/>
          <w:i/>
          <w:iCs/>
          <w:szCs w:val="24"/>
        </w:rPr>
        <w:t xml:space="preserve"> </w:t>
      </w:r>
      <w:r w:rsidRPr="00570082">
        <w:rPr>
          <w:rFonts w:ascii="Georgia" w:hAnsi="Georgia"/>
          <w:szCs w:val="24"/>
        </w:rPr>
        <w:t>did not have unity of military and political action.</w:t>
      </w:r>
      <w:r w:rsidRPr="00570082">
        <w:rPr>
          <w:rStyle w:val="EndnoteReference"/>
          <w:rFonts w:ascii="Georgia" w:hAnsi="Georgia"/>
          <w:szCs w:val="24"/>
        </w:rPr>
        <w:endnoteReference w:id="16"/>
      </w:r>
      <w:r w:rsidRPr="00570082">
        <w:rPr>
          <w:rFonts w:ascii="Georgia" w:hAnsi="Georgia"/>
          <w:color w:val="000000"/>
          <w:szCs w:val="24"/>
        </w:rPr>
        <w:t xml:space="preserve"> Their views became </w:t>
      </w:r>
      <w:r w:rsidRPr="00570082">
        <w:rPr>
          <w:rFonts w:ascii="Georgia" w:hAnsi="Georgia"/>
          <w:szCs w:val="24"/>
        </w:rPr>
        <w:t xml:space="preserve">more a collection of mutant organic theology that interpreted Islam </w:t>
      </w:r>
      <w:r w:rsidRPr="00570082">
        <w:rPr>
          <w:rFonts w:ascii="Georgia" w:hAnsi="Georgia"/>
          <w:szCs w:val="24"/>
        </w:rPr>
        <w:lastRenderedPageBreak/>
        <w:t>according to their own opinions, despite the fact that, at that time, religious authority represented by Ali was available. Although he was a great scholar, the Prince of believers, the cousin of the Prophet, his authority was still</w:t>
      </w:r>
      <w:r w:rsidRPr="009C57D2">
        <w:rPr>
          <w:rFonts w:ascii="Georgia" w:hAnsi="Georgia"/>
          <w:color w:val="FF0000"/>
          <w:szCs w:val="24"/>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 xml:space="preserve"> </w:t>
      </w:r>
      <w:r w:rsidRPr="00570082">
        <w:rPr>
          <w:rFonts w:ascii="Georgia" w:hAnsi="Georgia"/>
          <w:szCs w:val="24"/>
        </w:rPr>
        <w:t xml:space="preserve">questioned on the grounds of their fanaticism and blinkered perception, which could not see that the unity of the community was more important than the right of Ali to be the leader. One cannot help but perceive the </w:t>
      </w:r>
      <w:r w:rsidRPr="00570082">
        <w:rPr>
          <w:rFonts w:ascii="Georgia" w:hAnsi="Georgia"/>
          <w:i/>
          <w:iCs/>
          <w:szCs w:val="24"/>
        </w:rPr>
        <w:t xml:space="preserve">Khawarij </w:t>
      </w:r>
      <w:r w:rsidRPr="00570082">
        <w:rPr>
          <w:rFonts w:ascii="Georgia" w:hAnsi="Georgia"/>
          <w:szCs w:val="24"/>
        </w:rPr>
        <w:t xml:space="preserve">as historical forerunners to the Bin Laden movement, particularly with regard to how they saw themselves as being absolutely in the right and demonstrated their devotion to the cause by giving up all their property and belongings for its sake. The </w:t>
      </w:r>
      <w:r w:rsidRPr="00570082">
        <w:rPr>
          <w:rFonts w:ascii="Georgia" w:hAnsi="Georgia"/>
          <w:i/>
          <w:iCs/>
          <w:szCs w:val="24"/>
        </w:rPr>
        <w:t>Kharaji</w:t>
      </w:r>
      <w:r w:rsidRPr="00570082">
        <w:rPr>
          <w:rFonts w:ascii="Georgia" w:hAnsi="Georgia"/>
          <w:szCs w:val="24"/>
        </w:rPr>
        <w:t xml:space="preserve"> movement was born after huge political upheaval and it continued to snowball for a long time, attracting not only ordinary people, but also intellectuals and many cultivated minds.</w:t>
      </w:r>
      <w:r w:rsidRPr="00570082">
        <w:rPr>
          <w:rStyle w:val="EndnoteReference"/>
          <w:rFonts w:ascii="Georgia" w:hAnsi="Georgia"/>
          <w:szCs w:val="24"/>
        </w:rPr>
        <w:endnoteReference w:id="17"/>
      </w:r>
      <w:r w:rsidRPr="00570082">
        <w:rPr>
          <w:rFonts w:ascii="Georgia" w:hAnsi="Georgia"/>
          <w:szCs w:val="24"/>
        </w:rPr>
        <w:t xml:space="preserve"> One might expect the same pattern to emerge from the movement of </w:t>
      </w:r>
      <w:r w:rsidRPr="00570082">
        <w:rPr>
          <w:rFonts w:ascii="Georgia" w:hAnsi="Georgia"/>
          <w:color w:val="000000"/>
          <w:szCs w:val="24"/>
        </w:rPr>
        <w:t>Bin Laden,</w:t>
      </w:r>
      <w:r w:rsidRPr="00570082">
        <w:rPr>
          <w:rFonts w:ascii="Georgia" w:hAnsi="Georgia"/>
          <w:szCs w:val="24"/>
        </w:rPr>
        <w:t xml:space="preserve"> which may well produce generations of fanatics and extremists, particularly as a consequence of the American invasion of the region and the errors committed therein. This will be inevitable unless Islamic law takes its proper position in the Muslim world, one which is stretching out its hand to the rest of the world in the hope of mutual understanding, co-operation and unity””</w:t>
      </w:r>
    </w:p>
    <w:p w14:paraId="3500593E" w14:textId="77777777" w:rsidR="001F2359" w:rsidRDefault="009C57D2" w:rsidP="009C57D2">
      <w:r w:rsidRPr="00570082">
        <w:rPr>
          <w:rFonts w:ascii="Georgia" w:hAnsi="Georgia"/>
          <w:szCs w:val="24"/>
        </w:rPr>
        <w:br w:type="page"/>
      </w:r>
    </w:p>
    <w:sectPr w:rsidR="001F2359" w:rsidSect="00012EF9">
      <w:footerReference w:type="even" r:id="rId7"/>
      <w:foot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97D5AB" w14:textId="77777777" w:rsidR="009C57D2" w:rsidRDefault="009C57D2" w:rsidP="009C57D2">
      <w:r>
        <w:separator/>
      </w:r>
    </w:p>
  </w:endnote>
  <w:endnote w:type="continuationSeparator" w:id="0">
    <w:p w14:paraId="0BF19182" w14:textId="77777777" w:rsidR="009C57D2" w:rsidRDefault="009C57D2" w:rsidP="009C57D2">
      <w:r>
        <w:continuationSeparator/>
      </w:r>
    </w:p>
  </w:endnote>
  <w:endnote w:id="1">
    <w:p w14:paraId="49AD44E3" w14:textId="77777777" w:rsidR="009C57D2" w:rsidRPr="00412776" w:rsidRDefault="009C57D2" w:rsidP="009C57D2">
      <w:pPr>
        <w:tabs>
          <w:tab w:val="left" w:pos="180"/>
          <w:tab w:val="left" w:pos="720"/>
          <w:tab w:val="left" w:pos="1080"/>
        </w:tabs>
        <w:ind w:left="72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The following discussion is taken from the concluding chapter of M.  Izzi Dien’s book  entitled </w:t>
      </w:r>
      <w:r w:rsidRPr="00412776">
        <w:rPr>
          <w:rFonts w:ascii="Georgia" w:hAnsi="Georgia"/>
          <w:i/>
          <w:iCs/>
          <w:sz w:val="20"/>
        </w:rPr>
        <w:t xml:space="preserve">Islamic law from historical foundation to contemporary practice </w:t>
      </w:r>
      <w:r w:rsidRPr="00412776">
        <w:rPr>
          <w:rFonts w:ascii="Georgia" w:hAnsi="Georgia"/>
          <w:sz w:val="20"/>
        </w:rPr>
        <w:t xml:space="preserve">Published by EUP 2004. Although the book focus is Islamic law, it has a direct bearing to the political situation in Iraq. </w:t>
      </w:r>
    </w:p>
    <w:p w14:paraId="17388352"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2">
    <w:p w14:paraId="6E12A5DF"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At the outbreak of the First World War, European political and economic penetration of Iraq was still very limited. In November 1914 an expeditionary force from India occupied the head of the Gulf and Basra. A first attempt to capture Basra ended with the surrender of the British at Kut and ‘Amara, in April 1916, but a second advance succeeded in taking the city in March 1917. Mousil, however, held out until after end of the Ottoman Empire's participation in the First World War in 1918. Meanwhile an administration mainly composed of British and Indian officials had been established in the occupied Iraqi territory, and formed a transition to the formal assumption of British responsibility for the country under the Mandate of 1920. EI</w:t>
      </w:r>
      <w:r w:rsidRPr="00412776">
        <w:rPr>
          <w:rFonts w:ascii="Georgia" w:hAnsi="Georgia"/>
          <w:vertAlign w:val="superscript"/>
        </w:rPr>
        <w:t>2</w:t>
      </w:r>
      <w:r w:rsidRPr="00412776">
        <w:rPr>
          <w:rFonts w:ascii="Georgia" w:hAnsi="Georgia"/>
        </w:rPr>
        <w:t>, (</w:t>
      </w:r>
      <w:r w:rsidRPr="00412776">
        <w:rPr>
          <w:rFonts w:ascii="Georgia" w:hAnsi="Georgia"/>
          <w:i/>
        </w:rPr>
        <w:t>Encyclopedia of Islam</w:t>
      </w:r>
      <w:r w:rsidRPr="00412776">
        <w:rPr>
          <w:rFonts w:ascii="Georgia" w:hAnsi="Georgia"/>
        </w:rPr>
        <w:t>) 1250a.</w:t>
      </w:r>
    </w:p>
    <w:p w14:paraId="5C7247FB"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3">
    <w:p w14:paraId="27405EA6"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Coulson, 151.</w:t>
      </w:r>
    </w:p>
    <w:p w14:paraId="6B7BC072"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4">
    <w:p w14:paraId="0592D3D2"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i/>
          <w:iCs/>
        </w:rPr>
        <w:t>Ibid</w:t>
      </w:r>
      <w:r w:rsidRPr="00412776">
        <w:rPr>
          <w:rFonts w:ascii="Georgia" w:hAnsi="Georgia"/>
        </w:rPr>
        <w:t>, 161.</w:t>
      </w:r>
    </w:p>
    <w:p w14:paraId="6CD4E33F"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5">
    <w:p w14:paraId="3E1EDE6C" w14:textId="77777777" w:rsidR="009C57D2" w:rsidRPr="00412776" w:rsidRDefault="009C57D2" w:rsidP="009C57D2">
      <w:pPr>
        <w:pStyle w:val="EndnoteText"/>
        <w:tabs>
          <w:tab w:val="left" w:pos="180"/>
          <w:tab w:val="left" w:pos="720"/>
          <w:tab w:val="left" w:pos="1080"/>
        </w:tabs>
        <w:ind w:left="720"/>
        <w:rPr>
          <w:rFonts w:ascii="Georgia" w:hAnsi="Georgia"/>
          <w:i/>
          <w:iCs/>
        </w:rPr>
      </w:pPr>
      <w:r w:rsidRPr="00412776">
        <w:rPr>
          <w:rStyle w:val="EndnoteReference"/>
          <w:rFonts w:ascii="Georgia" w:hAnsi="Georgia"/>
        </w:rPr>
        <w:endnoteRef/>
      </w:r>
      <w:r w:rsidRPr="00412776">
        <w:rPr>
          <w:rFonts w:ascii="Georgia" w:hAnsi="Georgia"/>
        </w:rPr>
        <w:t xml:space="preserve"> </w:t>
      </w:r>
      <w:r w:rsidRPr="00412776">
        <w:rPr>
          <w:rFonts w:ascii="Georgia" w:hAnsi="Georgia"/>
          <w:i/>
          <w:iCs/>
        </w:rPr>
        <w:t>Ibid.</w:t>
      </w:r>
    </w:p>
    <w:p w14:paraId="4147BCDC"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6">
    <w:p w14:paraId="782525C6"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i/>
          <w:iCs/>
        </w:rPr>
        <w:t>Encyclopaedia of Islamic Law</w:t>
      </w:r>
      <w:r w:rsidRPr="00412776">
        <w:rPr>
          <w:rFonts w:ascii="Georgia" w:hAnsi="Georgia"/>
        </w:rPr>
        <w:t>, a compendium of the major schools, Adapted By: Laleh Bakhtiar, ABC International Group Inc, 1996, xxxiii.</w:t>
      </w:r>
    </w:p>
    <w:p w14:paraId="442725AD"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7">
    <w:p w14:paraId="2CDD245B"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Schacht and Bosworth, 392.</w:t>
      </w:r>
    </w:p>
    <w:p w14:paraId="3AC88DFA"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8">
    <w:p w14:paraId="3AFB7E45"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Pr>
          <w:rFonts w:ascii="Georgia" w:hAnsi="Georgia"/>
        </w:rPr>
        <w:t xml:space="preserve">Karen </w:t>
      </w:r>
      <w:r w:rsidRPr="00412776">
        <w:rPr>
          <w:rFonts w:ascii="Georgia" w:hAnsi="Georgia"/>
        </w:rPr>
        <w:t xml:space="preserve">Armstrong, </w:t>
      </w:r>
      <w:r w:rsidRPr="00412776">
        <w:rPr>
          <w:rFonts w:ascii="Georgia" w:hAnsi="Georgia"/>
          <w:i/>
          <w:iCs/>
        </w:rPr>
        <w:t>Islam, a short history</w:t>
      </w:r>
      <w:r w:rsidRPr="00412776">
        <w:rPr>
          <w:rFonts w:ascii="Georgia" w:hAnsi="Georgia"/>
        </w:rPr>
        <w:t>, London 2000, 123.</w:t>
      </w:r>
    </w:p>
    <w:p w14:paraId="5D27FDB9"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9">
    <w:p w14:paraId="623D882F"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i/>
          <w:iCs/>
        </w:rPr>
        <w:t>Ibid</w:t>
      </w:r>
      <w:r w:rsidRPr="00412776">
        <w:rPr>
          <w:rFonts w:ascii="Georgia" w:hAnsi="Georgia"/>
        </w:rPr>
        <w:t>, 123-124.</w:t>
      </w:r>
    </w:p>
    <w:p w14:paraId="6D9E5514"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0">
    <w:p w14:paraId="6E32D095" w14:textId="77777777" w:rsidR="009C57D2" w:rsidRPr="00412776" w:rsidRDefault="009C57D2" w:rsidP="009C57D2">
      <w:pPr>
        <w:pStyle w:val="EndnoteText"/>
        <w:tabs>
          <w:tab w:val="left" w:pos="180"/>
          <w:tab w:val="left" w:pos="720"/>
          <w:tab w:val="left" w:pos="1080"/>
        </w:tabs>
        <w:ind w:left="720"/>
        <w:rPr>
          <w:rFonts w:ascii="Georgia" w:hAnsi="Georgia"/>
          <w:color w:val="000000"/>
        </w:rPr>
      </w:pPr>
      <w:r w:rsidRPr="00412776">
        <w:rPr>
          <w:rStyle w:val="EndnoteReference"/>
          <w:rFonts w:ascii="Georgia" w:hAnsi="Georgia"/>
        </w:rPr>
        <w:endnoteRef/>
      </w:r>
      <w:r w:rsidRPr="00412776">
        <w:rPr>
          <w:rFonts w:ascii="Georgia" w:hAnsi="Georgia"/>
        </w:rPr>
        <w:t xml:space="preserve"> </w:t>
      </w:r>
      <w:r>
        <w:rPr>
          <w:rFonts w:ascii="Georgia" w:hAnsi="Georgia"/>
        </w:rPr>
        <w:t xml:space="preserve">Mawil </w:t>
      </w:r>
      <w:r w:rsidRPr="00412776">
        <w:rPr>
          <w:rFonts w:ascii="Georgia" w:hAnsi="Georgia"/>
        </w:rPr>
        <w:t xml:space="preserve">Izzidien, </w:t>
      </w:r>
      <w:r>
        <w:rPr>
          <w:rFonts w:ascii="Georgia" w:hAnsi="Georgia"/>
        </w:rPr>
        <w:t>‘</w:t>
      </w:r>
      <w:r w:rsidRPr="00412776">
        <w:rPr>
          <w:rFonts w:ascii="Georgia" w:hAnsi="Georgia"/>
        </w:rPr>
        <w:t>Islam &amp; environment, theory and practice</w:t>
      </w:r>
      <w:r>
        <w:rPr>
          <w:rFonts w:ascii="Georgia" w:hAnsi="Georgia"/>
        </w:rPr>
        <w:t>’</w:t>
      </w:r>
      <w:r w:rsidRPr="00412776">
        <w:rPr>
          <w:rFonts w:ascii="Georgia" w:hAnsi="Georgia"/>
        </w:rPr>
        <w:t xml:space="preserve">, </w:t>
      </w:r>
      <w:r w:rsidRPr="00412776">
        <w:rPr>
          <w:rFonts w:ascii="Georgia" w:hAnsi="Georgia"/>
          <w:i/>
          <w:iCs/>
          <w:color w:val="000000"/>
        </w:rPr>
        <w:t>The Journal of beliefs and values</w:t>
      </w:r>
      <w:r w:rsidRPr="00412776">
        <w:rPr>
          <w:rFonts w:ascii="Georgia" w:hAnsi="Georgia"/>
          <w:color w:val="000000"/>
        </w:rPr>
        <w:t>, Vol. 18, No.1, 1997. p 47-57. 51.</w:t>
      </w:r>
    </w:p>
    <w:p w14:paraId="2E78C8C2" w14:textId="77777777" w:rsidR="009C57D2" w:rsidRPr="00412776" w:rsidRDefault="009C57D2" w:rsidP="009C57D2">
      <w:pPr>
        <w:pStyle w:val="EndnoteText"/>
        <w:tabs>
          <w:tab w:val="left" w:pos="180"/>
          <w:tab w:val="left" w:pos="720"/>
          <w:tab w:val="left" w:pos="1080"/>
        </w:tabs>
        <w:ind w:left="720"/>
        <w:rPr>
          <w:rFonts w:ascii="Georgia" w:hAnsi="Georgia"/>
          <w:color w:val="000000"/>
        </w:rPr>
      </w:pPr>
    </w:p>
  </w:endnote>
  <w:endnote w:id="11">
    <w:p w14:paraId="6ABA9237"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Henry Junior Manson, </w:t>
      </w:r>
      <w:r w:rsidRPr="00412776">
        <w:rPr>
          <w:rFonts w:ascii="Georgia" w:hAnsi="Georgia"/>
          <w:i/>
          <w:iCs/>
        </w:rPr>
        <w:t>The House of  C. Abdullah: The oral history of a Moroccan family</w:t>
      </w:r>
      <w:r w:rsidRPr="00412776">
        <w:rPr>
          <w:rFonts w:ascii="Georgia" w:hAnsi="Georgia"/>
        </w:rPr>
        <w:t xml:space="preserve">, New Haven: Yale University, 1984,19, Quoted by: Richard T. Antoun, </w:t>
      </w:r>
      <w:r w:rsidRPr="00412776">
        <w:rPr>
          <w:rFonts w:ascii="Georgia" w:hAnsi="Georgia"/>
          <w:i/>
          <w:iCs/>
        </w:rPr>
        <w:t>Muslim Preachers in the Modern world</w:t>
      </w:r>
      <w:r w:rsidRPr="00412776">
        <w:rPr>
          <w:rFonts w:ascii="Georgia" w:hAnsi="Georgia"/>
        </w:rPr>
        <w:t xml:space="preserve">, Princeton University press, 1981, 237.   </w:t>
      </w:r>
    </w:p>
    <w:p w14:paraId="12883CB9"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Fonts w:ascii="Georgia" w:hAnsi="Georgia"/>
        </w:rPr>
        <w:t xml:space="preserve"> </w:t>
      </w:r>
    </w:p>
  </w:endnote>
  <w:endnote w:id="12">
    <w:p w14:paraId="0F8E3889"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Armstrong, 30.</w:t>
      </w:r>
    </w:p>
    <w:p w14:paraId="5E1BA381"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3">
    <w:p w14:paraId="655C6D7E"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cs="Times Dot"/>
        </w:rPr>
        <w:t>EI</w:t>
      </w:r>
      <w:r w:rsidRPr="00412776">
        <w:rPr>
          <w:rFonts w:ascii="Georgia" w:hAnsi="Georgia" w:cs="Times Dot"/>
          <w:vertAlign w:val="superscript"/>
        </w:rPr>
        <w:t>2</w:t>
      </w:r>
      <w:r w:rsidRPr="00412776">
        <w:rPr>
          <w:rFonts w:ascii="Georgia" w:hAnsi="Georgia" w:cs="Times Dot"/>
          <w:i/>
          <w:iCs/>
        </w:rPr>
        <w:t xml:space="preserve">, Khawarij </w:t>
      </w:r>
      <w:r w:rsidRPr="00412776">
        <w:rPr>
          <w:rFonts w:ascii="Georgia" w:hAnsi="Georgia" w:cs="Times Dot"/>
        </w:rPr>
        <w:t xml:space="preserve">or Kharijite by: </w:t>
      </w:r>
      <w:r w:rsidRPr="00412776">
        <w:rPr>
          <w:rFonts w:ascii="Georgia" w:hAnsi="Georgia"/>
        </w:rPr>
        <w:t>G. Levi Della Vida,1v.174b.</w:t>
      </w:r>
    </w:p>
    <w:p w14:paraId="25E16E9D"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4">
    <w:p w14:paraId="545D4FD4"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cs="Times Dot"/>
        </w:rPr>
        <w:t>EI</w:t>
      </w:r>
      <w:r w:rsidRPr="00412776">
        <w:rPr>
          <w:rFonts w:ascii="Georgia" w:hAnsi="Georgia" w:cs="Times Dot"/>
          <w:vertAlign w:val="superscript"/>
        </w:rPr>
        <w:t>2</w:t>
      </w:r>
      <w:r w:rsidRPr="00412776">
        <w:rPr>
          <w:rFonts w:ascii="Georgia" w:hAnsi="Georgia"/>
          <w:i/>
          <w:iCs/>
        </w:rPr>
        <w:t>, Shira’</w:t>
      </w:r>
      <w:r w:rsidRPr="00412776">
        <w:rPr>
          <w:rFonts w:ascii="Georgia" w:hAnsi="Georgia"/>
        </w:rPr>
        <w:t xml:space="preserve"> by: M. Izzi Dien, lx, 470b.</w:t>
      </w:r>
    </w:p>
    <w:p w14:paraId="1ACC6D35"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5">
    <w:p w14:paraId="2F864107"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EI</w:t>
      </w:r>
      <w:r w:rsidRPr="00412776">
        <w:rPr>
          <w:rFonts w:ascii="Georgia" w:hAnsi="Georgia"/>
          <w:vertAlign w:val="superscript"/>
        </w:rPr>
        <w:t>2</w:t>
      </w:r>
      <w:r w:rsidRPr="00412776">
        <w:rPr>
          <w:rFonts w:ascii="Georgia" w:hAnsi="Georgia"/>
          <w:i/>
          <w:iCs/>
        </w:rPr>
        <w:t>, Khawarij</w:t>
      </w:r>
      <w:r w:rsidRPr="00412776">
        <w:rPr>
          <w:rFonts w:ascii="Georgia" w:hAnsi="Georgia"/>
        </w:rPr>
        <w:t xml:space="preserve"> or Kharijite by: G. Levi Della Vida,1v.174b.</w:t>
      </w:r>
    </w:p>
    <w:p w14:paraId="4C797AEA"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6">
    <w:p w14:paraId="6B6D46E3"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EI </w:t>
      </w:r>
      <w:r w:rsidRPr="00412776">
        <w:rPr>
          <w:rFonts w:ascii="Georgia" w:hAnsi="Georgia"/>
          <w:vertAlign w:val="superscript"/>
        </w:rPr>
        <w:t>1</w:t>
      </w:r>
      <w:r w:rsidRPr="00412776">
        <w:rPr>
          <w:rFonts w:ascii="Georgia" w:hAnsi="Georgia"/>
        </w:rPr>
        <w:t>, 907.</w:t>
      </w:r>
    </w:p>
    <w:p w14:paraId="5A45512C"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 w:id="17">
    <w:p w14:paraId="3047F59A" w14:textId="77777777" w:rsidR="009C57D2" w:rsidRPr="00412776" w:rsidRDefault="009C57D2" w:rsidP="009C57D2">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i/>
          <w:iCs/>
        </w:rPr>
        <w:t>Ibid</w:t>
      </w:r>
      <w:r w:rsidRPr="00412776">
        <w:rPr>
          <w:rFonts w:ascii="Georgia" w:hAnsi="Georgia"/>
        </w:rPr>
        <w:t>.</w:t>
      </w:r>
    </w:p>
    <w:p w14:paraId="53A5EF02" w14:textId="77777777" w:rsidR="009C57D2" w:rsidRPr="00412776" w:rsidRDefault="009C57D2" w:rsidP="009C57D2">
      <w:pPr>
        <w:pStyle w:val="EndnoteText"/>
        <w:tabs>
          <w:tab w:val="left" w:pos="180"/>
          <w:tab w:val="left" w:pos="720"/>
          <w:tab w:val="left" w:pos="1080"/>
        </w:tabs>
        <w:ind w:left="720"/>
        <w:rPr>
          <w:rFonts w:ascii="Georgia" w:hAnsi="Georg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003" w:usb1="00000000" w:usb2="00000000" w:usb3="00000000" w:csb0="00000001" w:csb1="00000000"/>
  </w:font>
  <w:font w:name="Times Dot">
    <w:altName w:val="Times New Roman"/>
    <w:charset w:val="00"/>
    <w:family w:val="roman"/>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E60B44" w14:textId="77777777" w:rsidR="00100394" w:rsidRDefault="00100394"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4AEDBE" w14:textId="77777777" w:rsidR="00100394" w:rsidRDefault="00100394" w:rsidP="0010039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7434A6" w14:textId="77777777" w:rsidR="00100394" w:rsidRDefault="00100394"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3714A7F6" w14:textId="77777777" w:rsidR="00100394" w:rsidRDefault="00100394" w:rsidP="0010039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6C7F0E" w14:textId="77777777" w:rsidR="009C57D2" w:rsidRDefault="009C57D2" w:rsidP="009C57D2">
      <w:r>
        <w:separator/>
      </w:r>
    </w:p>
  </w:footnote>
  <w:footnote w:type="continuationSeparator" w:id="0">
    <w:p w14:paraId="4BE3EF95" w14:textId="77777777" w:rsidR="009C57D2" w:rsidRDefault="009C57D2" w:rsidP="009C57D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57D2"/>
    <w:rsid w:val="00012EF9"/>
    <w:rsid w:val="00100394"/>
    <w:rsid w:val="001F2359"/>
    <w:rsid w:val="009C57D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087DE2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7D2"/>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9C57D2"/>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C57D2"/>
    <w:rPr>
      <w:rFonts w:ascii="Arial" w:eastAsia="Times New Roman" w:hAnsi="Arial" w:cs="Arial"/>
      <w:b/>
      <w:bCs/>
      <w:i/>
      <w:iCs/>
      <w:sz w:val="28"/>
      <w:szCs w:val="28"/>
      <w:lang w:eastAsia="en-GB"/>
    </w:rPr>
  </w:style>
  <w:style w:type="paragraph" w:styleId="BodyText">
    <w:name w:val="Body Text"/>
    <w:basedOn w:val="Normal"/>
    <w:link w:val="BodyTextChar"/>
    <w:rsid w:val="009C57D2"/>
    <w:pPr>
      <w:spacing w:after="120"/>
    </w:pPr>
  </w:style>
  <w:style w:type="character" w:customStyle="1" w:styleId="BodyTextChar">
    <w:name w:val="Body Text Char"/>
    <w:basedOn w:val="DefaultParagraphFont"/>
    <w:link w:val="BodyText"/>
    <w:rsid w:val="009C57D2"/>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9C57D2"/>
    <w:rPr>
      <w:vertAlign w:val="superscript"/>
    </w:rPr>
  </w:style>
  <w:style w:type="paragraph" w:styleId="EndnoteText">
    <w:name w:val="endnote text"/>
    <w:basedOn w:val="Normal"/>
    <w:link w:val="EndnoteTextChar"/>
    <w:semiHidden/>
    <w:rsid w:val="009C57D2"/>
    <w:pPr>
      <w:widowControl w:val="0"/>
    </w:pPr>
    <w:rPr>
      <w:snapToGrid w:val="0"/>
      <w:sz w:val="20"/>
      <w:lang w:val="en-US" w:eastAsia="en-US"/>
    </w:rPr>
  </w:style>
  <w:style w:type="character" w:customStyle="1" w:styleId="EndnoteTextChar">
    <w:name w:val="Endnote Text Char"/>
    <w:basedOn w:val="DefaultParagraphFont"/>
    <w:link w:val="EndnoteText"/>
    <w:semiHidden/>
    <w:rsid w:val="009C57D2"/>
    <w:rPr>
      <w:rFonts w:ascii="Times New Roman" w:eastAsia="Times New Roman" w:hAnsi="Times New Roman" w:cs="Times New Roman"/>
      <w:snapToGrid w:val="0"/>
      <w:sz w:val="20"/>
      <w:szCs w:val="20"/>
      <w:lang w:val="en-US"/>
    </w:rPr>
  </w:style>
  <w:style w:type="paragraph" w:styleId="Footer">
    <w:name w:val="footer"/>
    <w:basedOn w:val="Normal"/>
    <w:link w:val="FooterChar"/>
    <w:uiPriority w:val="99"/>
    <w:unhideWhenUsed/>
    <w:rsid w:val="00100394"/>
    <w:pPr>
      <w:tabs>
        <w:tab w:val="center" w:pos="4320"/>
        <w:tab w:val="right" w:pos="8640"/>
      </w:tabs>
    </w:pPr>
  </w:style>
  <w:style w:type="character" w:customStyle="1" w:styleId="FooterChar">
    <w:name w:val="Footer Char"/>
    <w:basedOn w:val="DefaultParagraphFont"/>
    <w:link w:val="Footer"/>
    <w:uiPriority w:val="99"/>
    <w:rsid w:val="00100394"/>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10039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57D2"/>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9C57D2"/>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C57D2"/>
    <w:rPr>
      <w:rFonts w:ascii="Arial" w:eastAsia="Times New Roman" w:hAnsi="Arial" w:cs="Arial"/>
      <w:b/>
      <w:bCs/>
      <w:i/>
      <w:iCs/>
      <w:sz w:val="28"/>
      <w:szCs w:val="28"/>
      <w:lang w:eastAsia="en-GB"/>
    </w:rPr>
  </w:style>
  <w:style w:type="paragraph" w:styleId="BodyText">
    <w:name w:val="Body Text"/>
    <w:basedOn w:val="Normal"/>
    <w:link w:val="BodyTextChar"/>
    <w:rsid w:val="009C57D2"/>
    <w:pPr>
      <w:spacing w:after="120"/>
    </w:pPr>
  </w:style>
  <w:style w:type="character" w:customStyle="1" w:styleId="BodyTextChar">
    <w:name w:val="Body Text Char"/>
    <w:basedOn w:val="DefaultParagraphFont"/>
    <w:link w:val="BodyText"/>
    <w:rsid w:val="009C57D2"/>
    <w:rPr>
      <w:rFonts w:ascii="Times New Roman" w:eastAsia="Times New Roman" w:hAnsi="Times New Roman" w:cs="Times New Roman"/>
      <w:szCs w:val="20"/>
      <w:lang w:eastAsia="en-GB"/>
    </w:rPr>
  </w:style>
  <w:style w:type="character" w:styleId="EndnoteReference">
    <w:name w:val="endnote reference"/>
    <w:basedOn w:val="DefaultParagraphFont"/>
    <w:semiHidden/>
    <w:rsid w:val="009C57D2"/>
    <w:rPr>
      <w:vertAlign w:val="superscript"/>
    </w:rPr>
  </w:style>
  <w:style w:type="paragraph" w:styleId="EndnoteText">
    <w:name w:val="endnote text"/>
    <w:basedOn w:val="Normal"/>
    <w:link w:val="EndnoteTextChar"/>
    <w:semiHidden/>
    <w:rsid w:val="009C57D2"/>
    <w:pPr>
      <w:widowControl w:val="0"/>
    </w:pPr>
    <w:rPr>
      <w:snapToGrid w:val="0"/>
      <w:sz w:val="20"/>
      <w:lang w:val="en-US" w:eastAsia="en-US"/>
    </w:rPr>
  </w:style>
  <w:style w:type="character" w:customStyle="1" w:styleId="EndnoteTextChar">
    <w:name w:val="Endnote Text Char"/>
    <w:basedOn w:val="DefaultParagraphFont"/>
    <w:link w:val="EndnoteText"/>
    <w:semiHidden/>
    <w:rsid w:val="009C57D2"/>
    <w:rPr>
      <w:rFonts w:ascii="Times New Roman" w:eastAsia="Times New Roman" w:hAnsi="Times New Roman" w:cs="Times New Roman"/>
      <w:snapToGrid w:val="0"/>
      <w:sz w:val="20"/>
      <w:szCs w:val="20"/>
      <w:lang w:val="en-US"/>
    </w:rPr>
  </w:style>
  <w:style w:type="paragraph" w:styleId="Footer">
    <w:name w:val="footer"/>
    <w:basedOn w:val="Normal"/>
    <w:link w:val="FooterChar"/>
    <w:uiPriority w:val="99"/>
    <w:unhideWhenUsed/>
    <w:rsid w:val="00100394"/>
    <w:pPr>
      <w:tabs>
        <w:tab w:val="center" w:pos="4320"/>
        <w:tab w:val="right" w:pos="8640"/>
      </w:tabs>
    </w:pPr>
  </w:style>
  <w:style w:type="character" w:customStyle="1" w:styleId="FooterChar">
    <w:name w:val="Footer Char"/>
    <w:basedOn w:val="DefaultParagraphFont"/>
    <w:link w:val="Footer"/>
    <w:uiPriority w:val="99"/>
    <w:rsid w:val="00100394"/>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1003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2036</Words>
  <Characters>11607</Characters>
  <Application>Microsoft Macintosh Word</Application>
  <DocSecurity>0</DocSecurity>
  <Lines>96</Lines>
  <Paragraphs>27</Paragraphs>
  <ScaleCrop>false</ScaleCrop>
  <Company>Dept. of Theology, Religious Studies &amp; Islamic Stud</Company>
  <LinksUpToDate>false</LinksUpToDate>
  <CharactersWithSpaces>13616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2012-05-30T12:01:00Z</dcterms:created>
  <dcterms:modified xsi:type="dcterms:W3CDTF">2012-05-30T12:01:00Z</dcterms:modified>
</cp:coreProperties>
</file>