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71623" w14:textId="77777777" w:rsidR="007357C7" w:rsidRDefault="007357C7" w:rsidP="00DF3908">
      <w:pPr>
        <w:spacing w:before="100" w:beforeAutospacing="1" w:after="100" w:afterAutospacing="1" w:line="247" w:lineRule="atLeast"/>
        <w:outlineLvl w:val="0"/>
        <w:rPr>
          <w:rFonts w:ascii="Times New Roman" w:eastAsia="Times New Roman" w:hAnsi="Times New Roman" w:cs="Times New Roman"/>
          <w:kern w:val="36"/>
          <w:sz w:val="24"/>
          <w:szCs w:val="24"/>
        </w:rPr>
      </w:pPr>
    </w:p>
    <w:p w14:paraId="0F3978D1" w14:textId="77777777" w:rsidR="007357C7" w:rsidRDefault="007357C7" w:rsidP="00DF3908">
      <w:pPr>
        <w:spacing w:before="100" w:beforeAutospacing="1" w:after="100" w:afterAutospacing="1" w:line="247" w:lineRule="atLeast"/>
        <w:outlineLvl w:val="0"/>
        <w:rPr>
          <w:rFonts w:ascii="Times New Roman" w:eastAsia="Times New Roman" w:hAnsi="Times New Roman" w:cs="Times New Roman"/>
          <w:kern w:val="36"/>
          <w:sz w:val="24"/>
          <w:szCs w:val="24"/>
        </w:rPr>
      </w:pPr>
    </w:p>
    <w:p w14:paraId="3A653D24" w14:textId="5A69283C" w:rsidR="00DB7C24" w:rsidRPr="00C06CA4" w:rsidRDefault="001001C7" w:rsidP="00DF3908">
      <w:pPr>
        <w:spacing w:before="100" w:beforeAutospacing="1" w:after="100" w:afterAutospacing="1" w:line="247" w:lineRule="atLeast"/>
        <w:outlineLvl w:val="0"/>
        <w:rPr>
          <w:rFonts w:ascii="Times New Roman" w:eastAsia="Times New Roman" w:hAnsi="Times New Roman" w:cs="Times New Roman"/>
          <w:kern w:val="36"/>
          <w:sz w:val="24"/>
          <w:szCs w:val="24"/>
        </w:rPr>
      </w:pPr>
      <w:r w:rsidRPr="00C06CA4">
        <w:rPr>
          <w:rFonts w:ascii="Times New Roman" w:eastAsia="Times New Roman" w:hAnsi="Times New Roman" w:cs="Times New Roman"/>
          <w:kern w:val="36"/>
          <w:sz w:val="24"/>
          <w:szCs w:val="24"/>
        </w:rPr>
        <w:t xml:space="preserve">Christine Shields </w:t>
      </w:r>
      <w:r w:rsidR="00D766E5" w:rsidRPr="00C06CA4">
        <w:rPr>
          <w:rFonts w:ascii="Times New Roman" w:eastAsia="Times New Roman" w:hAnsi="Times New Roman" w:cs="Times New Roman"/>
          <w:kern w:val="36"/>
          <w:sz w:val="24"/>
          <w:szCs w:val="24"/>
        </w:rPr>
        <w:t xml:space="preserve">History and Historians </w:t>
      </w:r>
      <w:r w:rsidRPr="00C06CA4">
        <w:rPr>
          <w:rFonts w:ascii="Times New Roman" w:eastAsia="Times New Roman" w:hAnsi="Times New Roman" w:cs="Times New Roman"/>
          <w:kern w:val="36"/>
          <w:sz w:val="24"/>
          <w:szCs w:val="24"/>
        </w:rPr>
        <w:t>21</w:t>
      </w:r>
      <w:r w:rsidR="003238E3" w:rsidRPr="00C06CA4">
        <w:rPr>
          <w:rFonts w:ascii="Times New Roman" w:eastAsia="Times New Roman" w:hAnsi="Times New Roman" w:cs="Times New Roman"/>
          <w:kern w:val="36"/>
          <w:sz w:val="24"/>
          <w:szCs w:val="24"/>
        </w:rPr>
        <w:t>0921</w:t>
      </w:r>
      <w:r w:rsidR="00D766E5" w:rsidRPr="00C06CA4">
        <w:rPr>
          <w:rFonts w:ascii="Times New Roman" w:eastAsia="Times New Roman" w:hAnsi="Times New Roman" w:cs="Times New Roman"/>
          <w:kern w:val="36"/>
          <w:sz w:val="24"/>
          <w:szCs w:val="24"/>
        </w:rPr>
        <w:t xml:space="preserve"> Assessment Two</w:t>
      </w:r>
      <w:r w:rsidR="00C06CA4" w:rsidRPr="00C06CA4">
        <w:rPr>
          <w:rFonts w:ascii="Times New Roman" w:eastAsia="Times New Roman" w:hAnsi="Times New Roman" w:cs="Times New Roman"/>
          <w:kern w:val="36"/>
          <w:sz w:val="24"/>
          <w:szCs w:val="24"/>
        </w:rPr>
        <w:t xml:space="preserve">. </w:t>
      </w:r>
      <w:r w:rsidR="00DF3908" w:rsidRPr="00C06CA4">
        <w:rPr>
          <w:rFonts w:ascii="Times New Roman" w:eastAsia="Times New Roman" w:hAnsi="Times New Roman" w:cs="Times New Roman"/>
          <w:kern w:val="36"/>
          <w:sz w:val="24"/>
          <w:szCs w:val="24"/>
        </w:rPr>
        <w:t>The Chronicle of "Benedict of Peterborough": The Death of King Henry II, 1189</w:t>
      </w:r>
    </w:p>
    <w:p w14:paraId="16AE30E5" w14:textId="2812F95B" w:rsidR="005A4158" w:rsidRDefault="003C6B0F" w:rsidP="005A4158">
      <w:pPr>
        <w:pStyle w:val="hbodytext"/>
        <w:spacing w:before="180" w:beforeAutospacing="0" w:after="180" w:afterAutospacing="0" w:line="240" w:lineRule="atLeast"/>
        <w:rPr>
          <w:rFonts w:ascii="Tahoma" w:hAnsi="Tahoma" w:cs="Tahoma"/>
          <w:color w:val="000000"/>
          <w:sz w:val="18"/>
          <w:szCs w:val="18"/>
        </w:rPr>
      </w:pPr>
      <w:r w:rsidRPr="00330C2F">
        <w:rPr>
          <w:i/>
          <w:iCs/>
        </w:rPr>
        <w:t>However, Henry, king of England, in the year of the Incarnation of Our Lord Jesus Christ 1189, died in the month of July, the day before the nones [July 6], in the octave of the apostles Peter and Paul, in the 19th lunation, on the fifth day of the week, at Chinon. And he was buried at Fontevrault, in the abbey of the nuns who serving God there</w:t>
      </w:r>
      <w:r>
        <w:t>.</w:t>
      </w:r>
    </w:p>
    <w:p w14:paraId="464391DA" w14:textId="448269A1" w:rsidR="005A4158" w:rsidRPr="00330C2F" w:rsidRDefault="005A4158" w:rsidP="005A4158">
      <w:pPr>
        <w:pStyle w:val="hbodytext"/>
        <w:spacing w:before="180" w:beforeAutospacing="0" w:after="180" w:afterAutospacing="0" w:line="240" w:lineRule="atLeast"/>
        <w:rPr>
          <w:i/>
          <w:iCs/>
          <w:color w:val="000000"/>
        </w:rPr>
      </w:pPr>
      <w:r w:rsidRPr="00330C2F">
        <w:rPr>
          <w:i/>
          <w:iCs/>
          <w:color w:val="000000"/>
        </w:rPr>
        <w:t xml:space="preserve">On the day following his death, when he was being carried to burial, clothed in royal robes, wearing a crown of gold upon his head and wearing gloves on his hands and a gold ring on his finger, a scepter in his hand and gold shoes and spurs on his feet, girded with sword, face uncovered. When this was announced to his son Count Richard, he came quickly to meet him. And that one having arrived, at once blood began to flow from the nostrils of the dead king, as if his spirit was indignant at Richard’s arrival. Then the aforementioned count, mourning and wailing, proceeded with the body of his father all the way to </w:t>
      </w:r>
      <w:bookmarkStart w:id="0" w:name="_Hlk118887438"/>
      <w:r w:rsidRPr="00330C2F">
        <w:rPr>
          <w:i/>
          <w:iCs/>
          <w:color w:val="000000"/>
        </w:rPr>
        <w:t>Fontevraul</w:t>
      </w:r>
      <w:bookmarkEnd w:id="0"/>
      <w:r w:rsidRPr="00330C2F">
        <w:rPr>
          <w:i/>
          <w:iCs/>
          <w:color w:val="000000"/>
        </w:rPr>
        <w:t>t, and there it was buried.</w:t>
      </w:r>
      <w:r w:rsidR="00B43656">
        <w:rPr>
          <w:i/>
          <w:iCs/>
          <w:color w:val="000000"/>
        </w:rPr>
        <w:t xml:space="preserve"> </w:t>
      </w:r>
      <w:r w:rsidR="00B43656">
        <w:rPr>
          <w:rStyle w:val="FootnoteReference"/>
          <w:i/>
          <w:iCs/>
          <w:color w:val="000000"/>
        </w:rPr>
        <w:footnoteReference w:id="1"/>
      </w:r>
    </w:p>
    <w:p w14:paraId="38CF59C0" w14:textId="1B081ACF" w:rsidR="00DB5853" w:rsidRPr="00481309" w:rsidRDefault="00DB5853" w:rsidP="005A4158">
      <w:pPr>
        <w:pStyle w:val="hbodytext"/>
        <w:spacing w:before="180" w:beforeAutospacing="0" w:after="180" w:afterAutospacing="0" w:line="240" w:lineRule="atLeast"/>
        <w:rPr>
          <w:color w:val="000000"/>
        </w:rPr>
      </w:pPr>
      <w:r w:rsidRPr="00481309">
        <w:rPr>
          <w:color w:val="000000"/>
        </w:rPr>
        <w:t>This passage is from the Chronicle of Benedict of Peterborough</w:t>
      </w:r>
      <w:r w:rsidR="00A811C6" w:rsidRPr="00481309">
        <w:rPr>
          <w:color w:val="000000"/>
        </w:rPr>
        <w:t xml:space="preserve">. </w:t>
      </w:r>
      <w:r w:rsidRPr="00481309">
        <w:rPr>
          <w:color w:val="000000"/>
        </w:rPr>
        <w:t xml:space="preserve">Benedict was </w:t>
      </w:r>
      <w:r w:rsidR="002A67D8">
        <w:rPr>
          <w:color w:val="000000"/>
        </w:rPr>
        <w:t>a 12</w:t>
      </w:r>
      <w:r w:rsidR="002A67D8" w:rsidRPr="002A67D8">
        <w:rPr>
          <w:color w:val="000000"/>
          <w:vertAlign w:val="superscript"/>
        </w:rPr>
        <w:t>th</w:t>
      </w:r>
      <w:r w:rsidR="002A67D8">
        <w:rPr>
          <w:color w:val="000000"/>
        </w:rPr>
        <w:t xml:space="preserve"> century</w:t>
      </w:r>
      <w:r w:rsidR="00144610" w:rsidRPr="00481309">
        <w:rPr>
          <w:color w:val="000000"/>
        </w:rPr>
        <w:t xml:space="preserve"> abbot of the monastery of Peterborough and his name </w:t>
      </w:r>
      <w:r w:rsidR="001E145D" w:rsidRPr="00481309">
        <w:rPr>
          <w:color w:val="000000"/>
        </w:rPr>
        <w:t>was</w:t>
      </w:r>
      <w:r w:rsidR="00144610" w:rsidRPr="00481309">
        <w:rPr>
          <w:color w:val="000000"/>
        </w:rPr>
        <w:t xml:space="preserve"> long associated with this </w:t>
      </w:r>
      <w:r w:rsidR="00535033" w:rsidRPr="00481309">
        <w:rPr>
          <w:color w:val="000000"/>
        </w:rPr>
        <w:t>chronicle,</w:t>
      </w:r>
      <w:r w:rsidR="00144610" w:rsidRPr="00481309">
        <w:rPr>
          <w:color w:val="000000"/>
        </w:rPr>
        <w:t xml:space="preserve"> yet modern scholarship has determined that </w:t>
      </w:r>
      <w:proofErr w:type="gramStart"/>
      <w:r w:rsidR="00144610" w:rsidRPr="00481309">
        <w:rPr>
          <w:color w:val="000000"/>
        </w:rPr>
        <w:t>th</w:t>
      </w:r>
      <w:r w:rsidR="00895817" w:rsidRPr="00481309">
        <w:rPr>
          <w:color w:val="000000"/>
        </w:rPr>
        <w:t>e Chronicle</w:t>
      </w:r>
      <w:r w:rsidR="00144610" w:rsidRPr="00481309">
        <w:rPr>
          <w:color w:val="000000"/>
        </w:rPr>
        <w:t xml:space="preserve"> was actually written by </w:t>
      </w:r>
      <w:r w:rsidR="00535033" w:rsidRPr="00481309">
        <w:rPr>
          <w:color w:val="000000"/>
        </w:rPr>
        <w:t>R</w:t>
      </w:r>
      <w:r w:rsidR="00A902BB" w:rsidRPr="00481309">
        <w:rPr>
          <w:color w:val="000000"/>
        </w:rPr>
        <w:t>oger</w:t>
      </w:r>
      <w:r w:rsidR="00535033" w:rsidRPr="00481309">
        <w:rPr>
          <w:color w:val="000000"/>
        </w:rPr>
        <w:t xml:space="preserve"> of Howden</w:t>
      </w:r>
      <w:proofErr w:type="gramEnd"/>
      <w:r w:rsidR="00535033" w:rsidRPr="00481309">
        <w:rPr>
          <w:color w:val="000000"/>
        </w:rPr>
        <w:t xml:space="preserve"> whose </w:t>
      </w:r>
      <w:r w:rsidR="00081327" w:rsidRPr="00481309">
        <w:rPr>
          <w:color w:val="000000"/>
        </w:rPr>
        <w:t>Chronica</w:t>
      </w:r>
      <w:r w:rsidR="00F65510" w:rsidRPr="00481309">
        <w:rPr>
          <w:color w:val="000000"/>
        </w:rPr>
        <w:t xml:space="preserve"> was</w:t>
      </w:r>
      <w:r w:rsidR="004B49F7" w:rsidRPr="00481309">
        <w:rPr>
          <w:color w:val="000000"/>
        </w:rPr>
        <w:t xml:space="preserve"> the re</w:t>
      </w:r>
      <w:r w:rsidR="00890789" w:rsidRPr="00481309">
        <w:rPr>
          <w:color w:val="000000"/>
        </w:rPr>
        <w:t xml:space="preserve">writing </w:t>
      </w:r>
      <w:r w:rsidR="004B49F7" w:rsidRPr="00481309">
        <w:rPr>
          <w:color w:val="000000"/>
        </w:rPr>
        <w:t xml:space="preserve">and </w:t>
      </w:r>
      <w:proofErr w:type="spellStart"/>
      <w:r w:rsidR="00377011">
        <w:rPr>
          <w:color w:val="000000"/>
        </w:rPr>
        <w:t>extention</w:t>
      </w:r>
      <w:proofErr w:type="spellEnd"/>
      <w:r w:rsidR="004B49F7" w:rsidRPr="00481309">
        <w:rPr>
          <w:color w:val="000000"/>
        </w:rPr>
        <w:t xml:space="preserve"> of the Chronicle of Benedict of Peterborough</w:t>
      </w:r>
      <w:r w:rsidR="00A811C6" w:rsidRPr="00481309">
        <w:rPr>
          <w:color w:val="000000"/>
        </w:rPr>
        <w:t xml:space="preserve">. </w:t>
      </w:r>
      <w:r w:rsidR="00343947" w:rsidRPr="00481309">
        <w:rPr>
          <w:color w:val="000000"/>
        </w:rPr>
        <w:t xml:space="preserve">There was a heading written into the Chronicle </w:t>
      </w:r>
      <w:r w:rsidR="000E0C37" w:rsidRPr="00481309">
        <w:rPr>
          <w:color w:val="000000"/>
        </w:rPr>
        <w:t>o</w:t>
      </w:r>
      <w:r w:rsidR="00FE7BC6" w:rsidRPr="00481309">
        <w:rPr>
          <w:color w:val="000000"/>
        </w:rPr>
        <w:t>f Benedict</w:t>
      </w:r>
      <w:r w:rsidR="00857D8D">
        <w:rPr>
          <w:color w:val="000000"/>
        </w:rPr>
        <w:t xml:space="preserve"> with his name</w:t>
      </w:r>
      <w:r w:rsidR="00FE7BC6" w:rsidRPr="00481309">
        <w:rPr>
          <w:color w:val="000000"/>
        </w:rPr>
        <w:t xml:space="preserve"> </w:t>
      </w:r>
      <w:r w:rsidR="008F5983" w:rsidRPr="00481309">
        <w:rPr>
          <w:color w:val="000000"/>
        </w:rPr>
        <w:t xml:space="preserve">that led to the assumption that </w:t>
      </w:r>
      <w:r w:rsidR="006329D0">
        <w:rPr>
          <w:color w:val="000000"/>
        </w:rPr>
        <w:t xml:space="preserve">he had </w:t>
      </w:r>
      <w:r w:rsidR="008F5983" w:rsidRPr="00481309">
        <w:rPr>
          <w:color w:val="000000"/>
        </w:rPr>
        <w:t xml:space="preserve">penned </w:t>
      </w:r>
      <w:r w:rsidR="006329D0">
        <w:rPr>
          <w:color w:val="000000"/>
        </w:rPr>
        <w:t>it</w:t>
      </w:r>
      <w:r w:rsidR="00343947" w:rsidRPr="00481309">
        <w:rPr>
          <w:color w:val="000000"/>
        </w:rPr>
        <w:t xml:space="preserve">. </w:t>
      </w:r>
      <w:r w:rsidR="00343947" w:rsidRPr="00481309">
        <w:rPr>
          <w:rStyle w:val="FootnoteReference"/>
          <w:color w:val="000000"/>
        </w:rPr>
        <w:footnoteReference w:id="2"/>
      </w:r>
    </w:p>
    <w:p w14:paraId="1B8C03AC" w14:textId="46607F41" w:rsidR="000D31BA" w:rsidRPr="007B13EC" w:rsidRDefault="000D31BA" w:rsidP="005A4158">
      <w:pPr>
        <w:pStyle w:val="hbodytext"/>
        <w:spacing w:before="180" w:beforeAutospacing="0" w:after="180" w:afterAutospacing="0" w:line="240" w:lineRule="atLeast"/>
        <w:rPr>
          <w:sz w:val="28"/>
          <w:szCs w:val="28"/>
        </w:rPr>
      </w:pPr>
      <w:r w:rsidRPr="00481309">
        <w:t>Roger of Hoveden, or Howden (1174 – 1201), a 12th-century English chronicler</w:t>
      </w:r>
      <w:r w:rsidR="0006396A">
        <w:t xml:space="preserve"> </w:t>
      </w:r>
      <w:r w:rsidR="0043592E">
        <w:t>was the au</w:t>
      </w:r>
      <w:r w:rsidR="001456A2" w:rsidRPr="00481309">
        <w:t>thor of</w:t>
      </w:r>
      <w:r w:rsidR="001456A2" w:rsidRPr="00481309">
        <w:rPr>
          <w:i/>
          <w:iCs/>
        </w:rPr>
        <w:t xml:space="preserve"> </w:t>
      </w:r>
      <w:r w:rsidR="006A104B" w:rsidRPr="00481309">
        <w:rPr>
          <w:i/>
          <w:iCs/>
        </w:rPr>
        <w:t>Chronica magistri Rogeri de Hoveden</w:t>
      </w:r>
      <w:r w:rsidR="006A104B" w:rsidRPr="00481309">
        <w:t xml:space="preserve"> (Chronicles of Master Roger of Howden)</w:t>
      </w:r>
      <w:r w:rsidR="00895817" w:rsidRPr="00481309">
        <w:t xml:space="preserve">. </w:t>
      </w:r>
      <w:r w:rsidR="00DE140E" w:rsidRPr="00481309">
        <w:t xml:space="preserve">“William Stubbs, the great editor of his works, wrote: ‘Of the life of the compiler, editor or author of this work, Roger of Hoveden, but few facts are known, and to these I am sorry to confess that I cannot add a single </w:t>
      </w:r>
      <w:r w:rsidR="00F05007" w:rsidRPr="00481309">
        <w:t>one. What</w:t>
      </w:r>
      <w:r w:rsidR="00DE140E" w:rsidRPr="00481309">
        <w:t xml:space="preserve"> Stubbs knew was that the author of the Chronica was the parson of Howden and a royal clerk win the service of Henry II in 1174 and 1175 and again in the late 1180s. He also believed that after Henry’s death in 1189</w:t>
      </w:r>
      <w:r w:rsidR="00DE140E" w:rsidRPr="00487550">
        <w:t xml:space="preserve"> Roger retired from pu</w:t>
      </w:r>
      <w:r w:rsidR="00897C1B" w:rsidRPr="00487550">
        <w:t>b</w:t>
      </w:r>
      <w:r w:rsidR="00DE140E" w:rsidRPr="00487550">
        <w:t xml:space="preserve">lic life, and that </w:t>
      </w:r>
      <w:r w:rsidR="00DE140E" w:rsidRPr="00487550">
        <w:lastRenderedPageBreak/>
        <w:t>it was in retirement that he wrote</w:t>
      </w:r>
      <w:r w:rsidR="00DE140E">
        <w:t xml:space="preserve"> </w:t>
      </w:r>
      <w:r w:rsidR="00DE140E" w:rsidRPr="00897C1B">
        <w:t xml:space="preserve">his chronicle” </w:t>
      </w:r>
      <w:r w:rsidR="004F2CBC" w:rsidRPr="00897C1B">
        <w:rPr>
          <w:rStyle w:val="FootnoteReference"/>
        </w:rPr>
        <w:footnoteReference w:id="3"/>
      </w:r>
      <w:r w:rsidR="00897C1B" w:rsidRPr="00897C1B">
        <w:t xml:space="preserve"> </w:t>
      </w:r>
      <w:r w:rsidR="00D3378B" w:rsidRPr="00897C1B">
        <w:t xml:space="preserve">Questions exist as to </w:t>
      </w:r>
      <w:r w:rsidR="00787FE6" w:rsidRPr="00897C1B">
        <w:t>his identity as there were more than one Roger of Howden</w:t>
      </w:r>
      <w:r w:rsidR="00DF7B76" w:rsidRPr="00897C1B">
        <w:t>;</w:t>
      </w:r>
      <w:r w:rsidR="007E4B7B" w:rsidRPr="00897C1B">
        <w:t xml:space="preserve"> parson, a </w:t>
      </w:r>
      <w:r w:rsidR="001304C0" w:rsidRPr="00897C1B">
        <w:t>clerk,</w:t>
      </w:r>
      <w:r w:rsidR="007E4B7B" w:rsidRPr="00897C1B">
        <w:t xml:space="preserve"> and a writer.</w:t>
      </w:r>
      <w:r w:rsidR="00787FE6" w:rsidRPr="00897C1B">
        <w:rPr>
          <w:rStyle w:val="FootnoteReference"/>
        </w:rPr>
        <w:footnoteReference w:id="4"/>
      </w:r>
    </w:p>
    <w:p w14:paraId="17224691" w14:textId="6F4E6CED" w:rsidR="00413783" w:rsidRDefault="006027E6" w:rsidP="005A4158">
      <w:pPr>
        <w:pStyle w:val="hbodytext"/>
        <w:spacing w:before="180" w:beforeAutospacing="0" w:after="180" w:afterAutospacing="0" w:line="240" w:lineRule="atLeast"/>
      </w:pPr>
      <w:r>
        <w:t xml:space="preserve">Roger knew Henry because of his place in the royal court and </w:t>
      </w:r>
      <w:r w:rsidR="0047099E">
        <w:t>Richard I as he was on crusade with him</w:t>
      </w:r>
      <w:r w:rsidR="00F2696E">
        <w:t>.</w:t>
      </w:r>
      <w:r w:rsidR="0047099E">
        <w:rPr>
          <w:rStyle w:val="FootnoteReference"/>
        </w:rPr>
        <w:footnoteReference w:id="5"/>
      </w:r>
      <w:r w:rsidR="00FE7BC6">
        <w:t xml:space="preserve"> </w:t>
      </w:r>
      <w:r w:rsidR="005C33A2">
        <w:t>Roger was writing in the later part of the 12</w:t>
      </w:r>
      <w:r w:rsidR="005C33A2" w:rsidRPr="005C33A2">
        <w:rPr>
          <w:vertAlign w:val="superscript"/>
        </w:rPr>
        <w:t>th</w:t>
      </w:r>
      <w:r w:rsidR="005C33A2">
        <w:t xml:space="preserve"> century, </w:t>
      </w:r>
      <w:r w:rsidR="001304C0">
        <w:t>n</w:t>
      </w:r>
      <w:r w:rsidR="005C33A2">
        <w:t>ot the reign of an aggressive Henry II, but rather, “</w:t>
      </w:r>
      <w:r w:rsidR="00C37453">
        <w:t xml:space="preserve">a </w:t>
      </w:r>
      <w:r w:rsidR="00280C0C">
        <w:t>peace-loving</w:t>
      </w:r>
      <w:r w:rsidR="00C37453">
        <w:t xml:space="preserve"> </w:t>
      </w:r>
      <w:r w:rsidR="00EB2340">
        <w:t>king who devoted himself to hunting and government”</w:t>
      </w:r>
      <w:r w:rsidR="00AB0E9D">
        <w:t>.</w:t>
      </w:r>
      <w:r w:rsidR="00EB2340">
        <w:t xml:space="preserve"> </w:t>
      </w:r>
      <w:r w:rsidR="00EB2340">
        <w:rPr>
          <w:rStyle w:val="FootnoteReference"/>
        </w:rPr>
        <w:footnoteReference w:id="6"/>
      </w:r>
      <w:r w:rsidR="00F16168">
        <w:t xml:space="preserve">  This more peaceful persona may have influenced his treatment of Henry</w:t>
      </w:r>
      <w:r w:rsidR="00174870">
        <w:t>.</w:t>
      </w:r>
      <w:r w:rsidR="00AB0E9D">
        <w:t xml:space="preserve"> </w:t>
      </w:r>
      <w:r w:rsidR="00436C41">
        <w:t>There was more historical writing during the second half of Henry’s reign</w:t>
      </w:r>
      <w:r w:rsidR="003F5131">
        <w:t xml:space="preserve"> than in previous years</w:t>
      </w:r>
      <w:r w:rsidR="00287CB4">
        <w:t xml:space="preserve"> </w:t>
      </w:r>
      <w:r w:rsidR="001B7A87">
        <w:t>perhaps encouraging</w:t>
      </w:r>
      <w:r w:rsidR="00287CB4">
        <w:t xml:space="preserve"> </w:t>
      </w:r>
      <w:r w:rsidR="00201227">
        <w:t>Roger to write</w:t>
      </w:r>
      <w:r w:rsidR="00436C41">
        <w:t>.</w:t>
      </w:r>
      <w:r w:rsidR="00436C41">
        <w:rPr>
          <w:rStyle w:val="FootnoteReference"/>
        </w:rPr>
        <w:footnoteReference w:id="7"/>
      </w:r>
      <w:r w:rsidR="00413783">
        <w:t xml:space="preserve"> </w:t>
      </w:r>
      <w:r w:rsidR="003F5131">
        <w:t>It is useful to examine what R</w:t>
      </w:r>
      <w:r w:rsidR="003D2F70">
        <w:t xml:space="preserve">oger </w:t>
      </w:r>
      <w:r w:rsidR="00FD7CD1">
        <w:t>includes</w:t>
      </w:r>
      <w:r w:rsidR="003D2F70">
        <w:t xml:space="preserve"> in this brief text and what he does not and why</w:t>
      </w:r>
      <w:r w:rsidR="00A811C6">
        <w:t xml:space="preserve">. </w:t>
      </w:r>
    </w:p>
    <w:p w14:paraId="799CE42B" w14:textId="50ACA7EC" w:rsidR="00486246" w:rsidRDefault="00982FA7" w:rsidP="005A4158">
      <w:pPr>
        <w:pStyle w:val="hbodytext"/>
        <w:spacing w:before="180" w:beforeAutospacing="0" w:after="180" w:afterAutospacing="0" w:line="240" w:lineRule="atLeast"/>
      </w:pPr>
      <w:r>
        <w:t xml:space="preserve">In the </w:t>
      </w:r>
      <w:r w:rsidR="00CB72CB">
        <w:t xml:space="preserve">first </w:t>
      </w:r>
      <w:r w:rsidR="00413783">
        <w:t>paragraph we hear of Henry’s death</w:t>
      </w:r>
      <w:r>
        <w:t>. H</w:t>
      </w:r>
      <w:r w:rsidR="00014F79">
        <w:t>is</w:t>
      </w:r>
      <w:r w:rsidR="00471199">
        <w:t xml:space="preserve"> </w:t>
      </w:r>
      <w:r w:rsidR="00D15344">
        <w:t xml:space="preserve">illness is not described </w:t>
      </w:r>
      <w:r w:rsidR="005F3C27">
        <w:t xml:space="preserve">but </w:t>
      </w:r>
      <w:r w:rsidR="00B970D7">
        <w:t xml:space="preserve">elsewhere we hear </w:t>
      </w:r>
      <w:r w:rsidR="005F3C27">
        <w:t>he</w:t>
      </w:r>
      <w:r w:rsidR="00D15344">
        <w:t xml:space="preserve"> </w:t>
      </w:r>
      <w:r w:rsidR="00B970D7">
        <w:t xml:space="preserve">has </w:t>
      </w:r>
      <w:r w:rsidR="005F3C27">
        <w:t xml:space="preserve">been worn out by his lifetime endeavors </w:t>
      </w:r>
      <w:r w:rsidR="00D15344">
        <w:t>despite only being</w:t>
      </w:r>
      <w:r w:rsidR="00C3097E">
        <w:t xml:space="preserve"> </w:t>
      </w:r>
      <w:r w:rsidR="00F512AD">
        <w:t>fifty-six</w:t>
      </w:r>
      <w:r w:rsidR="00C3097E">
        <w:t>.</w:t>
      </w:r>
      <w:r w:rsidR="004E77AD">
        <w:rPr>
          <w:rStyle w:val="FootnoteReference"/>
        </w:rPr>
        <w:footnoteReference w:id="8"/>
      </w:r>
      <w:r w:rsidR="00413783">
        <w:t xml:space="preserve"> </w:t>
      </w:r>
      <w:r w:rsidR="00B42881">
        <w:t>The date is given with great specificity as the passing of a great man</w:t>
      </w:r>
      <w:r w:rsidR="000E1721">
        <w:t>,</w:t>
      </w:r>
      <w:r w:rsidR="00B42881">
        <w:t xml:space="preserve"> and in particular the King of </w:t>
      </w:r>
      <w:r w:rsidR="00F053F3">
        <w:t>England, requires</w:t>
      </w:r>
      <w:r w:rsidR="000E1721">
        <w:t xml:space="preserve"> that level of </w:t>
      </w:r>
      <w:r w:rsidR="000D7DB2">
        <w:t xml:space="preserve">exactitude. </w:t>
      </w:r>
      <w:r w:rsidR="00B33A4E">
        <w:t xml:space="preserve">It also places Henry’s demise in the context of the Church calendar as is appropriate for a Christian king. </w:t>
      </w:r>
      <w:r w:rsidR="00330C2F">
        <w:t xml:space="preserve">The time is related to </w:t>
      </w:r>
      <w:r w:rsidR="0057667A">
        <w:t xml:space="preserve">the “octave of the apostles St. Peter and </w:t>
      </w:r>
      <w:r w:rsidR="004318C1">
        <w:t>Paul</w:t>
      </w:r>
      <w:r w:rsidR="00380077">
        <w:t>”.</w:t>
      </w:r>
      <w:r w:rsidR="004318C1">
        <w:t xml:space="preserve">  </w:t>
      </w:r>
      <w:r w:rsidR="00B41DF5">
        <w:t>N</w:t>
      </w:r>
      <w:r w:rsidR="00CD3DE9">
        <w:t>ot provided</w:t>
      </w:r>
      <w:r w:rsidR="004318C1">
        <w:t xml:space="preserve"> are </w:t>
      </w:r>
      <w:r w:rsidR="00CD3DE9">
        <w:t>cause of death, description of suffering</w:t>
      </w:r>
      <w:r w:rsidR="004318C1">
        <w:t xml:space="preserve">, </w:t>
      </w:r>
      <w:r w:rsidR="00CD3DE9">
        <w:t xml:space="preserve">death bed vows, confessions, </w:t>
      </w:r>
      <w:r w:rsidR="00DA302E">
        <w:t>bequests,</w:t>
      </w:r>
      <w:r w:rsidR="00CD3DE9">
        <w:t xml:space="preserve"> or instructions.  </w:t>
      </w:r>
    </w:p>
    <w:p w14:paraId="1470A01A" w14:textId="1C43F56F" w:rsidR="00486246" w:rsidRDefault="00F3331C" w:rsidP="005A4158">
      <w:pPr>
        <w:pStyle w:val="hbodytext"/>
        <w:spacing w:before="180" w:beforeAutospacing="0" w:after="180" w:afterAutospacing="0" w:line="240" w:lineRule="atLeast"/>
      </w:pPr>
      <w:r>
        <w:t>For contrast consider</w:t>
      </w:r>
      <w:r w:rsidR="00CD3DE9">
        <w:t xml:space="preserve"> the death of William Marshal</w:t>
      </w:r>
      <w:r w:rsidR="008C5F24">
        <w:t xml:space="preserve"> </w:t>
      </w:r>
      <w:r w:rsidR="00CD3DE9">
        <w:t xml:space="preserve">where he </w:t>
      </w:r>
      <w:r w:rsidR="00B259FC">
        <w:t xml:space="preserve">gives instructions </w:t>
      </w:r>
      <w:r w:rsidR="001B79D0">
        <w:t xml:space="preserve">concerning </w:t>
      </w:r>
      <w:r w:rsidR="00FE2F94">
        <w:t xml:space="preserve">his </w:t>
      </w:r>
      <w:r w:rsidR="001B79D0">
        <w:t>burial</w:t>
      </w:r>
      <w:r w:rsidR="00144278">
        <w:t xml:space="preserve"> silks</w:t>
      </w:r>
      <w:r w:rsidR="0079466B">
        <w:t xml:space="preserve">, on </w:t>
      </w:r>
      <w:r w:rsidR="00C14CDA">
        <w:t>taking on the role of a Knight Templar</w:t>
      </w:r>
      <w:r w:rsidR="009114CD">
        <w:t xml:space="preserve">, and a generous bequest to </w:t>
      </w:r>
      <w:r w:rsidR="00274EBF">
        <w:t>Notley Abbey</w:t>
      </w:r>
      <w:r w:rsidR="00F512AD">
        <w:t xml:space="preserve">. </w:t>
      </w:r>
      <w:r w:rsidR="00C14CDA">
        <w:t xml:space="preserve">He </w:t>
      </w:r>
      <w:r w:rsidR="0079466B">
        <w:t xml:space="preserve">is </w:t>
      </w:r>
      <w:r w:rsidR="00274EBF">
        <w:t>granted absolution of his sins and dies worshiping a crucifix</w:t>
      </w:r>
      <w:r w:rsidR="00F512AD">
        <w:t xml:space="preserve">. </w:t>
      </w:r>
      <w:r w:rsidR="00EC2ECD">
        <w:t>His offspring and widow mourn greatly.</w:t>
      </w:r>
      <w:r w:rsidR="00EC2ECD">
        <w:rPr>
          <w:rStyle w:val="FootnoteReference"/>
        </w:rPr>
        <w:footnoteReference w:id="9"/>
      </w:r>
      <w:r w:rsidR="00DA302E">
        <w:t xml:space="preserve"> </w:t>
      </w:r>
      <w:r w:rsidR="0035157A">
        <w:t xml:space="preserve"> </w:t>
      </w:r>
      <w:r w:rsidR="00DA302E">
        <w:t xml:space="preserve">William was not a </w:t>
      </w:r>
      <w:r w:rsidR="00DA6646">
        <w:t>king</w:t>
      </w:r>
      <w:r w:rsidR="001B79D0">
        <w:t xml:space="preserve"> but </w:t>
      </w:r>
      <w:r w:rsidR="00DA302E">
        <w:t xml:space="preserve">just shy of being one, dubbed the “Greatest </w:t>
      </w:r>
      <w:r w:rsidR="007A533C">
        <w:t>Knight</w:t>
      </w:r>
      <w:r w:rsidR="00DA302E">
        <w:t xml:space="preserve">” </w:t>
      </w:r>
      <w:r w:rsidR="0035157A">
        <w:t xml:space="preserve">serving </w:t>
      </w:r>
      <w:r w:rsidR="007A533C">
        <w:t xml:space="preserve">five kings from Stephen to Henry III where he </w:t>
      </w:r>
      <w:r w:rsidR="00253CA8">
        <w:t>functioned as</w:t>
      </w:r>
      <w:r w:rsidR="007A533C">
        <w:t xml:space="preserve"> regent, arguably saved the life of Eleanor of Aquitaine and</w:t>
      </w:r>
      <w:r w:rsidR="00DF5E4C">
        <w:t xml:space="preserve"> </w:t>
      </w:r>
      <w:r w:rsidR="000D33D3">
        <w:t>w</w:t>
      </w:r>
      <w:r w:rsidR="00DF5E4C">
        <w:t xml:space="preserve">as the </w:t>
      </w:r>
      <w:r w:rsidR="0056560C">
        <w:t>right-hand</w:t>
      </w:r>
      <w:r w:rsidR="00DF5E4C">
        <w:t xml:space="preserve"> man of Henry the Young King.</w:t>
      </w:r>
      <w:r w:rsidR="007B6362">
        <w:rPr>
          <w:rStyle w:val="FootnoteReference"/>
        </w:rPr>
        <w:footnoteReference w:id="10"/>
      </w:r>
      <w:r w:rsidR="00870313">
        <w:t xml:space="preserve"> </w:t>
      </w:r>
      <w:r w:rsidR="00DF5E4C">
        <w:t xml:space="preserve">But this was all written in The </w:t>
      </w:r>
      <w:r w:rsidR="009A4417">
        <w:t>“</w:t>
      </w:r>
      <w:r w:rsidR="00DF5E4C" w:rsidRPr="009A4417">
        <w:t>Life</w:t>
      </w:r>
      <w:r w:rsidR="009A4417">
        <w:rPr>
          <w:b/>
          <w:bCs/>
        </w:rPr>
        <w:t>”</w:t>
      </w:r>
      <w:r w:rsidR="00DF5E4C">
        <w:t xml:space="preserve"> of William Marshal.  </w:t>
      </w:r>
      <w:r w:rsidR="00DA6646">
        <w:t>The “</w:t>
      </w:r>
      <w:r w:rsidR="00DF5E4C">
        <w:t xml:space="preserve">lives of” and the “deeds of” </w:t>
      </w:r>
      <w:r w:rsidR="00DA6A72">
        <w:t xml:space="preserve">consist of much greater detail. </w:t>
      </w:r>
      <w:r w:rsidR="00486246">
        <w:t>But our text here is a chronicle</w:t>
      </w:r>
      <w:r w:rsidR="00A811C6">
        <w:t xml:space="preserve">. </w:t>
      </w:r>
      <w:r w:rsidR="00486246">
        <w:t xml:space="preserve">The intention of the chronicler is not to provide </w:t>
      </w:r>
      <w:r w:rsidR="00B3457B">
        <w:t xml:space="preserve">every </w:t>
      </w:r>
      <w:r w:rsidR="00486246">
        <w:t>detail but to properly place events within a greater context, within the flow of years, highlighting when it happened and creating the space in which it occurre</w:t>
      </w:r>
      <w:r w:rsidR="00626CBF">
        <w:t xml:space="preserve">d. A chronicle typically is used “to structure </w:t>
      </w:r>
      <w:r w:rsidR="00EA0EDE">
        <w:t xml:space="preserve">the narrative continued </w:t>
      </w:r>
      <w:r w:rsidR="00C271C0">
        <w:t xml:space="preserve">throughout the middle ages”. </w:t>
      </w:r>
      <w:r w:rsidR="00C271C0">
        <w:rPr>
          <w:rStyle w:val="FootnoteReference"/>
        </w:rPr>
        <w:footnoteReference w:id="11"/>
      </w:r>
    </w:p>
    <w:p w14:paraId="113E29F7" w14:textId="32DAE6FA" w:rsidR="00B33A4E" w:rsidRDefault="00B33A4E" w:rsidP="005A4158">
      <w:pPr>
        <w:pStyle w:val="hbodytext"/>
        <w:spacing w:before="180" w:beforeAutospacing="0" w:after="180" w:afterAutospacing="0" w:line="240" w:lineRule="atLeast"/>
        <w:rPr>
          <w:color w:val="000000"/>
        </w:rPr>
      </w:pPr>
      <w:r>
        <w:lastRenderedPageBreak/>
        <w:t xml:space="preserve">The first paragraph also has his place of burial at </w:t>
      </w:r>
      <w:r w:rsidR="003A192F">
        <w:rPr>
          <w:color w:val="000000"/>
        </w:rPr>
        <w:t xml:space="preserve">Fontevraud the </w:t>
      </w:r>
      <w:r w:rsidR="003E09EA" w:rsidRPr="003E09EA">
        <w:rPr>
          <w:color w:val="000000"/>
        </w:rPr>
        <w:t xml:space="preserve">abbey connected to </w:t>
      </w:r>
      <w:r w:rsidR="003A192F">
        <w:rPr>
          <w:color w:val="000000"/>
        </w:rPr>
        <w:t>the family</w:t>
      </w:r>
      <w:r w:rsidR="003E09EA">
        <w:rPr>
          <w:color w:val="000000"/>
        </w:rPr>
        <w:t>.</w:t>
      </w:r>
      <w:r w:rsidR="00E461E2">
        <w:rPr>
          <w:rStyle w:val="FootnoteReference"/>
          <w:color w:val="000000"/>
        </w:rPr>
        <w:footnoteReference w:id="12"/>
      </w:r>
      <w:r w:rsidR="003E09EA">
        <w:rPr>
          <w:color w:val="000000"/>
        </w:rPr>
        <w:t xml:space="preserve"> </w:t>
      </w:r>
      <w:r w:rsidR="00381A8A">
        <w:rPr>
          <w:color w:val="000000"/>
        </w:rPr>
        <w:t>Again,</w:t>
      </w:r>
      <w:r w:rsidR="003E09EA">
        <w:rPr>
          <w:color w:val="000000"/>
        </w:rPr>
        <w:t xml:space="preserve"> Henry is bound to the Church and piety as he </w:t>
      </w:r>
      <w:r w:rsidR="00CE3F53">
        <w:rPr>
          <w:color w:val="000000"/>
        </w:rPr>
        <w:t>embarks</w:t>
      </w:r>
      <w:r w:rsidR="003E09EA">
        <w:rPr>
          <w:color w:val="000000"/>
        </w:rPr>
        <w:t xml:space="preserve"> on this new life in heaven</w:t>
      </w:r>
      <w:r w:rsidR="007463D7">
        <w:rPr>
          <w:color w:val="000000"/>
        </w:rPr>
        <w:t xml:space="preserve"> </w:t>
      </w:r>
      <w:r w:rsidR="0098030A">
        <w:rPr>
          <w:color w:val="000000"/>
        </w:rPr>
        <w:t xml:space="preserve">most </w:t>
      </w:r>
      <w:r w:rsidR="00C77486">
        <w:rPr>
          <w:color w:val="000000"/>
        </w:rPr>
        <w:t>appropriate</w:t>
      </w:r>
      <w:r w:rsidR="0098030A">
        <w:rPr>
          <w:color w:val="000000"/>
        </w:rPr>
        <w:t>ly</w:t>
      </w:r>
      <w:r w:rsidR="007463D7">
        <w:rPr>
          <w:color w:val="000000"/>
        </w:rPr>
        <w:t>.</w:t>
      </w:r>
    </w:p>
    <w:p w14:paraId="49A5CFC9" w14:textId="4E18B5E0" w:rsidR="00A9404D" w:rsidRDefault="008F00DD" w:rsidP="005A4158">
      <w:pPr>
        <w:pStyle w:val="hbodytext"/>
        <w:spacing w:before="180" w:beforeAutospacing="0" w:after="180" w:afterAutospacing="0" w:line="240" w:lineRule="atLeast"/>
        <w:rPr>
          <w:color w:val="000000"/>
        </w:rPr>
      </w:pPr>
      <w:r>
        <w:rPr>
          <w:color w:val="000000"/>
        </w:rPr>
        <w:t xml:space="preserve">In the second paragraph Henry </w:t>
      </w:r>
      <w:r w:rsidR="002B0B4A">
        <w:rPr>
          <w:color w:val="000000"/>
        </w:rPr>
        <w:t>is</w:t>
      </w:r>
      <w:r w:rsidR="00D33946">
        <w:rPr>
          <w:color w:val="000000"/>
        </w:rPr>
        <w:t xml:space="preserve"> </w:t>
      </w:r>
      <w:r w:rsidR="008E2AE3">
        <w:rPr>
          <w:color w:val="000000"/>
        </w:rPr>
        <w:t>attired</w:t>
      </w:r>
      <w:r w:rsidR="002B0B4A">
        <w:rPr>
          <w:color w:val="000000"/>
        </w:rPr>
        <w:t xml:space="preserve"> </w:t>
      </w:r>
      <w:r>
        <w:rPr>
          <w:color w:val="000000"/>
        </w:rPr>
        <w:t>royally</w:t>
      </w:r>
      <w:r w:rsidR="0043592E">
        <w:rPr>
          <w:color w:val="000000"/>
        </w:rPr>
        <w:t xml:space="preserve">, </w:t>
      </w:r>
      <w:r>
        <w:rPr>
          <w:color w:val="000000"/>
        </w:rPr>
        <w:t xml:space="preserve">befitting a </w:t>
      </w:r>
      <w:r w:rsidR="00880478">
        <w:rPr>
          <w:color w:val="000000"/>
        </w:rPr>
        <w:t xml:space="preserve">king. </w:t>
      </w:r>
      <w:r w:rsidR="008445F4">
        <w:rPr>
          <w:color w:val="000000"/>
        </w:rPr>
        <w:t xml:space="preserve">Yet </w:t>
      </w:r>
      <w:r w:rsidR="00D33946">
        <w:rPr>
          <w:color w:val="000000"/>
        </w:rPr>
        <w:t xml:space="preserve">other </w:t>
      </w:r>
      <w:r w:rsidR="0064321C">
        <w:rPr>
          <w:color w:val="000000"/>
        </w:rPr>
        <w:t>accounts</w:t>
      </w:r>
      <w:r w:rsidR="00566F9B">
        <w:rPr>
          <w:color w:val="000000"/>
        </w:rPr>
        <w:t xml:space="preserve"> </w:t>
      </w:r>
      <w:r w:rsidR="0064321C">
        <w:rPr>
          <w:color w:val="000000"/>
        </w:rPr>
        <w:t xml:space="preserve">reveal </w:t>
      </w:r>
      <w:r w:rsidR="0044198B">
        <w:rPr>
          <w:color w:val="000000"/>
        </w:rPr>
        <w:t xml:space="preserve">his </w:t>
      </w:r>
      <w:r w:rsidR="00BD1275">
        <w:rPr>
          <w:color w:val="000000"/>
        </w:rPr>
        <w:t xml:space="preserve">being </w:t>
      </w:r>
      <w:r w:rsidR="00E753FC">
        <w:rPr>
          <w:color w:val="000000"/>
        </w:rPr>
        <w:t>robbed and</w:t>
      </w:r>
      <w:r w:rsidR="00E87410">
        <w:rPr>
          <w:color w:val="000000"/>
        </w:rPr>
        <w:t xml:space="preserve"> left naked</w:t>
      </w:r>
      <w:r w:rsidR="000B10C2">
        <w:rPr>
          <w:color w:val="000000"/>
        </w:rPr>
        <w:t>.</w:t>
      </w:r>
      <w:r w:rsidR="001D06DC">
        <w:rPr>
          <w:rStyle w:val="FootnoteReference"/>
          <w:color w:val="000000"/>
        </w:rPr>
        <w:footnoteReference w:id="13"/>
      </w:r>
      <w:r w:rsidR="002B466A">
        <w:rPr>
          <w:color w:val="000000"/>
        </w:rPr>
        <w:t xml:space="preserve">  </w:t>
      </w:r>
      <w:r w:rsidR="002C5B26">
        <w:rPr>
          <w:color w:val="000000"/>
        </w:rPr>
        <w:t xml:space="preserve">Perhaps </w:t>
      </w:r>
      <w:r w:rsidR="002B466A">
        <w:rPr>
          <w:color w:val="000000"/>
        </w:rPr>
        <w:t>Roger felt loyalty to Henry and left these details out or th</w:t>
      </w:r>
      <w:r w:rsidR="00012335">
        <w:rPr>
          <w:color w:val="000000"/>
        </w:rPr>
        <w:t xml:space="preserve">ought it </w:t>
      </w:r>
      <w:r w:rsidR="00E753FC">
        <w:rPr>
          <w:color w:val="000000"/>
        </w:rPr>
        <w:t>too demeaning to a king to record it</w:t>
      </w:r>
      <w:r w:rsidR="00A811C6">
        <w:rPr>
          <w:color w:val="000000"/>
        </w:rPr>
        <w:t xml:space="preserve">. </w:t>
      </w:r>
      <w:r w:rsidR="00BC14A3">
        <w:rPr>
          <w:color w:val="000000"/>
        </w:rPr>
        <w:t>The</w:t>
      </w:r>
      <w:r w:rsidR="007463D7">
        <w:rPr>
          <w:color w:val="000000"/>
        </w:rPr>
        <w:t>n the</w:t>
      </w:r>
      <w:r w:rsidR="00BC14A3">
        <w:rPr>
          <w:color w:val="000000"/>
        </w:rPr>
        <w:t xml:space="preserve"> </w:t>
      </w:r>
      <w:r>
        <w:rPr>
          <w:color w:val="000000"/>
        </w:rPr>
        <w:t>corpse speak</w:t>
      </w:r>
      <w:r w:rsidR="00BC14A3">
        <w:rPr>
          <w:color w:val="000000"/>
        </w:rPr>
        <w:t>s</w:t>
      </w:r>
      <w:r>
        <w:rPr>
          <w:color w:val="000000"/>
        </w:rPr>
        <w:t xml:space="preserve"> or </w:t>
      </w:r>
      <w:r w:rsidR="00B66EC8">
        <w:rPr>
          <w:color w:val="000000"/>
        </w:rPr>
        <w:t>“</w:t>
      </w:r>
      <w:r w:rsidR="00BC14A3">
        <w:rPr>
          <w:color w:val="000000"/>
        </w:rPr>
        <w:t>accuses</w:t>
      </w:r>
      <w:r w:rsidR="002D448F">
        <w:rPr>
          <w:color w:val="000000"/>
        </w:rPr>
        <w:t>.”</w:t>
      </w:r>
      <w:r>
        <w:rPr>
          <w:color w:val="000000"/>
        </w:rPr>
        <w:t xml:space="preserve"> His nose runs with blood at the approach of his son Richard.</w:t>
      </w:r>
      <w:r w:rsidR="004B1CE4">
        <w:rPr>
          <w:rStyle w:val="FootnoteReference"/>
          <w:color w:val="000000"/>
        </w:rPr>
        <w:footnoteReference w:id="14"/>
      </w:r>
      <w:r>
        <w:rPr>
          <w:color w:val="000000"/>
        </w:rPr>
        <w:t xml:space="preserve">  Henry had been plagued throughout his reign with revolts from his sons</w:t>
      </w:r>
      <w:r w:rsidR="00BB551E">
        <w:rPr>
          <w:color w:val="000000"/>
        </w:rPr>
        <w:t xml:space="preserve"> </w:t>
      </w:r>
      <w:r w:rsidR="009F2023">
        <w:rPr>
          <w:rStyle w:val="FootnoteReference"/>
          <w:color w:val="000000"/>
        </w:rPr>
        <w:footnoteReference w:id="15"/>
      </w:r>
      <w:r w:rsidR="00600406">
        <w:rPr>
          <w:color w:val="000000"/>
        </w:rPr>
        <w:t xml:space="preserve"> </w:t>
      </w:r>
      <w:r w:rsidR="00BB551E">
        <w:rPr>
          <w:color w:val="000000"/>
        </w:rPr>
        <w:t>and wife.</w:t>
      </w:r>
      <w:r w:rsidR="00BB551E">
        <w:rPr>
          <w:rStyle w:val="FootnoteReference"/>
          <w:color w:val="000000"/>
        </w:rPr>
        <w:footnoteReference w:id="16"/>
      </w:r>
      <w:r w:rsidR="00600406">
        <w:rPr>
          <w:color w:val="000000"/>
        </w:rPr>
        <w:t xml:space="preserve"> When and if the nose bled is still unknown</w:t>
      </w:r>
      <w:r w:rsidR="00B57217">
        <w:rPr>
          <w:color w:val="000000"/>
        </w:rPr>
        <w:t xml:space="preserve"> but the </w:t>
      </w:r>
      <w:r w:rsidR="007D6076">
        <w:rPr>
          <w:color w:val="000000"/>
        </w:rPr>
        <w:t xml:space="preserve">family problems </w:t>
      </w:r>
      <w:r w:rsidR="00373272">
        <w:rPr>
          <w:color w:val="000000"/>
        </w:rPr>
        <w:t>were</w:t>
      </w:r>
      <w:r w:rsidR="007D6076">
        <w:rPr>
          <w:color w:val="000000"/>
        </w:rPr>
        <w:t xml:space="preserve"> well known. </w:t>
      </w:r>
      <w:r w:rsidR="00796A91">
        <w:rPr>
          <w:color w:val="000000"/>
        </w:rPr>
        <w:t>H</w:t>
      </w:r>
      <w:r w:rsidR="00600406">
        <w:rPr>
          <w:color w:val="000000"/>
        </w:rPr>
        <w:t xml:space="preserve">enry’s </w:t>
      </w:r>
      <w:r w:rsidR="00796A91">
        <w:rPr>
          <w:color w:val="000000"/>
        </w:rPr>
        <w:t>sons</w:t>
      </w:r>
      <w:r w:rsidR="00C94EDF">
        <w:rPr>
          <w:color w:val="000000"/>
        </w:rPr>
        <w:t xml:space="preserve"> and wife </w:t>
      </w:r>
      <w:r w:rsidR="00796A91">
        <w:rPr>
          <w:color w:val="000000"/>
        </w:rPr>
        <w:t xml:space="preserve">colluded with </w:t>
      </w:r>
      <w:r w:rsidR="00563D88">
        <w:rPr>
          <w:color w:val="000000"/>
        </w:rPr>
        <w:t xml:space="preserve">the kings of France </w:t>
      </w:r>
      <w:r w:rsidR="00532E8F">
        <w:rPr>
          <w:color w:val="000000"/>
        </w:rPr>
        <w:t>in a tangled family tale</w:t>
      </w:r>
      <w:r w:rsidR="009F24B1">
        <w:rPr>
          <w:color w:val="000000"/>
        </w:rPr>
        <w:t xml:space="preserve">. </w:t>
      </w:r>
      <w:r w:rsidR="00EA5C4B">
        <w:rPr>
          <w:color w:val="000000"/>
        </w:rPr>
        <w:t>But this chronicle in its brevity only discusses Richard, either because he was the only one in attendance upon the body or because his</w:t>
      </w:r>
      <w:r w:rsidR="00CB321C">
        <w:rPr>
          <w:color w:val="000000"/>
        </w:rPr>
        <w:t xml:space="preserve"> </w:t>
      </w:r>
      <w:r w:rsidR="007B6187">
        <w:rPr>
          <w:color w:val="000000"/>
        </w:rPr>
        <w:t>betrayal came at the end</w:t>
      </w:r>
      <w:r w:rsidR="00802A88">
        <w:rPr>
          <w:color w:val="000000"/>
        </w:rPr>
        <w:t xml:space="preserve">. </w:t>
      </w:r>
      <w:r w:rsidR="00633199">
        <w:rPr>
          <w:color w:val="000000"/>
        </w:rPr>
        <w:t>Omitting</w:t>
      </w:r>
      <w:r w:rsidR="00A92302">
        <w:rPr>
          <w:color w:val="000000"/>
        </w:rPr>
        <w:t xml:space="preserve"> </w:t>
      </w:r>
      <w:r w:rsidR="00FF2049">
        <w:rPr>
          <w:color w:val="000000"/>
        </w:rPr>
        <w:t>Henry’s</w:t>
      </w:r>
      <w:r w:rsidR="00FE12B8">
        <w:rPr>
          <w:color w:val="000000"/>
        </w:rPr>
        <w:t xml:space="preserve"> </w:t>
      </w:r>
      <w:r w:rsidR="00633199">
        <w:rPr>
          <w:color w:val="000000"/>
        </w:rPr>
        <w:t xml:space="preserve">kind </w:t>
      </w:r>
      <w:r w:rsidR="00FE12B8">
        <w:rPr>
          <w:color w:val="000000"/>
        </w:rPr>
        <w:t xml:space="preserve">death bed words to his illegitimate son Geoffrey </w:t>
      </w:r>
      <w:r w:rsidR="003E1607">
        <w:rPr>
          <w:color w:val="000000"/>
        </w:rPr>
        <w:t xml:space="preserve">and William Marshal being bedside </w:t>
      </w:r>
      <w:r w:rsidR="002D4F96">
        <w:rPr>
          <w:color w:val="000000"/>
        </w:rPr>
        <w:t xml:space="preserve">was </w:t>
      </w:r>
      <w:r w:rsidR="00FE12B8">
        <w:rPr>
          <w:color w:val="000000"/>
        </w:rPr>
        <w:t>perhaps out of deference to Richard</w:t>
      </w:r>
      <w:r w:rsidR="00612148">
        <w:rPr>
          <w:color w:val="000000"/>
        </w:rPr>
        <w:t>’s feelings</w:t>
      </w:r>
      <w:r w:rsidR="00FE12B8">
        <w:rPr>
          <w:color w:val="000000"/>
        </w:rPr>
        <w:t>.</w:t>
      </w:r>
      <w:r w:rsidR="000E69EB">
        <w:rPr>
          <w:color w:val="000000"/>
        </w:rPr>
        <w:t xml:space="preserve"> </w:t>
      </w:r>
      <w:r w:rsidR="000E69EB">
        <w:rPr>
          <w:rStyle w:val="FootnoteReference"/>
          <w:color w:val="000000"/>
        </w:rPr>
        <w:footnoteReference w:id="17"/>
      </w:r>
      <w:r w:rsidR="00FE12B8">
        <w:rPr>
          <w:color w:val="000000"/>
        </w:rPr>
        <w:t xml:space="preserve"> </w:t>
      </w:r>
      <w:r w:rsidR="00A9404D">
        <w:rPr>
          <w:color w:val="000000"/>
        </w:rPr>
        <w:t xml:space="preserve"> </w:t>
      </w:r>
    </w:p>
    <w:p w14:paraId="69B3828E" w14:textId="77777777" w:rsidR="00F20209" w:rsidRDefault="0001313E" w:rsidP="005A4158">
      <w:pPr>
        <w:pStyle w:val="hbodytext"/>
        <w:spacing w:before="180" w:beforeAutospacing="0" w:after="180" w:afterAutospacing="0" w:line="240" w:lineRule="atLeast"/>
        <w:rPr>
          <w:color w:val="000000"/>
        </w:rPr>
      </w:pPr>
      <w:r>
        <w:rPr>
          <w:color w:val="000000"/>
        </w:rPr>
        <w:t xml:space="preserve">Henry was told of his son John’s </w:t>
      </w:r>
      <w:r w:rsidR="009A351A">
        <w:rPr>
          <w:color w:val="000000"/>
        </w:rPr>
        <w:t>defection</w:t>
      </w:r>
      <w:r>
        <w:rPr>
          <w:color w:val="000000"/>
        </w:rPr>
        <w:t xml:space="preserve"> to Richard</w:t>
      </w:r>
      <w:r w:rsidR="009A351A">
        <w:rPr>
          <w:color w:val="000000"/>
        </w:rPr>
        <w:t xml:space="preserve"> </w:t>
      </w:r>
      <w:r>
        <w:rPr>
          <w:color w:val="000000"/>
        </w:rPr>
        <w:t>as he lay dying sen</w:t>
      </w:r>
      <w:r w:rsidR="00E97651">
        <w:rPr>
          <w:color w:val="000000"/>
        </w:rPr>
        <w:t>ding</w:t>
      </w:r>
      <w:r>
        <w:rPr>
          <w:color w:val="000000"/>
        </w:rPr>
        <w:t xml:space="preserve"> him into a “delirium</w:t>
      </w:r>
      <w:r w:rsidR="00955C05">
        <w:rPr>
          <w:color w:val="000000"/>
        </w:rPr>
        <w:t>.”</w:t>
      </w:r>
      <w:r w:rsidR="00A632B3">
        <w:rPr>
          <w:color w:val="000000"/>
        </w:rPr>
        <w:t xml:space="preserve"> </w:t>
      </w:r>
      <w:r w:rsidR="00955C05">
        <w:rPr>
          <w:rStyle w:val="FootnoteReference"/>
          <w:color w:val="000000"/>
        </w:rPr>
        <w:footnoteReference w:id="18"/>
      </w:r>
      <w:r w:rsidR="00A632B3">
        <w:rPr>
          <w:color w:val="000000"/>
        </w:rPr>
        <w:t xml:space="preserve"> </w:t>
      </w:r>
      <w:r w:rsidR="004B3934">
        <w:rPr>
          <w:color w:val="000000"/>
        </w:rPr>
        <w:t>In 1189 just before his death his son Richard and King Phil</w:t>
      </w:r>
      <w:r w:rsidR="0076020C">
        <w:rPr>
          <w:color w:val="000000"/>
        </w:rPr>
        <w:t xml:space="preserve">ip of France invaded </w:t>
      </w:r>
      <w:r w:rsidR="0007779D">
        <w:rPr>
          <w:color w:val="000000"/>
        </w:rPr>
        <w:t>Maine and Touraine</w:t>
      </w:r>
      <w:r w:rsidR="005A5B9A">
        <w:rPr>
          <w:color w:val="000000"/>
        </w:rPr>
        <w:t xml:space="preserve"> </w:t>
      </w:r>
      <w:r w:rsidR="00766723">
        <w:rPr>
          <w:color w:val="000000"/>
        </w:rPr>
        <w:t>conquering H</w:t>
      </w:r>
      <w:r w:rsidR="0007779D">
        <w:rPr>
          <w:color w:val="000000"/>
        </w:rPr>
        <w:t>enry’s birthplace</w:t>
      </w:r>
      <w:r w:rsidR="00622C05">
        <w:rPr>
          <w:color w:val="000000"/>
        </w:rPr>
        <w:t xml:space="preserve"> </w:t>
      </w:r>
      <w:r w:rsidR="0007779D">
        <w:rPr>
          <w:color w:val="000000"/>
        </w:rPr>
        <w:t xml:space="preserve">Le Mans. </w:t>
      </w:r>
      <w:r w:rsidR="001528E4">
        <w:rPr>
          <w:color w:val="000000"/>
        </w:rPr>
        <w:t>He succumbed to his illness and died even as his son</w:t>
      </w:r>
      <w:r w:rsidR="00434E00">
        <w:rPr>
          <w:color w:val="000000"/>
        </w:rPr>
        <w:t>s</w:t>
      </w:r>
      <w:r w:rsidR="001528E4">
        <w:rPr>
          <w:color w:val="000000"/>
        </w:rPr>
        <w:t xml:space="preserve"> </w:t>
      </w:r>
      <w:r w:rsidR="00BF2AC7">
        <w:rPr>
          <w:color w:val="000000"/>
        </w:rPr>
        <w:t xml:space="preserve">betrayed </w:t>
      </w:r>
      <w:r w:rsidR="001528E4">
        <w:rPr>
          <w:color w:val="000000"/>
        </w:rPr>
        <w:t xml:space="preserve">him. </w:t>
      </w:r>
      <w:r w:rsidR="0007779D">
        <w:rPr>
          <w:rStyle w:val="FootnoteReference"/>
          <w:color w:val="000000"/>
        </w:rPr>
        <w:footnoteReference w:id="19"/>
      </w:r>
      <w:r w:rsidR="001528E4">
        <w:rPr>
          <w:color w:val="000000"/>
        </w:rPr>
        <w:t xml:space="preserve"> </w:t>
      </w:r>
      <w:r w:rsidR="002A551D">
        <w:rPr>
          <w:color w:val="000000"/>
        </w:rPr>
        <w:t xml:space="preserve">Henry was known for </w:t>
      </w:r>
      <w:r w:rsidR="00287780">
        <w:rPr>
          <w:color w:val="000000"/>
        </w:rPr>
        <w:t xml:space="preserve">his </w:t>
      </w:r>
      <w:r w:rsidR="002A551D">
        <w:rPr>
          <w:color w:val="000000"/>
        </w:rPr>
        <w:t>anger</w:t>
      </w:r>
      <w:r w:rsidR="00D6139F">
        <w:rPr>
          <w:color w:val="000000"/>
        </w:rPr>
        <w:t xml:space="preserve"> </w:t>
      </w:r>
      <w:r w:rsidR="00D6139F">
        <w:rPr>
          <w:rStyle w:val="FootnoteReference"/>
          <w:color w:val="000000"/>
        </w:rPr>
        <w:footnoteReference w:id="20"/>
      </w:r>
      <w:r w:rsidR="002A551D">
        <w:rPr>
          <w:color w:val="000000"/>
        </w:rPr>
        <w:t xml:space="preserve"> </w:t>
      </w:r>
      <w:r w:rsidR="00287780">
        <w:rPr>
          <w:color w:val="000000"/>
        </w:rPr>
        <w:t xml:space="preserve">and </w:t>
      </w:r>
      <w:r w:rsidR="002A551D">
        <w:rPr>
          <w:color w:val="000000"/>
        </w:rPr>
        <w:t xml:space="preserve">perhaps </w:t>
      </w:r>
      <w:r w:rsidR="004C7A3A">
        <w:rPr>
          <w:color w:val="000000"/>
        </w:rPr>
        <w:t>postmortem</w:t>
      </w:r>
      <w:r w:rsidR="002A551D">
        <w:rPr>
          <w:color w:val="000000"/>
        </w:rPr>
        <w:t xml:space="preserve"> his blood boiled at the approach </w:t>
      </w:r>
      <w:r w:rsidR="005F6F66">
        <w:rPr>
          <w:color w:val="000000"/>
        </w:rPr>
        <w:t>of Richard</w:t>
      </w:r>
      <w:r w:rsidR="00622C05">
        <w:rPr>
          <w:color w:val="000000"/>
        </w:rPr>
        <w:t xml:space="preserve">. </w:t>
      </w:r>
    </w:p>
    <w:p w14:paraId="3D74A674" w14:textId="4B35CAD7" w:rsidR="0069698E" w:rsidRDefault="0049129B" w:rsidP="005A4158">
      <w:pPr>
        <w:pStyle w:val="hbodytext"/>
        <w:spacing w:before="180" w:beforeAutospacing="0" w:after="180" w:afterAutospacing="0" w:line="240" w:lineRule="atLeast"/>
        <w:rPr>
          <w:color w:val="000000"/>
        </w:rPr>
      </w:pPr>
      <w:r>
        <w:rPr>
          <w:color w:val="000000"/>
        </w:rPr>
        <w:t>Did Henry bleed</w:t>
      </w:r>
      <w:r w:rsidR="00EC4A3C">
        <w:rPr>
          <w:color w:val="000000"/>
        </w:rPr>
        <w:t xml:space="preserve"> and when</w:t>
      </w:r>
      <w:r>
        <w:rPr>
          <w:color w:val="000000"/>
        </w:rPr>
        <w:t xml:space="preserve"> and why?</w:t>
      </w:r>
      <w:r w:rsidR="00520B4A">
        <w:rPr>
          <w:color w:val="000000"/>
        </w:rPr>
        <w:t xml:space="preserve"> </w:t>
      </w:r>
      <w:r w:rsidR="00027501">
        <w:rPr>
          <w:color w:val="000000"/>
        </w:rPr>
        <w:t>There is a longer account</w:t>
      </w:r>
      <w:r w:rsidR="00D02D34">
        <w:rPr>
          <w:color w:val="000000"/>
        </w:rPr>
        <w:t xml:space="preserve"> with more blood</w:t>
      </w:r>
      <w:r w:rsidR="009B1200">
        <w:rPr>
          <w:color w:val="000000"/>
        </w:rPr>
        <w:t xml:space="preserve"> </w:t>
      </w:r>
      <w:r w:rsidR="009C4D7F">
        <w:rPr>
          <w:color w:val="000000"/>
        </w:rPr>
        <w:t xml:space="preserve">with </w:t>
      </w:r>
      <w:r w:rsidR="00027501">
        <w:rPr>
          <w:color w:val="000000"/>
        </w:rPr>
        <w:t>Henry</w:t>
      </w:r>
      <w:r w:rsidR="009B1200">
        <w:rPr>
          <w:color w:val="000000"/>
        </w:rPr>
        <w:t>’</w:t>
      </w:r>
      <w:r w:rsidR="00851D24">
        <w:rPr>
          <w:color w:val="000000"/>
        </w:rPr>
        <w:t>s</w:t>
      </w:r>
      <w:r w:rsidR="009C4D7F">
        <w:rPr>
          <w:color w:val="000000"/>
        </w:rPr>
        <w:t xml:space="preserve"> bleeding </w:t>
      </w:r>
      <w:r w:rsidR="00851D24">
        <w:rPr>
          <w:color w:val="000000"/>
        </w:rPr>
        <w:t>as</w:t>
      </w:r>
      <w:r w:rsidR="009C4D7F">
        <w:rPr>
          <w:color w:val="000000"/>
        </w:rPr>
        <w:t xml:space="preserve"> </w:t>
      </w:r>
      <w:r w:rsidR="004615FF">
        <w:rPr>
          <w:color w:val="000000"/>
        </w:rPr>
        <w:t xml:space="preserve">an </w:t>
      </w:r>
      <w:r w:rsidR="00027501">
        <w:rPr>
          <w:color w:val="000000"/>
        </w:rPr>
        <w:t>accus</w:t>
      </w:r>
      <w:r w:rsidR="00851D24">
        <w:rPr>
          <w:color w:val="000000"/>
        </w:rPr>
        <w:t xml:space="preserve">ation </w:t>
      </w:r>
      <w:r w:rsidR="00027501">
        <w:rPr>
          <w:color w:val="000000"/>
        </w:rPr>
        <w:t xml:space="preserve">of murder </w:t>
      </w:r>
      <w:r w:rsidR="00D1029B">
        <w:rPr>
          <w:color w:val="000000"/>
        </w:rPr>
        <w:t xml:space="preserve">which a </w:t>
      </w:r>
      <w:r w:rsidR="00A04917">
        <w:rPr>
          <w:color w:val="000000"/>
        </w:rPr>
        <w:t>shocked</w:t>
      </w:r>
      <w:r w:rsidR="00F0366C">
        <w:rPr>
          <w:color w:val="000000"/>
        </w:rPr>
        <w:t xml:space="preserve"> </w:t>
      </w:r>
      <w:r w:rsidR="00D1029B">
        <w:rPr>
          <w:color w:val="000000"/>
        </w:rPr>
        <w:t>Richard admits</w:t>
      </w:r>
      <w:r w:rsidR="00EF7EA4">
        <w:rPr>
          <w:color w:val="000000"/>
        </w:rPr>
        <w:t>.</w:t>
      </w:r>
      <w:r w:rsidR="00EF7EA4">
        <w:rPr>
          <w:rStyle w:val="FootnoteReference"/>
          <w:color w:val="000000"/>
        </w:rPr>
        <w:footnoteReference w:id="21"/>
      </w:r>
      <w:r w:rsidR="00625EEF">
        <w:rPr>
          <w:color w:val="000000"/>
        </w:rPr>
        <w:t xml:space="preserve"> </w:t>
      </w:r>
      <w:r w:rsidR="006E3A90">
        <w:rPr>
          <w:color w:val="000000"/>
        </w:rPr>
        <w:t>Source</w:t>
      </w:r>
      <w:r w:rsidR="005A6C6C">
        <w:rPr>
          <w:color w:val="000000"/>
        </w:rPr>
        <w:t>s</w:t>
      </w:r>
      <w:r w:rsidR="006E3A90">
        <w:rPr>
          <w:color w:val="000000"/>
        </w:rPr>
        <w:t xml:space="preserve"> in footnote thirteen above </w:t>
      </w:r>
      <w:r w:rsidR="006E3A90">
        <w:rPr>
          <w:color w:val="000000"/>
        </w:rPr>
        <w:t>had the bleeding at time of death not upon Richard’s arrival</w:t>
      </w:r>
      <w:r w:rsidR="00974879">
        <w:rPr>
          <w:color w:val="000000"/>
        </w:rPr>
        <w:t>.</w:t>
      </w:r>
      <w:r w:rsidR="00D83152">
        <w:rPr>
          <w:color w:val="000000"/>
        </w:rPr>
        <w:t xml:space="preserve"> By</w:t>
      </w:r>
      <w:r w:rsidR="00402835">
        <w:rPr>
          <w:color w:val="000000"/>
        </w:rPr>
        <w:t xml:space="preserve"> the 12</w:t>
      </w:r>
      <w:r w:rsidR="00402835" w:rsidRPr="00402835">
        <w:rPr>
          <w:color w:val="000000"/>
          <w:vertAlign w:val="superscript"/>
        </w:rPr>
        <w:t>th</w:t>
      </w:r>
      <w:r w:rsidR="00402835">
        <w:rPr>
          <w:color w:val="000000"/>
        </w:rPr>
        <w:t xml:space="preserve"> century </w:t>
      </w:r>
      <w:r w:rsidR="00B42365">
        <w:rPr>
          <w:color w:val="000000"/>
        </w:rPr>
        <w:t>medical knowledge was gaining ground against superstition</w:t>
      </w:r>
      <w:r w:rsidR="005F6F66">
        <w:rPr>
          <w:color w:val="000000"/>
        </w:rPr>
        <w:t xml:space="preserve"> and perhaps Roger himself did not believe it was anything other than </w:t>
      </w:r>
      <w:r w:rsidR="00DF45C9">
        <w:rPr>
          <w:color w:val="000000"/>
        </w:rPr>
        <w:t xml:space="preserve">a </w:t>
      </w:r>
      <w:r w:rsidR="005F6F66">
        <w:rPr>
          <w:color w:val="000000"/>
        </w:rPr>
        <w:t xml:space="preserve">natural </w:t>
      </w:r>
      <w:r w:rsidR="00DF45C9">
        <w:rPr>
          <w:color w:val="000000"/>
        </w:rPr>
        <w:t>phenomenon</w:t>
      </w:r>
      <w:r w:rsidR="00B42365">
        <w:rPr>
          <w:color w:val="000000"/>
        </w:rPr>
        <w:t>.</w:t>
      </w:r>
      <w:r w:rsidR="00B42365">
        <w:rPr>
          <w:rStyle w:val="FootnoteReference"/>
          <w:color w:val="000000"/>
        </w:rPr>
        <w:footnoteReference w:id="22"/>
      </w:r>
      <w:r w:rsidR="00B42365">
        <w:rPr>
          <w:color w:val="000000"/>
        </w:rPr>
        <w:t xml:space="preserve"> </w:t>
      </w:r>
      <w:r w:rsidR="002738EE">
        <w:rPr>
          <w:color w:val="000000"/>
        </w:rPr>
        <w:t xml:space="preserve"> So to </w:t>
      </w:r>
      <w:r w:rsidR="00F41307">
        <w:rPr>
          <w:color w:val="000000"/>
        </w:rPr>
        <w:t xml:space="preserve">what degree </w:t>
      </w:r>
      <w:r w:rsidR="00D75A4E">
        <w:rPr>
          <w:color w:val="000000"/>
        </w:rPr>
        <w:t xml:space="preserve">does </w:t>
      </w:r>
      <w:r w:rsidR="009114F1">
        <w:rPr>
          <w:color w:val="000000"/>
        </w:rPr>
        <w:t>t</w:t>
      </w:r>
      <w:r w:rsidR="006054AA">
        <w:rPr>
          <w:color w:val="000000"/>
        </w:rPr>
        <w:t>he exact truth matter</w:t>
      </w:r>
      <w:r w:rsidR="009114F1">
        <w:rPr>
          <w:color w:val="000000"/>
        </w:rPr>
        <w:t xml:space="preserve">: </w:t>
      </w:r>
      <w:r w:rsidR="00A2693C">
        <w:rPr>
          <w:color w:val="000000"/>
        </w:rPr>
        <w:t>“History is not reality, not a sequence of events, but a means of “recognizing”</w:t>
      </w:r>
      <w:r w:rsidR="00803B8D">
        <w:rPr>
          <w:color w:val="000000"/>
        </w:rPr>
        <w:t xml:space="preserve"> </w:t>
      </w:r>
      <w:r w:rsidR="002F3116">
        <w:rPr>
          <w:color w:val="000000"/>
        </w:rPr>
        <w:t>p</w:t>
      </w:r>
      <w:r w:rsidR="00803B8D">
        <w:rPr>
          <w:color w:val="000000"/>
        </w:rPr>
        <w:t>ast facts.</w:t>
      </w:r>
      <w:r w:rsidR="00DC3C9D">
        <w:rPr>
          <w:rStyle w:val="FootnoteReference"/>
          <w:color w:val="000000"/>
        </w:rPr>
        <w:footnoteReference w:id="23"/>
      </w:r>
      <w:r w:rsidR="00803B8D">
        <w:rPr>
          <w:color w:val="000000"/>
        </w:rPr>
        <w:t xml:space="preserve"> </w:t>
      </w:r>
      <w:r w:rsidR="006054AA">
        <w:rPr>
          <w:color w:val="000000"/>
        </w:rPr>
        <w:t>Either w</w:t>
      </w:r>
      <w:r w:rsidR="001D7C45">
        <w:rPr>
          <w:color w:val="000000"/>
        </w:rPr>
        <w:t>a</w:t>
      </w:r>
      <w:r w:rsidR="002F3116">
        <w:rPr>
          <w:color w:val="000000"/>
        </w:rPr>
        <w:t>y</w:t>
      </w:r>
      <w:r w:rsidR="001D7C45">
        <w:rPr>
          <w:color w:val="000000"/>
        </w:rPr>
        <w:t xml:space="preserve"> </w:t>
      </w:r>
      <w:r w:rsidR="006054AA">
        <w:rPr>
          <w:color w:val="000000"/>
        </w:rPr>
        <w:t xml:space="preserve">the point </w:t>
      </w:r>
      <w:r w:rsidR="00FC4B54">
        <w:rPr>
          <w:color w:val="000000"/>
        </w:rPr>
        <w:t>was</w:t>
      </w:r>
      <w:r w:rsidR="00DF1B02">
        <w:rPr>
          <w:color w:val="000000"/>
        </w:rPr>
        <w:t xml:space="preserve"> </w:t>
      </w:r>
      <w:r w:rsidR="00622C05">
        <w:rPr>
          <w:color w:val="000000"/>
        </w:rPr>
        <w:t xml:space="preserve">well </w:t>
      </w:r>
      <w:r w:rsidR="00DF1B02">
        <w:rPr>
          <w:color w:val="000000"/>
        </w:rPr>
        <w:t>made</w:t>
      </w:r>
      <w:r w:rsidR="00A75F9E">
        <w:rPr>
          <w:color w:val="000000"/>
        </w:rPr>
        <w:t xml:space="preserve"> that Henry suffered because of betrayal. </w:t>
      </w:r>
    </w:p>
    <w:p w14:paraId="0A0DAE55" w14:textId="7098DE61" w:rsidR="00E6278E" w:rsidRDefault="0011372B" w:rsidP="005A4158">
      <w:pPr>
        <w:pStyle w:val="hbodytext"/>
        <w:spacing w:before="180" w:beforeAutospacing="0" w:after="180" w:afterAutospacing="0" w:line="240" w:lineRule="atLeast"/>
        <w:rPr>
          <w:color w:val="000000"/>
        </w:rPr>
      </w:pPr>
      <w:r>
        <w:rPr>
          <w:color w:val="000000"/>
        </w:rPr>
        <w:lastRenderedPageBreak/>
        <w:t xml:space="preserve">Poignantly </w:t>
      </w:r>
      <w:r w:rsidR="00B208EE">
        <w:rPr>
          <w:color w:val="000000"/>
        </w:rPr>
        <w:t xml:space="preserve">the </w:t>
      </w:r>
      <w:r w:rsidR="006305C0">
        <w:rPr>
          <w:color w:val="000000"/>
        </w:rPr>
        <w:t>memorial at Fontevrault</w:t>
      </w:r>
      <w:r w:rsidR="006D4974">
        <w:rPr>
          <w:color w:val="000000"/>
        </w:rPr>
        <w:t xml:space="preserve"> </w:t>
      </w:r>
      <w:r w:rsidR="00E6278E">
        <w:rPr>
          <w:color w:val="000000"/>
        </w:rPr>
        <w:t>reads:</w:t>
      </w:r>
    </w:p>
    <w:p w14:paraId="4F9928C5" w14:textId="372A2356" w:rsidR="006D4974" w:rsidRPr="0069698E" w:rsidRDefault="006D4974" w:rsidP="00B45EC1">
      <w:pPr>
        <w:pStyle w:val="hbodytext"/>
        <w:spacing w:before="0" w:beforeAutospacing="0" w:after="0" w:afterAutospacing="0"/>
        <w:jc w:val="center"/>
        <w:rPr>
          <w:i/>
          <w:iCs/>
          <w:color w:val="000000"/>
        </w:rPr>
      </w:pPr>
      <w:r w:rsidRPr="0069698E">
        <w:rPr>
          <w:i/>
          <w:iCs/>
          <w:color w:val="000000"/>
        </w:rPr>
        <w:t>Eight feet of ground is now enough for me</w:t>
      </w:r>
    </w:p>
    <w:p w14:paraId="4B61BDF6" w14:textId="397AED8F" w:rsidR="006D4974" w:rsidRPr="0069698E" w:rsidRDefault="006D4974" w:rsidP="00B45EC1">
      <w:pPr>
        <w:pStyle w:val="hbodytext"/>
        <w:spacing w:before="0" w:beforeAutospacing="0" w:after="0" w:afterAutospacing="0"/>
        <w:jc w:val="center"/>
        <w:rPr>
          <w:i/>
          <w:iCs/>
          <w:color w:val="000000"/>
        </w:rPr>
      </w:pPr>
      <w:r w:rsidRPr="0069698E">
        <w:rPr>
          <w:i/>
          <w:iCs/>
          <w:color w:val="000000"/>
        </w:rPr>
        <w:t>Whom</w:t>
      </w:r>
      <w:r w:rsidR="00E6278E" w:rsidRPr="0069698E">
        <w:rPr>
          <w:i/>
          <w:iCs/>
          <w:color w:val="000000"/>
        </w:rPr>
        <w:t xml:space="preserve"> many kingdoms failed to satisfy</w:t>
      </w:r>
    </w:p>
    <w:p w14:paraId="3EDFA6B9" w14:textId="77777777" w:rsidR="00B45EC1" w:rsidRDefault="00E6278E" w:rsidP="00B45EC1">
      <w:pPr>
        <w:pStyle w:val="hbodytext"/>
        <w:spacing w:before="180" w:beforeAutospacing="0" w:after="180" w:afterAutospacing="0"/>
        <w:jc w:val="center"/>
        <w:rPr>
          <w:i/>
          <w:iCs/>
          <w:color w:val="000000"/>
        </w:rPr>
      </w:pPr>
      <w:r w:rsidRPr="0069698E">
        <w:rPr>
          <w:i/>
          <w:iCs/>
          <w:color w:val="000000"/>
        </w:rPr>
        <w:t>This scanty tomb doth now suffice</w:t>
      </w:r>
    </w:p>
    <w:p w14:paraId="7C4B9AD0" w14:textId="44BDC29C" w:rsidR="00FD0D43" w:rsidRPr="00B45EC1" w:rsidRDefault="00FD0D43" w:rsidP="00B45EC1">
      <w:pPr>
        <w:pStyle w:val="hbodytext"/>
        <w:spacing w:before="180" w:beforeAutospacing="0" w:after="180" w:afterAutospacing="0"/>
        <w:jc w:val="center"/>
        <w:rPr>
          <w:i/>
          <w:iCs/>
          <w:color w:val="000000"/>
        </w:rPr>
      </w:pPr>
      <w:r w:rsidRPr="0069698E">
        <w:rPr>
          <w:i/>
          <w:iCs/>
          <w:color w:val="000000"/>
        </w:rPr>
        <w:t>For whom the earth was not enough</w:t>
      </w:r>
      <w:r w:rsidR="0069698E">
        <w:rPr>
          <w:i/>
          <w:iCs/>
          <w:color w:val="000000"/>
        </w:rPr>
        <w:t xml:space="preserve"> </w:t>
      </w:r>
      <w:r w:rsidR="0069698E">
        <w:rPr>
          <w:rStyle w:val="FootnoteReference"/>
          <w:i/>
          <w:iCs/>
          <w:color w:val="000000"/>
        </w:rPr>
        <w:footnoteReference w:id="24"/>
      </w:r>
    </w:p>
    <w:p w14:paraId="394912CB" w14:textId="77777777" w:rsidR="004E6F9F" w:rsidRDefault="004E6F9F" w:rsidP="004E6F9F">
      <w:pPr>
        <w:pStyle w:val="hbodytext"/>
        <w:spacing w:before="180" w:beforeAutospacing="0" w:after="180" w:afterAutospacing="0"/>
        <w:jc w:val="center"/>
        <w:rPr>
          <w:color w:val="000000"/>
        </w:rPr>
      </w:pPr>
    </w:p>
    <w:p w14:paraId="5177BC36" w14:textId="6CD0420B" w:rsidR="004E6F9F" w:rsidRDefault="004E6F9F" w:rsidP="004E6F9F">
      <w:pPr>
        <w:pStyle w:val="hbodytext"/>
        <w:spacing w:before="180" w:beforeAutospacing="0" w:after="180" w:afterAutospacing="0" w:line="240" w:lineRule="atLeast"/>
        <w:rPr>
          <w:color w:val="000000"/>
        </w:rPr>
      </w:pPr>
      <w:r>
        <w:rPr>
          <w:color w:val="000000"/>
        </w:rPr>
        <w:t xml:space="preserve">In conclusion this </w:t>
      </w:r>
      <w:r w:rsidR="004B5B7B">
        <w:rPr>
          <w:color w:val="000000"/>
        </w:rPr>
        <w:t>text</w:t>
      </w:r>
      <w:r>
        <w:rPr>
          <w:color w:val="000000"/>
        </w:rPr>
        <w:t xml:space="preserve"> depict</w:t>
      </w:r>
      <w:r w:rsidR="000929D1">
        <w:rPr>
          <w:color w:val="000000"/>
        </w:rPr>
        <w:t>s the death</w:t>
      </w:r>
      <w:r>
        <w:rPr>
          <w:color w:val="000000"/>
        </w:rPr>
        <w:t xml:space="preserve"> of a great king</w:t>
      </w:r>
      <w:r w:rsidR="000929D1">
        <w:rPr>
          <w:color w:val="000000"/>
        </w:rPr>
        <w:t xml:space="preserve"> </w:t>
      </w:r>
      <w:r>
        <w:rPr>
          <w:color w:val="000000"/>
        </w:rPr>
        <w:t xml:space="preserve">complete with gold and God, a bleeding </w:t>
      </w:r>
      <w:r w:rsidR="00317C9D">
        <w:rPr>
          <w:color w:val="000000"/>
        </w:rPr>
        <w:t>nose,</w:t>
      </w:r>
      <w:r>
        <w:rPr>
          <w:color w:val="000000"/>
        </w:rPr>
        <w:t xml:space="preserve"> and the half mourning son. The chronicler gives us an accurate and spiritually appropriate concise timeline leaving to other writers </w:t>
      </w:r>
      <w:r w:rsidR="000929D1">
        <w:rPr>
          <w:color w:val="000000"/>
        </w:rPr>
        <w:t xml:space="preserve">more intricate </w:t>
      </w:r>
      <w:r>
        <w:rPr>
          <w:color w:val="000000"/>
        </w:rPr>
        <w:t>details.</w:t>
      </w:r>
    </w:p>
    <w:p w14:paraId="3FBA0B10" w14:textId="77777777" w:rsidR="004E6F9F" w:rsidRPr="003E09EA" w:rsidRDefault="004E6F9F" w:rsidP="004E6F9F">
      <w:pPr>
        <w:pStyle w:val="hbodytext"/>
        <w:spacing w:before="180" w:beforeAutospacing="0" w:after="180" w:afterAutospacing="0"/>
        <w:rPr>
          <w:color w:val="000000"/>
          <w:sz w:val="28"/>
          <w:szCs w:val="28"/>
        </w:rPr>
      </w:pPr>
    </w:p>
    <w:p w14:paraId="123888E9" w14:textId="77777777" w:rsidR="005A4158" w:rsidRDefault="005A4158"/>
    <w:p w14:paraId="0F6161F2" w14:textId="77777777" w:rsidR="0020206E" w:rsidRDefault="0020206E"/>
    <w:p w14:paraId="16FAF981" w14:textId="77777777" w:rsidR="0020206E" w:rsidRDefault="0020206E"/>
    <w:p w14:paraId="541135CB" w14:textId="77777777" w:rsidR="0020206E" w:rsidRDefault="0020206E"/>
    <w:p w14:paraId="267DBD03" w14:textId="77777777" w:rsidR="0020206E" w:rsidRDefault="0020206E"/>
    <w:p w14:paraId="74D52811" w14:textId="77777777" w:rsidR="0020206E" w:rsidRDefault="0020206E"/>
    <w:p w14:paraId="2E6DF602" w14:textId="77777777" w:rsidR="0020206E" w:rsidRDefault="0020206E"/>
    <w:p w14:paraId="0B6E0F4C" w14:textId="77777777" w:rsidR="0020206E" w:rsidRDefault="0020206E"/>
    <w:p w14:paraId="719D60D3" w14:textId="77777777" w:rsidR="0020206E" w:rsidRDefault="0020206E"/>
    <w:p w14:paraId="1E054C35" w14:textId="77777777" w:rsidR="0020206E" w:rsidRDefault="0020206E"/>
    <w:p w14:paraId="33E89937" w14:textId="77777777" w:rsidR="0020206E" w:rsidRDefault="0020206E"/>
    <w:p w14:paraId="335C36E7" w14:textId="77777777" w:rsidR="0020206E" w:rsidRDefault="0020206E"/>
    <w:p w14:paraId="38B28103" w14:textId="77777777" w:rsidR="0020206E" w:rsidRDefault="0020206E"/>
    <w:p w14:paraId="7221FE9E" w14:textId="77777777" w:rsidR="0020206E" w:rsidRDefault="0020206E"/>
    <w:p w14:paraId="1D5E8F18" w14:textId="77777777" w:rsidR="0020206E" w:rsidRDefault="0020206E"/>
    <w:p w14:paraId="6F60618F" w14:textId="77777777" w:rsidR="0020206E" w:rsidRDefault="0020206E"/>
    <w:p w14:paraId="0C8AE4FC" w14:textId="77777777" w:rsidR="0020206E" w:rsidRDefault="0020206E"/>
    <w:p w14:paraId="798D956D" w14:textId="77777777" w:rsidR="0020206E" w:rsidRDefault="0020206E"/>
    <w:p w14:paraId="707FD4F2" w14:textId="77777777" w:rsidR="0020206E" w:rsidRDefault="0020206E"/>
    <w:p w14:paraId="29C5B1AF" w14:textId="77777777" w:rsidR="0020206E" w:rsidRDefault="0020206E"/>
    <w:p w14:paraId="0EC450B5" w14:textId="77777777" w:rsidR="0020206E" w:rsidRDefault="0020206E"/>
    <w:p w14:paraId="1A934EC7" w14:textId="77777777" w:rsidR="0020206E" w:rsidRDefault="0020206E"/>
    <w:p w14:paraId="1D02BEED" w14:textId="77777777" w:rsidR="0020206E" w:rsidRDefault="0020206E"/>
    <w:p w14:paraId="3526AC17" w14:textId="77777777" w:rsidR="0020206E" w:rsidRDefault="0020206E"/>
    <w:p w14:paraId="760E89F0" w14:textId="77777777" w:rsidR="0020206E" w:rsidRDefault="0020206E"/>
    <w:p w14:paraId="64465843" w14:textId="77777777" w:rsidR="0020206E" w:rsidRDefault="0020206E"/>
    <w:p w14:paraId="2E43D649" w14:textId="77777777" w:rsidR="0020206E" w:rsidRDefault="0020206E"/>
    <w:p w14:paraId="335A265D" w14:textId="77777777" w:rsidR="008038BA" w:rsidRDefault="008038BA">
      <w:pPr>
        <w:rPr>
          <w:sz w:val="28"/>
          <w:szCs w:val="28"/>
          <w:u w:val="single"/>
        </w:rPr>
      </w:pPr>
    </w:p>
    <w:p w14:paraId="48728861" w14:textId="77777777" w:rsidR="002D0EE4" w:rsidRDefault="002D0EE4">
      <w:pPr>
        <w:rPr>
          <w:sz w:val="28"/>
          <w:szCs w:val="28"/>
          <w:u w:val="single"/>
        </w:rPr>
      </w:pPr>
    </w:p>
    <w:p w14:paraId="6E8D9E7A" w14:textId="77777777" w:rsidR="002D0EE4" w:rsidRDefault="002D0EE4">
      <w:pPr>
        <w:rPr>
          <w:sz w:val="28"/>
          <w:szCs w:val="28"/>
          <w:u w:val="single"/>
        </w:rPr>
      </w:pPr>
    </w:p>
    <w:p w14:paraId="5413FE4F" w14:textId="77777777" w:rsidR="002D0EE4" w:rsidRDefault="002D0EE4">
      <w:pPr>
        <w:rPr>
          <w:sz w:val="28"/>
          <w:szCs w:val="28"/>
          <w:u w:val="single"/>
        </w:rPr>
      </w:pPr>
    </w:p>
    <w:p w14:paraId="094D2D84" w14:textId="27AF834B" w:rsidR="0020206E" w:rsidRPr="004B5B7B" w:rsidRDefault="0020206E" w:rsidP="00066BBE">
      <w:pPr>
        <w:jc w:val="center"/>
        <w:rPr>
          <w:rFonts w:ascii="Times New Roman" w:hAnsi="Times New Roman" w:cs="Times New Roman"/>
          <w:sz w:val="28"/>
          <w:szCs w:val="28"/>
          <w:u w:val="single"/>
        </w:rPr>
      </w:pPr>
      <w:r w:rsidRPr="004B5B7B">
        <w:rPr>
          <w:rFonts w:ascii="Times New Roman" w:hAnsi="Times New Roman" w:cs="Times New Roman"/>
          <w:sz w:val="28"/>
          <w:szCs w:val="28"/>
          <w:u w:val="single"/>
        </w:rPr>
        <w:t>Bibliography</w:t>
      </w:r>
    </w:p>
    <w:p w14:paraId="28200443" w14:textId="77777777" w:rsidR="00212177" w:rsidRPr="004B5B7B" w:rsidRDefault="00212177">
      <w:pPr>
        <w:rPr>
          <w:rFonts w:ascii="Times New Roman" w:hAnsi="Times New Roman" w:cs="Times New Roman"/>
          <w:sz w:val="28"/>
          <w:szCs w:val="28"/>
          <w:u w:val="single"/>
        </w:rPr>
      </w:pPr>
    </w:p>
    <w:p w14:paraId="764E45A9" w14:textId="589F15C1" w:rsidR="00212177" w:rsidRPr="004B5B7B" w:rsidRDefault="00212177">
      <w:pPr>
        <w:rPr>
          <w:rFonts w:ascii="Times New Roman" w:hAnsi="Times New Roman" w:cs="Times New Roman"/>
          <w:sz w:val="24"/>
          <w:szCs w:val="24"/>
        </w:rPr>
      </w:pPr>
      <w:r w:rsidRPr="004B5B7B">
        <w:rPr>
          <w:rFonts w:ascii="Times New Roman" w:hAnsi="Times New Roman" w:cs="Times New Roman"/>
          <w:sz w:val="24"/>
          <w:szCs w:val="24"/>
        </w:rPr>
        <w:t>Anderson, Jeffrey</w:t>
      </w:r>
      <w:r w:rsidR="005110CA" w:rsidRPr="004B5B7B">
        <w:rPr>
          <w:rFonts w:ascii="Times New Roman" w:hAnsi="Times New Roman" w:cs="Times New Roman"/>
          <w:sz w:val="24"/>
          <w:szCs w:val="24"/>
        </w:rPr>
        <w:t>,</w:t>
      </w:r>
      <w:r w:rsidR="00562DDE"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The Angevin Dynasties of Europe 900-1500, Lords of the Greatest Part of the World</w:t>
      </w:r>
      <w:r w:rsidRPr="004B5B7B">
        <w:rPr>
          <w:rFonts w:ascii="Times New Roman" w:hAnsi="Times New Roman" w:cs="Times New Roman"/>
          <w:sz w:val="24"/>
          <w:szCs w:val="24"/>
        </w:rPr>
        <w:t>, Ramsebury: Robert Hale, The Crowood Press Ltd., 2019</w:t>
      </w:r>
    </w:p>
    <w:p w14:paraId="3C1B7183" w14:textId="724DF9BD" w:rsidR="00562DDE" w:rsidRPr="004B5B7B" w:rsidRDefault="00562DDE">
      <w:pPr>
        <w:rPr>
          <w:rFonts w:ascii="Times New Roman" w:hAnsi="Times New Roman" w:cs="Times New Roman"/>
          <w:sz w:val="24"/>
          <w:szCs w:val="24"/>
        </w:rPr>
      </w:pPr>
      <w:r w:rsidRPr="004B5B7B">
        <w:rPr>
          <w:rFonts w:ascii="Times New Roman" w:hAnsi="Times New Roman" w:cs="Times New Roman"/>
          <w:sz w:val="24"/>
          <w:szCs w:val="24"/>
        </w:rPr>
        <w:t xml:space="preserve">Barber, Richard </w:t>
      </w:r>
      <w:r w:rsidRPr="004B5B7B">
        <w:rPr>
          <w:rFonts w:ascii="Times New Roman" w:hAnsi="Times New Roman" w:cs="Times New Roman"/>
          <w:i/>
          <w:iCs/>
          <w:sz w:val="24"/>
          <w:szCs w:val="24"/>
        </w:rPr>
        <w:t xml:space="preserve">Henry Plantagenet 1133-1189, </w:t>
      </w:r>
      <w:r w:rsidRPr="004B5B7B">
        <w:rPr>
          <w:rFonts w:ascii="Times New Roman" w:hAnsi="Times New Roman" w:cs="Times New Roman"/>
          <w:sz w:val="24"/>
          <w:szCs w:val="24"/>
        </w:rPr>
        <w:t>(</w:t>
      </w:r>
      <w:r w:rsidR="00B22112" w:rsidRPr="004B5B7B">
        <w:rPr>
          <w:rFonts w:ascii="Times New Roman" w:hAnsi="Times New Roman" w:cs="Times New Roman"/>
          <w:sz w:val="24"/>
          <w:szCs w:val="24"/>
        </w:rPr>
        <w:t>USA: Barnes</w:t>
      </w:r>
      <w:r w:rsidRPr="004B5B7B">
        <w:rPr>
          <w:rFonts w:ascii="Times New Roman" w:hAnsi="Times New Roman" w:cs="Times New Roman"/>
          <w:sz w:val="24"/>
          <w:szCs w:val="24"/>
        </w:rPr>
        <w:t xml:space="preserve"> and Noble Books,1964</w:t>
      </w:r>
    </w:p>
    <w:p w14:paraId="29AF7941" w14:textId="49C0DAF4" w:rsidR="00EB1D14" w:rsidRPr="004B5B7B" w:rsidRDefault="00000000">
      <w:pPr>
        <w:rPr>
          <w:rFonts w:ascii="Times New Roman" w:eastAsia="Times New Roman" w:hAnsi="Times New Roman" w:cs="Times New Roman"/>
          <w:color w:val="000000" w:themeColor="text1"/>
          <w:sz w:val="24"/>
          <w:szCs w:val="24"/>
        </w:rPr>
      </w:pPr>
      <w:hyperlink r:id="rId7" w:history="1">
        <w:r w:rsidR="00EB1D14" w:rsidRPr="004B5B7B">
          <w:rPr>
            <w:rFonts w:ascii="Times New Roman" w:eastAsia="Times New Roman" w:hAnsi="Times New Roman" w:cs="Times New Roman"/>
            <w:color w:val="000000" w:themeColor="text1"/>
            <w:sz w:val="24"/>
            <w:szCs w:val="24"/>
          </w:rPr>
          <w:t>Barlow</w:t>
        </w:r>
      </w:hyperlink>
      <w:r w:rsidR="00EB1D14" w:rsidRPr="004B5B7B">
        <w:rPr>
          <w:rFonts w:ascii="Times New Roman" w:eastAsia="Times New Roman" w:hAnsi="Times New Roman" w:cs="Times New Roman"/>
          <w:color w:val="000000" w:themeColor="text1"/>
          <w:sz w:val="24"/>
          <w:szCs w:val="24"/>
        </w:rPr>
        <w:t xml:space="preserve">, </w:t>
      </w:r>
      <w:r w:rsidR="002D0EE4" w:rsidRPr="004B5B7B">
        <w:rPr>
          <w:rFonts w:ascii="Times New Roman" w:eastAsia="Times New Roman" w:hAnsi="Times New Roman" w:cs="Times New Roman"/>
          <w:color w:val="000000" w:themeColor="text1"/>
          <w:sz w:val="24"/>
          <w:szCs w:val="24"/>
        </w:rPr>
        <w:t xml:space="preserve">Frank, </w:t>
      </w:r>
      <w:r w:rsidR="00EB1D14" w:rsidRPr="004B5B7B">
        <w:rPr>
          <w:rFonts w:ascii="Times New Roman" w:eastAsia="Times New Roman" w:hAnsi="Times New Roman" w:cs="Times New Roman"/>
          <w:i/>
          <w:iCs/>
          <w:color w:val="000000" w:themeColor="text1"/>
          <w:sz w:val="24"/>
          <w:szCs w:val="24"/>
        </w:rPr>
        <w:t>Roger of Howden</w:t>
      </w:r>
      <w:r w:rsidR="00EB1D14" w:rsidRPr="004B5B7B">
        <w:rPr>
          <w:rFonts w:ascii="Times New Roman" w:eastAsia="Times New Roman" w:hAnsi="Times New Roman" w:cs="Times New Roman"/>
          <w:color w:val="000000" w:themeColor="text1"/>
          <w:sz w:val="24"/>
          <w:szCs w:val="24"/>
        </w:rPr>
        <w:t xml:space="preserve">, </w:t>
      </w:r>
      <w:r w:rsidR="00EB1D14" w:rsidRPr="004B5B7B">
        <w:rPr>
          <w:rFonts w:ascii="Times New Roman" w:eastAsia="Times New Roman" w:hAnsi="Times New Roman" w:cs="Times New Roman"/>
          <w:i/>
          <w:iCs/>
          <w:color w:val="000000" w:themeColor="text1"/>
          <w:sz w:val="24"/>
          <w:szCs w:val="24"/>
        </w:rPr>
        <w:t>The English Historical Review</w:t>
      </w:r>
      <w:r w:rsidR="00EB1D14" w:rsidRPr="004B5B7B">
        <w:rPr>
          <w:rFonts w:ascii="Times New Roman" w:eastAsia="Times New Roman" w:hAnsi="Times New Roman" w:cs="Times New Roman"/>
          <w:color w:val="000000" w:themeColor="text1"/>
          <w:sz w:val="24"/>
          <w:szCs w:val="24"/>
        </w:rPr>
        <w:t>, Volume LXV, Issue CCLVI, July 1950.</w:t>
      </w:r>
    </w:p>
    <w:p w14:paraId="445687E3" w14:textId="58C1876F" w:rsidR="008A5167" w:rsidRPr="004B5B7B" w:rsidRDefault="008A5167">
      <w:pPr>
        <w:rPr>
          <w:rFonts w:ascii="Times New Roman" w:eastAsia="Times New Roman" w:hAnsi="Times New Roman" w:cs="Times New Roman"/>
          <w:color w:val="000000" w:themeColor="text1"/>
          <w:sz w:val="24"/>
          <w:szCs w:val="24"/>
        </w:rPr>
      </w:pPr>
      <w:proofErr w:type="spellStart"/>
      <w:r w:rsidRPr="004B5B7B">
        <w:rPr>
          <w:rFonts w:ascii="Times New Roman" w:eastAsia="Times New Roman" w:hAnsi="Times New Roman" w:cs="Times New Roman"/>
          <w:color w:val="000000" w:themeColor="text1"/>
          <w:sz w:val="24"/>
          <w:szCs w:val="24"/>
        </w:rPr>
        <w:t>Breisach</w:t>
      </w:r>
      <w:proofErr w:type="spellEnd"/>
      <w:r w:rsidRPr="004B5B7B">
        <w:rPr>
          <w:rFonts w:ascii="Times New Roman" w:eastAsia="Times New Roman" w:hAnsi="Times New Roman" w:cs="Times New Roman"/>
          <w:color w:val="000000" w:themeColor="text1"/>
          <w:sz w:val="24"/>
          <w:szCs w:val="24"/>
        </w:rPr>
        <w:t>, Ernst</w:t>
      </w:r>
      <w:r w:rsidR="008E7841" w:rsidRPr="004B5B7B">
        <w:rPr>
          <w:rFonts w:ascii="Times New Roman" w:eastAsia="Times New Roman" w:hAnsi="Times New Roman" w:cs="Times New Roman"/>
          <w:color w:val="000000" w:themeColor="text1"/>
          <w:sz w:val="24"/>
          <w:szCs w:val="24"/>
        </w:rPr>
        <w:t xml:space="preserve">, </w:t>
      </w:r>
      <w:r w:rsidR="008E7841" w:rsidRPr="004B5B7B">
        <w:rPr>
          <w:rFonts w:ascii="Times New Roman" w:eastAsia="Times New Roman" w:hAnsi="Times New Roman" w:cs="Times New Roman"/>
          <w:i/>
          <w:iCs/>
          <w:color w:val="000000" w:themeColor="text1"/>
          <w:sz w:val="24"/>
          <w:szCs w:val="24"/>
        </w:rPr>
        <w:t>Histo</w:t>
      </w:r>
      <w:r w:rsidR="00EA0633" w:rsidRPr="004B5B7B">
        <w:rPr>
          <w:rFonts w:ascii="Times New Roman" w:eastAsia="Times New Roman" w:hAnsi="Times New Roman" w:cs="Times New Roman"/>
          <w:i/>
          <w:iCs/>
          <w:color w:val="000000" w:themeColor="text1"/>
          <w:sz w:val="24"/>
          <w:szCs w:val="24"/>
        </w:rPr>
        <w:t>rio</w:t>
      </w:r>
      <w:r w:rsidR="008E7841" w:rsidRPr="004B5B7B">
        <w:rPr>
          <w:rFonts w:ascii="Times New Roman" w:eastAsia="Times New Roman" w:hAnsi="Times New Roman" w:cs="Times New Roman"/>
          <w:i/>
          <w:iCs/>
          <w:color w:val="000000" w:themeColor="text1"/>
          <w:sz w:val="24"/>
          <w:szCs w:val="24"/>
        </w:rPr>
        <w:t>graphy,</w:t>
      </w:r>
      <w:r w:rsidR="008E7841" w:rsidRPr="004B5B7B">
        <w:rPr>
          <w:rFonts w:ascii="Times New Roman" w:eastAsia="Times New Roman" w:hAnsi="Times New Roman" w:cs="Times New Roman"/>
          <w:color w:val="000000" w:themeColor="text1"/>
          <w:sz w:val="24"/>
          <w:szCs w:val="24"/>
        </w:rPr>
        <w:t xml:space="preserve"> </w:t>
      </w:r>
      <w:r w:rsidR="008E7841" w:rsidRPr="004B5B7B">
        <w:rPr>
          <w:rFonts w:ascii="Times New Roman" w:eastAsia="Times New Roman" w:hAnsi="Times New Roman" w:cs="Times New Roman"/>
          <w:i/>
          <w:iCs/>
          <w:color w:val="000000" w:themeColor="text1"/>
          <w:sz w:val="24"/>
          <w:szCs w:val="24"/>
        </w:rPr>
        <w:t>Ancient, Medieval</w:t>
      </w:r>
      <w:r w:rsidR="00EA0633" w:rsidRPr="004B5B7B">
        <w:rPr>
          <w:rFonts w:ascii="Times New Roman" w:eastAsia="Times New Roman" w:hAnsi="Times New Roman" w:cs="Times New Roman"/>
          <w:i/>
          <w:iCs/>
          <w:color w:val="000000" w:themeColor="text1"/>
          <w:sz w:val="24"/>
          <w:szCs w:val="24"/>
        </w:rPr>
        <w:t>,</w:t>
      </w:r>
      <w:r w:rsidR="008E7841" w:rsidRPr="004B5B7B">
        <w:rPr>
          <w:rFonts w:ascii="Times New Roman" w:eastAsia="Times New Roman" w:hAnsi="Times New Roman" w:cs="Times New Roman"/>
          <w:i/>
          <w:iCs/>
          <w:color w:val="000000" w:themeColor="text1"/>
          <w:sz w:val="24"/>
          <w:szCs w:val="24"/>
        </w:rPr>
        <w:t xml:space="preserve"> and Modern</w:t>
      </w:r>
      <w:r w:rsidR="00EA0633" w:rsidRPr="004B5B7B">
        <w:rPr>
          <w:rFonts w:ascii="Times New Roman" w:eastAsia="Times New Roman" w:hAnsi="Times New Roman" w:cs="Times New Roman"/>
          <w:i/>
          <w:iCs/>
          <w:color w:val="000000" w:themeColor="text1"/>
          <w:sz w:val="24"/>
          <w:szCs w:val="24"/>
        </w:rPr>
        <w:t xml:space="preserve">, </w:t>
      </w:r>
      <w:r w:rsidR="00067253" w:rsidRPr="004B5B7B">
        <w:rPr>
          <w:rFonts w:ascii="Times New Roman" w:eastAsia="Times New Roman" w:hAnsi="Times New Roman" w:cs="Times New Roman"/>
          <w:color w:val="000000" w:themeColor="text1"/>
          <w:sz w:val="24"/>
          <w:szCs w:val="24"/>
        </w:rPr>
        <w:t>(Chicago: University of Chicago Press</w:t>
      </w:r>
      <w:r w:rsidR="00F3198A" w:rsidRPr="004B5B7B">
        <w:rPr>
          <w:rFonts w:ascii="Times New Roman" w:eastAsia="Times New Roman" w:hAnsi="Times New Roman" w:cs="Times New Roman"/>
          <w:color w:val="000000" w:themeColor="text1"/>
          <w:sz w:val="24"/>
          <w:szCs w:val="24"/>
        </w:rPr>
        <w:t xml:space="preserve"> 2007)</w:t>
      </w:r>
    </w:p>
    <w:p w14:paraId="44602335" w14:textId="1F5B80BE" w:rsidR="002D0EE4" w:rsidRPr="004B5B7B" w:rsidRDefault="002D0EE4">
      <w:pPr>
        <w:rPr>
          <w:rFonts w:ascii="Times New Roman" w:eastAsia="Times New Roman" w:hAnsi="Times New Roman" w:cs="Times New Roman"/>
          <w:color w:val="000000" w:themeColor="text1"/>
          <w:sz w:val="24"/>
          <w:szCs w:val="24"/>
        </w:rPr>
      </w:pPr>
      <w:r w:rsidRPr="004B5B7B">
        <w:rPr>
          <w:rFonts w:ascii="Times New Roman" w:eastAsia="Times New Roman" w:hAnsi="Times New Roman" w:cs="Times New Roman"/>
          <w:color w:val="000000" w:themeColor="text1"/>
          <w:sz w:val="24"/>
          <w:szCs w:val="24"/>
        </w:rPr>
        <w:t xml:space="preserve">Chibnall, Marjorie, </w:t>
      </w:r>
      <w:r w:rsidRPr="004B5B7B">
        <w:rPr>
          <w:rFonts w:ascii="Times New Roman" w:eastAsia="Times New Roman" w:hAnsi="Times New Roman" w:cs="Times New Roman"/>
          <w:i/>
          <w:iCs/>
          <w:color w:val="000000" w:themeColor="text1"/>
          <w:sz w:val="24"/>
          <w:szCs w:val="24"/>
        </w:rPr>
        <w:t>The Normans</w:t>
      </w:r>
      <w:r w:rsidRPr="004B5B7B">
        <w:rPr>
          <w:rFonts w:ascii="Times New Roman" w:eastAsia="Times New Roman" w:hAnsi="Times New Roman" w:cs="Times New Roman"/>
          <w:color w:val="000000" w:themeColor="text1"/>
          <w:sz w:val="24"/>
          <w:szCs w:val="24"/>
        </w:rPr>
        <w:t>,</w:t>
      </w:r>
      <w:r w:rsidR="00604CAA" w:rsidRPr="004B5B7B">
        <w:rPr>
          <w:rFonts w:ascii="Times New Roman" w:eastAsia="Times New Roman" w:hAnsi="Times New Roman" w:cs="Times New Roman"/>
          <w:color w:val="000000" w:themeColor="text1"/>
          <w:sz w:val="24"/>
          <w:szCs w:val="24"/>
        </w:rPr>
        <w:t xml:space="preserve"> (</w:t>
      </w:r>
      <w:r w:rsidR="006C7A51" w:rsidRPr="004B5B7B">
        <w:rPr>
          <w:rFonts w:ascii="Times New Roman" w:eastAsia="Times New Roman" w:hAnsi="Times New Roman" w:cs="Times New Roman"/>
          <w:color w:val="000000" w:themeColor="text1"/>
          <w:sz w:val="24"/>
          <w:szCs w:val="24"/>
        </w:rPr>
        <w:t>Oxford: Blackwell Publishers</w:t>
      </w:r>
      <w:r w:rsidR="00EF332E" w:rsidRPr="004B5B7B">
        <w:rPr>
          <w:rFonts w:ascii="Times New Roman" w:eastAsia="Times New Roman" w:hAnsi="Times New Roman" w:cs="Times New Roman"/>
          <w:color w:val="000000" w:themeColor="text1"/>
          <w:sz w:val="24"/>
          <w:szCs w:val="24"/>
        </w:rPr>
        <w:t>, 2000)</w:t>
      </w:r>
    </w:p>
    <w:p w14:paraId="77F309D0" w14:textId="31F6FCEC" w:rsidR="00EB1D14" w:rsidRPr="004B5B7B" w:rsidRDefault="00EB1D14">
      <w:pPr>
        <w:rPr>
          <w:rFonts w:ascii="Times New Roman" w:hAnsi="Times New Roman" w:cs="Times New Roman"/>
          <w:color w:val="000000" w:themeColor="text1"/>
          <w:sz w:val="24"/>
          <w:szCs w:val="24"/>
        </w:rPr>
      </w:pPr>
      <w:r w:rsidRPr="004B5B7B">
        <w:rPr>
          <w:rFonts w:ascii="Times New Roman" w:hAnsi="Times New Roman" w:cs="Times New Roman"/>
          <w:color w:val="000000" w:themeColor="text1"/>
          <w:sz w:val="24"/>
          <w:szCs w:val="24"/>
        </w:rPr>
        <w:t xml:space="preserve">Gillingham, John, </w:t>
      </w:r>
      <w:r w:rsidRPr="004B5B7B">
        <w:rPr>
          <w:rFonts w:ascii="Times New Roman" w:hAnsi="Times New Roman" w:cs="Times New Roman"/>
          <w:i/>
          <w:iCs/>
          <w:color w:val="000000" w:themeColor="text1"/>
          <w:sz w:val="24"/>
          <w:szCs w:val="24"/>
        </w:rPr>
        <w:t>The Angevin Empire</w:t>
      </w:r>
      <w:r w:rsidRPr="004B5B7B">
        <w:rPr>
          <w:rFonts w:ascii="Times New Roman" w:hAnsi="Times New Roman" w:cs="Times New Roman"/>
          <w:color w:val="000000" w:themeColor="text1"/>
          <w:sz w:val="24"/>
          <w:szCs w:val="24"/>
        </w:rPr>
        <w:t>, (New York: Oxford University Press, 2001</w:t>
      </w:r>
      <w:r w:rsidR="00937C65" w:rsidRPr="004B5B7B">
        <w:rPr>
          <w:rFonts w:ascii="Times New Roman" w:hAnsi="Times New Roman" w:cs="Times New Roman"/>
          <w:color w:val="000000" w:themeColor="text1"/>
          <w:sz w:val="24"/>
          <w:szCs w:val="24"/>
        </w:rPr>
        <w:t>)</w:t>
      </w:r>
    </w:p>
    <w:p w14:paraId="7A1A171A" w14:textId="6DBBC219" w:rsidR="00360B4E" w:rsidRPr="004B5B7B" w:rsidRDefault="00360B4E">
      <w:pPr>
        <w:rPr>
          <w:rFonts w:ascii="Times New Roman" w:hAnsi="Times New Roman" w:cs="Times New Roman"/>
          <w:color w:val="000000" w:themeColor="text1"/>
          <w:sz w:val="24"/>
          <w:szCs w:val="24"/>
        </w:rPr>
      </w:pPr>
      <w:r w:rsidRPr="004B5B7B">
        <w:rPr>
          <w:rFonts w:ascii="Times New Roman" w:hAnsi="Times New Roman" w:cs="Times New Roman"/>
          <w:color w:val="000000" w:themeColor="text1"/>
          <w:sz w:val="24"/>
          <w:szCs w:val="24"/>
        </w:rPr>
        <w:t>Gillingham</w:t>
      </w:r>
      <w:r w:rsidRPr="004B5B7B">
        <w:rPr>
          <w:rFonts w:ascii="Times New Roman" w:hAnsi="Times New Roman" w:cs="Times New Roman"/>
          <w:i/>
          <w:iCs/>
          <w:color w:val="000000" w:themeColor="text1"/>
          <w:sz w:val="24"/>
          <w:szCs w:val="24"/>
        </w:rPr>
        <w:t>,</w:t>
      </w:r>
      <w:r w:rsidR="00066BBE" w:rsidRPr="004B5B7B">
        <w:rPr>
          <w:rFonts w:ascii="Times New Roman" w:hAnsi="Times New Roman" w:cs="Times New Roman"/>
          <w:i/>
          <w:iCs/>
          <w:color w:val="000000" w:themeColor="text1"/>
          <w:sz w:val="24"/>
          <w:szCs w:val="24"/>
        </w:rPr>
        <w:t xml:space="preserve"> </w:t>
      </w:r>
      <w:r w:rsidR="00066BBE" w:rsidRPr="004B5B7B">
        <w:rPr>
          <w:rFonts w:ascii="Times New Roman" w:hAnsi="Times New Roman" w:cs="Times New Roman"/>
          <w:color w:val="000000" w:themeColor="text1"/>
          <w:sz w:val="24"/>
          <w:szCs w:val="24"/>
        </w:rPr>
        <w:t>John</w:t>
      </w:r>
      <w:r w:rsidRPr="004B5B7B">
        <w:rPr>
          <w:rFonts w:ascii="Times New Roman" w:hAnsi="Times New Roman" w:cs="Times New Roman"/>
          <w:i/>
          <w:iCs/>
          <w:color w:val="000000" w:themeColor="text1"/>
          <w:sz w:val="24"/>
          <w:szCs w:val="24"/>
        </w:rPr>
        <w:t xml:space="preserve"> "Roger of Howden on Crusade"</w:t>
      </w:r>
      <w:r w:rsidRPr="004B5B7B">
        <w:rPr>
          <w:rFonts w:ascii="Times New Roman" w:hAnsi="Times New Roman" w:cs="Times New Roman"/>
          <w:color w:val="000000" w:themeColor="text1"/>
          <w:sz w:val="24"/>
          <w:szCs w:val="24"/>
        </w:rPr>
        <w:t xml:space="preserve">, in </w:t>
      </w:r>
      <w:r w:rsidRPr="004B5B7B">
        <w:rPr>
          <w:rFonts w:ascii="Times New Roman" w:hAnsi="Times New Roman" w:cs="Times New Roman"/>
          <w:i/>
          <w:iCs/>
          <w:color w:val="000000" w:themeColor="text1"/>
          <w:sz w:val="24"/>
          <w:szCs w:val="24"/>
        </w:rPr>
        <w:t>Richard Cœur de Lion: Kingship, Chivalry and War in the Twelfth Century</w:t>
      </w:r>
      <w:r w:rsidRPr="004B5B7B">
        <w:rPr>
          <w:rFonts w:ascii="Times New Roman" w:hAnsi="Times New Roman" w:cs="Times New Roman"/>
          <w:color w:val="000000" w:themeColor="text1"/>
          <w:sz w:val="24"/>
          <w:szCs w:val="24"/>
        </w:rPr>
        <w:t xml:space="preserve"> (London:</w:t>
      </w:r>
      <w:r w:rsidRPr="004B5B7B">
        <w:rPr>
          <w:rFonts w:ascii="Times New Roman" w:eastAsia="Times New Roman" w:hAnsi="Times New Roman" w:cs="Times New Roman"/>
          <w:color w:val="000000" w:themeColor="text1"/>
          <w:kern w:val="36"/>
          <w:sz w:val="24"/>
          <w:szCs w:val="24"/>
        </w:rPr>
        <w:t xml:space="preserve"> The Hambledon Press</w:t>
      </w:r>
      <w:r w:rsidRPr="004B5B7B">
        <w:rPr>
          <w:rFonts w:ascii="Times New Roman" w:eastAsia="Times New Roman" w:hAnsi="Times New Roman" w:cs="Times New Roman"/>
          <w:b/>
          <w:bCs/>
          <w:color w:val="000000" w:themeColor="text1"/>
          <w:kern w:val="36"/>
          <w:sz w:val="24"/>
          <w:szCs w:val="24"/>
        </w:rPr>
        <w:t xml:space="preserve">, </w:t>
      </w:r>
      <w:r w:rsidRPr="004B5B7B">
        <w:rPr>
          <w:rFonts w:ascii="Times New Roman" w:hAnsi="Times New Roman" w:cs="Times New Roman"/>
          <w:color w:val="000000" w:themeColor="text1"/>
          <w:sz w:val="24"/>
          <w:szCs w:val="24"/>
        </w:rPr>
        <w:t>1994)</w:t>
      </w:r>
    </w:p>
    <w:p w14:paraId="6C467573" w14:textId="7D780205" w:rsidR="003B06D5" w:rsidRPr="004B5B7B" w:rsidRDefault="003B06D5">
      <w:pPr>
        <w:rPr>
          <w:rFonts w:ascii="Times New Roman" w:hAnsi="Times New Roman" w:cs="Times New Roman"/>
          <w:color w:val="000000" w:themeColor="text1"/>
          <w:sz w:val="24"/>
          <w:szCs w:val="24"/>
        </w:rPr>
      </w:pPr>
      <w:r w:rsidRPr="004B5B7B">
        <w:rPr>
          <w:rFonts w:ascii="Times New Roman" w:hAnsi="Times New Roman" w:cs="Times New Roman"/>
          <w:color w:val="000000" w:themeColor="text1"/>
          <w:sz w:val="24"/>
          <w:szCs w:val="24"/>
        </w:rPr>
        <w:t>Gransden, Antonia</w:t>
      </w:r>
      <w:r w:rsidR="00D56C35" w:rsidRPr="004B5B7B">
        <w:rPr>
          <w:rFonts w:ascii="Times New Roman" w:hAnsi="Times New Roman" w:cs="Times New Roman"/>
          <w:color w:val="000000" w:themeColor="text1"/>
          <w:sz w:val="24"/>
          <w:szCs w:val="24"/>
        </w:rPr>
        <w:t>,</w:t>
      </w:r>
      <w:r w:rsidRPr="004B5B7B">
        <w:rPr>
          <w:rFonts w:ascii="Times New Roman" w:hAnsi="Times New Roman" w:cs="Times New Roman"/>
          <w:color w:val="000000" w:themeColor="text1"/>
          <w:sz w:val="24"/>
          <w:szCs w:val="24"/>
        </w:rPr>
        <w:t xml:space="preserve"> </w:t>
      </w:r>
      <w:r w:rsidRPr="004B5B7B">
        <w:rPr>
          <w:rFonts w:ascii="Times New Roman" w:hAnsi="Times New Roman" w:cs="Times New Roman"/>
          <w:i/>
          <w:iCs/>
          <w:color w:val="000000" w:themeColor="text1"/>
          <w:sz w:val="24"/>
          <w:szCs w:val="24"/>
        </w:rPr>
        <w:t>Historical Writing in England c 550 to c1307</w:t>
      </w:r>
      <w:r w:rsidRPr="004B5B7B">
        <w:rPr>
          <w:rFonts w:ascii="Times New Roman" w:hAnsi="Times New Roman" w:cs="Times New Roman"/>
          <w:color w:val="000000" w:themeColor="text1"/>
          <w:sz w:val="24"/>
          <w:szCs w:val="24"/>
        </w:rPr>
        <w:t xml:space="preserve"> (London: Publishing, 1974</w:t>
      </w:r>
    </w:p>
    <w:p w14:paraId="483EB694" w14:textId="4CEE15AD" w:rsidR="003B06D5" w:rsidRPr="004B5B7B" w:rsidRDefault="003B06D5">
      <w:pPr>
        <w:rPr>
          <w:rFonts w:ascii="Times New Roman" w:hAnsi="Times New Roman" w:cs="Times New Roman"/>
          <w:sz w:val="24"/>
          <w:szCs w:val="24"/>
        </w:rPr>
      </w:pPr>
      <w:r w:rsidRPr="004B5B7B">
        <w:rPr>
          <w:rFonts w:ascii="Times New Roman" w:hAnsi="Times New Roman" w:cs="Times New Roman"/>
          <w:sz w:val="24"/>
          <w:szCs w:val="24"/>
        </w:rPr>
        <w:t>Given-Wilson, Chris</w:t>
      </w:r>
      <w:r w:rsidR="00D56C35"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Chronicles</w:t>
      </w:r>
      <w:r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The Writing of History in Medieval England</w:t>
      </w:r>
      <w:r w:rsidRPr="004B5B7B">
        <w:rPr>
          <w:rFonts w:ascii="Times New Roman" w:hAnsi="Times New Roman" w:cs="Times New Roman"/>
          <w:sz w:val="24"/>
          <w:szCs w:val="24"/>
        </w:rPr>
        <w:t>, (Lancaster PA: Carnegie Publishing, 2004)</w:t>
      </w:r>
    </w:p>
    <w:p w14:paraId="67BE1127" w14:textId="77777777" w:rsidR="00E52F05" w:rsidRPr="004B5B7B" w:rsidRDefault="00AE0339">
      <w:pPr>
        <w:rPr>
          <w:rFonts w:ascii="Times New Roman" w:hAnsi="Times New Roman" w:cs="Times New Roman"/>
          <w:sz w:val="24"/>
          <w:szCs w:val="24"/>
        </w:rPr>
      </w:pPr>
      <w:r w:rsidRPr="004B5B7B">
        <w:rPr>
          <w:rFonts w:ascii="Times New Roman" w:hAnsi="Times New Roman" w:cs="Times New Roman"/>
          <w:sz w:val="24"/>
          <w:szCs w:val="24"/>
        </w:rPr>
        <w:t xml:space="preserve">Hume, David, </w:t>
      </w:r>
      <w:r w:rsidRPr="004B5B7B">
        <w:rPr>
          <w:rFonts w:ascii="Times New Roman" w:hAnsi="Times New Roman" w:cs="Times New Roman"/>
          <w:i/>
          <w:iCs/>
          <w:sz w:val="24"/>
          <w:szCs w:val="24"/>
        </w:rPr>
        <w:t>The History of England Volume 1</w:t>
      </w:r>
      <w:r w:rsidRPr="004B5B7B">
        <w:rPr>
          <w:rFonts w:ascii="Times New Roman" w:hAnsi="Times New Roman" w:cs="Times New Roman"/>
          <w:sz w:val="24"/>
          <w:szCs w:val="24"/>
        </w:rPr>
        <w:t>, (London: T. Cadell Publisher, 1778)</w:t>
      </w:r>
    </w:p>
    <w:p w14:paraId="72C2A04C" w14:textId="5E477D85" w:rsidR="007C791E" w:rsidRPr="004B5B7B" w:rsidRDefault="001772FB">
      <w:pPr>
        <w:rPr>
          <w:rFonts w:ascii="Times New Roman" w:hAnsi="Times New Roman" w:cs="Times New Roman"/>
          <w:sz w:val="24"/>
          <w:szCs w:val="24"/>
        </w:rPr>
      </w:pPr>
      <w:bookmarkStart w:id="13" w:name="_Hlk119561489"/>
      <w:r w:rsidRPr="004B5B7B">
        <w:rPr>
          <w:rFonts w:ascii="Times New Roman" w:hAnsi="Times New Roman" w:cs="Times New Roman"/>
          <w:sz w:val="24"/>
          <w:szCs w:val="24"/>
        </w:rPr>
        <w:t>Kennedy, R</w:t>
      </w:r>
      <w:r w:rsidR="00C21ECC" w:rsidRPr="004B5B7B">
        <w:rPr>
          <w:rFonts w:ascii="Times New Roman" w:hAnsi="Times New Roman" w:cs="Times New Roman"/>
          <w:sz w:val="24"/>
          <w:szCs w:val="24"/>
        </w:rPr>
        <w:t>uth and Simon Meecham-Jones</w:t>
      </w:r>
      <w:r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Writers of the Reign of Henry II: Twelve Essays</w:t>
      </w:r>
      <w:r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(The New Middle Ages)</w:t>
      </w:r>
      <w:r w:rsidR="002449D3" w:rsidRPr="004B5B7B">
        <w:rPr>
          <w:rFonts w:ascii="Times New Roman" w:hAnsi="Times New Roman" w:cs="Times New Roman"/>
          <w:i/>
          <w:iCs/>
          <w:sz w:val="24"/>
          <w:szCs w:val="24"/>
        </w:rPr>
        <w:t>,</w:t>
      </w:r>
      <w:r w:rsidR="002449D3" w:rsidRPr="004B5B7B">
        <w:rPr>
          <w:rFonts w:ascii="Times New Roman" w:hAnsi="Times New Roman" w:cs="Times New Roman"/>
          <w:sz w:val="24"/>
          <w:szCs w:val="24"/>
        </w:rPr>
        <w:t xml:space="preserve"> (</w:t>
      </w:r>
      <w:r w:rsidR="007B2A86" w:rsidRPr="004B5B7B">
        <w:rPr>
          <w:rFonts w:ascii="Times New Roman" w:hAnsi="Times New Roman" w:cs="Times New Roman"/>
          <w:sz w:val="24"/>
          <w:szCs w:val="24"/>
        </w:rPr>
        <w:t>New York:</w:t>
      </w:r>
      <w:r w:rsidR="00A017C0" w:rsidRPr="004B5B7B">
        <w:rPr>
          <w:rFonts w:ascii="Times New Roman" w:hAnsi="Times New Roman" w:cs="Times New Roman"/>
          <w:sz w:val="24"/>
          <w:szCs w:val="24"/>
        </w:rPr>
        <w:t xml:space="preserve"> Palgrave Mcmillan, 2016)</w:t>
      </w:r>
    </w:p>
    <w:bookmarkEnd w:id="13"/>
    <w:p w14:paraId="5D81FD36" w14:textId="7BB02C18" w:rsidR="00E52F05" w:rsidRPr="004B5B7B" w:rsidRDefault="00E52F05">
      <w:pPr>
        <w:rPr>
          <w:rFonts w:ascii="Times New Roman" w:hAnsi="Times New Roman" w:cs="Times New Roman"/>
          <w:sz w:val="24"/>
          <w:szCs w:val="24"/>
        </w:rPr>
      </w:pPr>
      <w:r w:rsidRPr="004B5B7B">
        <w:rPr>
          <w:rFonts w:ascii="Times New Roman" w:hAnsi="Times New Roman" w:cs="Times New Roman"/>
          <w:sz w:val="24"/>
          <w:szCs w:val="24"/>
        </w:rPr>
        <w:lastRenderedPageBreak/>
        <w:t xml:space="preserve">Otter, Monika, Inventiones: </w:t>
      </w:r>
      <w:r w:rsidRPr="004B5B7B">
        <w:rPr>
          <w:rFonts w:ascii="Times New Roman" w:hAnsi="Times New Roman" w:cs="Times New Roman"/>
          <w:i/>
          <w:iCs/>
          <w:sz w:val="24"/>
          <w:szCs w:val="24"/>
        </w:rPr>
        <w:t>Fiction and Referentiality in Twelfth-Century English Historical Writing</w:t>
      </w:r>
      <w:r w:rsidRPr="004B5B7B">
        <w:rPr>
          <w:rFonts w:ascii="Times New Roman" w:hAnsi="Times New Roman" w:cs="Times New Roman"/>
          <w:sz w:val="24"/>
          <w:szCs w:val="24"/>
        </w:rPr>
        <w:t>, (Chapel Hill: The University of North Carolina Press 1996</w:t>
      </w:r>
    </w:p>
    <w:p w14:paraId="77A9E303" w14:textId="56B47EA3" w:rsidR="008038BA" w:rsidRPr="004B5B7B" w:rsidRDefault="008038BA">
      <w:pPr>
        <w:rPr>
          <w:rFonts w:ascii="Times New Roman" w:eastAsia="Times New Roman" w:hAnsi="Times New Roman" w:cs="Times New Roman"/>
          <w:sz w:val="24"/>
          <w:szCs w:val="24"/>
        </w:rPr>
      </w:pPr>
      <w:r w:rsidRPr="004B5B7B">
        <w:rPr>
          <w:rFonts w:ascii="Times New Roman" w:hAnsi="Times New Roman" w:cs="Times New Roman"/>
          <w:sz w:val="24"/>
          <w:szCs w:val="24"/>
        </w:rPr>
        <w:t xml:space="preserve">Staunton, Michael, </w:t>
      </w:r>
      <w:r w:rsidRPr="004B5B7B">
        <w:rPr>
          <w:rFonts w:ascii="Times New Roman" w:eastAsia="Times New Roman" w:hAnsi="Times New Roman" w:cs="Times New Roman"/>
          <w:sz w:val="24"/>
          <w:szCs w:val="24"/>
        </w:rPr>
        <w:t xml:space="preserve">Roger of Howden: </w:t>
      </w:r>
      <w:r w:rsidRPr="004B5B7B">
        <w:rPr>
          <w:rFonts w:ascii="Times New Roman" w:eastAsia="Times New Roman" w:hAnsi="Times New Roman" w:cs="Times New Roman"/>
          <w:i/>
          <w:iCs/>
          <w:sz w:val="24"/>
          <w:szCs w:val="24"/>
        </w:rPr>
        <w:t>A Historian in Government The Historians of Angevin England</w:t>
      </w:r>
      <w:r w:rsidR="00E1470F" w:rsidRPr="004B5B7B">
        <w:rPr>
          <w:rFonts w:ascii="Times New Roman" w:eastAsia="Times New Roman" w:hAnsi="Times New Roman" w:cs="Times New Roman"/>
          <w:sz w:val="24"/>
          <w:szCs w:val="24"/>
        </w:rPr>
        <w:t xml:space="preserve"> </w:t>
      </w:r>
      <w:r w:rsidRPr="004B5B7B">
        <w:rPr>
          <w:rFonts w:ascii="Times New Roman" w:eastAsia="Times New Roman" w:hAnsi="Times New Roman" w:cs="Times New Roman"/>
          <w:sz w:val="24"/>
          <w:szCs w:val="24"/>
        </w:rPr>
        <w:t xml:space="preserve">(Oxford, </w:t>
      </w:r>
      <w:r w:rsidR="00AE0897" w:rsidRPr="004B5B7B">
        <w:rPr>
          <w:rFonts w:ascii="Times New Roman" w:eastAsia="Times New Roman" w:hAnsi="Times New Roman" w:cs="Times New Roman"/>
          <w:sz w:val="24"/>
          <w:szCs w:val="24"/>
        </w:rPr>
        <w:t xml:space="preserve">Oxford Academic, </w:t>
      </w:r>
      <w:r w:rsidRPr="004B5B7B">
        <w:rPr>
          <w:rFonts w:ascii="Times New Roman" w:eastAsia="Times New Roman" w:hAnsi="Times New Roman" w:cs="Times New Roman"/>
          <w:sz w:val="24"/>
          <w:szCs w:val="24"/>
        </w:rPr>
        <w:t>2017</w:t>
      </w:r>
      <w:r w:rsidR="00E1470F" w:rsidRPr="004B5B7B">
        <w:rPr>
          <w:rFonts w:ascii="Times New Roman" w:eastAsia="Times New Roman" w:hAnsi="Times New Roman" w:cs="Times New Roman"/>
          <w:sz w:val="24"/>
          <w:szCs w:val="24"/>
        </w:rPr>
        <w:t>)</w:t>
      </w:r>
    </w:p>
    <w:p w14:paraId="3CDC2240" w14:textId="087708FD" w:rsidR="00C253D2" w:rsidRPr="004B5B7B" w:rsidRDefault="00C253D2">
      <w:pPr>
        <w:rPr>
          <w:rFonts w:ascii="Times New Roman" w:hAnsi="Times New Roman" w:cs="Times New Roman"/>
          <w:sz w:val="24"/>
          <w:szCs w:val="24"/>
        </w:rPr>
      </w:pPr>
      <w:r w:rsidRPr="004B5B7B">
        <w:rPr>
          <w:rFonts w:ascii="Times New Roman" w:hAnsi="Times New Roman" w:cs="Times New Roman"/>
          <w:sz w:val="24"/>
          <w:szCs w:val="24"/>
        </w:rPr>
        <w:t>Strickland, Matthew</w:t>
      </w:r>
      <w:r w:rsidR="002E7269" w:rsidRPr="004B5B7B">
        <w:rPr>
          <w:rFonts w:ascii="Times New Roman" w:hAnsi="Times New Roman" w:cs="Times New Roman"/>
          <w:sz w:val="24"/>
          <w:szCs w:val="24"/>
        </w:rPr>
        <w:t>,</w:t>
      </w:r>
      <w:r w:rsidRPr="004B5B7B">
        <w:rPr>
          <w:rFonts w:ascii="Times New Roman" w:hAnsi="Times New Roman" w:cs="Times New Roman"/>
          <w:sz w:val="24"/>
          <w:szCs w:val="24"/>
        </w:rPr>
        <w:t xml:space="preserve"> </w:t>
      </w:r>
      <w:r w:rsidRPr="004B5B7B">
        <w:rPr>
          <w:rFonts w:ascii="Times New Roman" w:hAnsi="Times New Roman" w:cs="Times New Roman"/>
          <w:i/>
          <w:iCs/>
          <w:sz w:val="24"/>
          <w:szCs w:val="24"/>
        </w:rPr>
        <w:t>Henry the Young King</w:t>
      </w:r>
      <w:r w:rsidRPr="004B5B7B">
        <w:rPr>
          <w:rFonts w:ascii="Times New Roman" w:hAnsi="Times New Roman" w:cs="Times New Roman"/>
          <w:sz w:val="24"/>
          <w:szCs w:val="24"/>
        </w:rPr>
        <w:t xml:space="preserve">, </w:t>
      </w:r>
      <w:r w:rsidR="00E70C4F" w:rsidRPr="004B5B7B">
        <w:rPr>
          <w:rFonts w:ascii="Times New Roman" w:hAnsi="Times New Roman" w:cs="Times New Roman"/>
          <w:i/>
          <w:iCs/>
          <w:sz w:val="24"/>
          <w:szCs w:val="24"/>
        </w:rPr>
        <w:t>1155-1183</w:t>
      </w:r>
      <w:r w:rsidR="00C66658" w:rsidRPr="004B5B7B">
        <w:rPr>
          <w:rFonts w:ascii="Times New Roman" w:hAnsi="Times New Roman" w:cs="Times New Roman"/>
          <w:i/>
          <w:iCs/>
          <w:sz w:val="24"/>
          <w:szCs w:val="24"/>
        </w:rPr>
        <w:t>,</w:t>
      </w:r>
      <w:r w:rsidR="00E70C4F" w:rsidRPr="004B5B7B">
        <w:rPr>
          <w:rFonts w:ascii="Times New Roman" w:hAnsi="Times New Roman" w:cs="Times New Roman"/>
          <w:sz w:val="24"/>
          <w:szCs w:val="24"/>
        </w:rPr>
        <w:t xml:space="preserve"> </w:t>
      </w:r>
      <w:r w:rsidRPr="004B5B7B">
        <w:rPr>
          <w:rFonts w:ascii="Times New Roman" w:hAnsi="Times New Roman" w:cs="Times New Roman"/>
          <w:sz w:val="24"/>
          <w:szCs w:val="24"/>
        </w:rPr>
        <w:t>(New Haven: Yale University Press, 2016)</w:t>
      </w:r>
    </w:p>
    <w:p w14:paraId="522A5A16" w14:textId="2C237CC3" w:rsidR="001A0FF9" w:rsidRPr="004B5B7B" w:rsidRDefault="001A0FF9">
      <w:pPr>
        <w:rPr>
          <w:rFonts w:ascii="Times New Roman" w:hAnsi="Times New Roman" w:cs="Times New Roman"/>
          <w:sz w:val="24"/>
          <w:szCs w:val="24"/>
        </w:rPr>
      </w:pPr>
      <w:r w:rsidRPr="004B5B7B">
        <w:rPr>
          <w:rFonts w:ascii="Times New Roman" w:hAnsi="Times New Roman" w:cs="Times New Roman"/>
          <w:color w:val="000000" w:themeColor="text1"/>
          <w:sz w:val="24"/>
          <w:szCs w:val="24"/>
        </w:rPr>
        <w:t xml:space="preserve">Warren, WL </w:t>
      </w:r>
      <w:r w:rsidRPr="004B5B7B">
        <w:rPr>
          <w:rFonts w:ascii="Times New Roman" w:hAnsi="Times New Roman" w:cs="Times New Roman"/>
          <w:i/>
          <w:iCs/>
          <w:color w:val="000000" w:themeColor="text1"/>
          <w:sz w:val="24"/>
          <w:szCs w:val="24"/>
        </w:rPr>
        <w:t>Henry II</w:t>
      </w:r>
      <w:r w:rsidRPr="004B5B7B">
        <w:rPr>
          <w:rFonts w:ascii="Times New Roman" w:hAnsi="Times New Roman" w:cs="Times New Roman"/>
          <w:color w:val="000000" w:themeColor="text1"/>
          <w:sz w:val="24"/>
          <w:szCs w:val="24"/>
        </w:rPr>
        <w:t>, (Berkley and Los Angeles: University of California Press, 1973</w:t>
      </w:r>
    </w:p>
    <w:sectPr w:rsidR="001A0FF9" w:rsidRPr="004B5B7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D77C3" w14:textId="77777777" w:rsidR="00B7650C" w:rsidRDefault="00B7650C" w:rsidP="00343947">
      <w:pPr>
        <w:spacing w:after="0" w:line="240" w:lineRule="auto"/>
      </w:pPr>
      <w:r>
        <w:separator/>
      </w:r>
    </w:p>
  </w:endnote>
  <w:endnote w:type="continuationSeparator" w:id="0">
    <w:p w14:paraId="7E960E90" w14:textId="77777777" w:rsidR="00B7650C" w:rsidRDefault="00B7650C" w:rsidP="00343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B48F1" w14:textId="77777777" w:rsidR="00B7650C" w:rsidRDefault="00B7650C" w:rsidP="00343947">
      <w:pPr>
        <w:spacing w:after="0" w:line="240" w:lineRule="auto"/>
      </w:pPr>
      <w:r>
        <w:separator/>
      </w:r>
    </w:p>
  </w:footnote>
  <w:footnote w:type="continuationSeparator" w:id="0">
    <w:p w14:paraId="631AA74C" w14:textId="77777777" w:rsidR="00B7650C" w:rsidRDefault="00B7650C" w:rsidP="00343947">
      <w:pPr>
        <w:spacing w:after="0" w:line="240" w:lineRule="auto"/>
      </w:pPr>
      <w:r>
        <w:continuationSeparator/>
      </w:r>
    </w:p>
  </w:footnote>
  <w:footnote w:id="1">
    <w:p w14:paraId="5A1B20D3" w14:textId="12ECD666" w:rsidR="00B43656" w:rsidRPr="00EE44AE" w:rsidRDefault="00B43656">
      <w:pPr>
        <w:pStyle w:val="FootnoteText"/>
        <w:rPr>
          <w:rFonts w:ascii="Times New Roman" w:hAnsi="Times New Roman" w:cs="Times New Roman"/>
          <w:sz w:val="22"/>
          <w:szCs w:val="22"/>
        </w:rPr>
      </w:pPr>
      <w:r w:rsidRPr="00EE44AE">
        <w:rPr>
          <w:rStyle w:val="FootnoteReference"/>
          <w:rFonts w:ascii="Times New Roman" w:hAnsi="Times New Roman" w:cs="Times New Roman"/>
          <w:sz w:val="22"/>
          <w:szCs w:val="22"/>
        </w:rPr>
        <w:footnoteRef/>
      </w:r>
      <w:r w:rsidRPr="00EE44AE">
        <w:rPr>
          <w:rFonts w:ascii="Times New Roman" w:hAnsi="Times New Roman" w:cs="Times New Roman"/>
          <w:sz w:val="22"/>
          <w:szCs w:val="22"/>
        </w:rPr>
        <w:t xml:space="preserve"> (‘Medieval Sourcebook: The Chronicle of “Benedict of Peterborough”: The Death of King Henry II, 1189’ [n.d.])</w:t>
      </w:r>
    </w:p>
  </w:footnote>
  <w:footnote w:id="2">
    <w:p w14:paraId="79878F93" w14:textId="21E35F2A" w:rsidR="00343947" w:rsidRPr="00EE44AE" w:rsidRDefault="009B18E4" w:rsidP="00A5083A">
      <w:pPr>
        <w:ind w:hanging="240"/>
        <w:rPr>
          <w:rFonts w:ascii="Times New Roman" w:eastAsia="Times New Roman" w:hAnsi="Times New Roman" w:cs="Times New Roman"/>
          <w:sz w:val="22"/>
          <w:szCs w:val="22"/>
        </w:rPr>
      </w:pPr>
      <w:r w:rsidRPr="00EE44AE">
        <w:rPr>
          <w:rFonts w:ascii="Times New Roman" w:hAnsi="Times New Roman" w:cs="Times New Roman"/>
          <w:sz w:val="22"/>
          <w:szCs w:val="22"/>
        </w:rPr>
        <w:t xml:space="preserve">    </w:t>
      </w:r>
      <w:r w:rsidR="00343947" w:rsidRPr="00EE44AE">
        <w:rPr>
          <w:rStyle w:val="FootnoteReference"/>
          <w:rFonts w:ascii="Times New Roman" w:hAnsi="Times New Roman" w:cs="Times New Roman"/>
          <w:sz w:val="22"/>
          <w:szCs w:val="22"/>
        </w:rPr>
        <w:footnoteRef/>
      </w:r>
      <w:r w:rsidR="00343947" w:rsidRPr="00EE44AE">
        <w:rPr>
          <w:rFonts w:ascii="Times New Roman" w:hAnsi="Times New Roman" w:cs="Times New Roman"/>
          <w:sz w:val="22"/>
          <w:szCs w:val="22"/>
        </w:rPr>
        <w:t xml:space="preserve"> </w:t>
      </w:r>
      <w:r w:rsidR="003B738A" w:rsidRPr="00EE44AE">
        <w:rPr>
          <w:rFonts w:ascii="Times New Roman" w:hAnsi="Times New Roman" w:cs="Times New Roman"/>
          <w:sz w:val="22"/>
          <w:szCs w:val="22"/>
        </w:rPr>
        <w:t xml:space="preserve"> </w:t>
      </w:r>
      <w:bookmarkStart w:id="1" w:name="_Hlk119313190"/>
      <w:r w:rsidR="00343947" w:rsidRPr="00EE44AE">
        <w:rPr>
          <w:rFonts w:ascii="Times New Roman" w:hAnsi="Times New Roman" w:cs="Times New Roman"/>
          <w:sz w:val="22"/>
          <w:szCs w:val="22"/>
        </w:rPr>
        <w:t xml:space="preserve">Staunton, Michael, </w:t>
      </w:r>
      <w:r w:rsidR="00343947" w:rsidRPr="00EE44AE">
        <w:rPr>
          <w:rFonts w:ascii="Times New Roman" w:eastAsia="Times New Roman" w:hAnsi="Times New Roman" w:cs="Times New Roman"/>
          <w:sz w:val="22"/>
          <w:szCs w:val="22"/>
        </w:rPr>
        <w:t>Roger of Howden: A Historian in Government'</w:t>
      </w:r>
      <w:r w:rsidR="00704BF5" w:rsidRPr="00EE44AE">
        <w:rPr>
          <w:rFonts w:ascii="Times New Roman" w:eastAsia="Times New Roman" w:hAnsi="Times New Roman" w:cs="Times New Roman"/>
          <w:sz w:val="22"/>
          <w:szCs w:val="22"/>
        </w:rPr>
        <w:t xml:space="preserve"> </w:t>
      </w:r>
      <w:r w:rsidR="00343947" w:rsidRPr="00EE44AE">
        <w:rPr>
          <w:rFonts w:ascii="Times New Roman" w:eastAsia="Times New Roman" w:hAnsi="Times New Roman" w:cs="Times New Roman"/>
          <w:sz w:val="22"/>
          <w:szCs w:val="22"/>
        </w:rPr>
        <w:t>The Historians of Angevin England</w:t>
      </w:r>
      <w:r w:rsidR="00D35EEB" w:rsidRPr="00EE44AE">
        <w:rPr>
          <w:rFonts w:ascii="Times New Roman" w:eastAsia="Times New Roman" w:hAnsi="Times New Roman" w:cs="Times New Roman"/>
          <w:sz w:val="22"/>
          <w:szCs w:val="22"/>
        </w:rPr>
        <w:t xml:space="preserve"> </w:t>
      </w:r>
      <w:r w:rsidR="00343947" w:rsidRPr="00EE44AE">
        <w:rPr>
          <w:rFonts w:ascii="Times New Roman" w:eastAsia="Times New Roman" w:hAnsi="Times New Roman" w:cs="Times New Roman"/>
          <w:sz w:val="22"/>
          <w:szCs w:val="22"/>
        </w:rPr>
        <w:t xml:space="preserve">(Oxford, 2017; </w:t>
      </w:r>
      <w:bookmarkEnd w:id="1"/>
      <w:r w:rsidR="00343947" w:rsidRPr="00EE44AE">
        <w:rPr>
          <w:rFonts w:ascii="Times New Roman" w:eastAsia="Times New Roman" w:hAnsi="Times New Roman" w:cs="Times New Roman"/>
          <w:sz w:val="22"/>
          <w:szCs w:val="22"/>
        </w:rPr>
        <w:t xml:space="preserve">online edn, Oxford Academic, 20 July 2017), </w:t>
      </w:r>
      <w:hyperlink r:id="rId1" w:history="1">
        <w:r w:rsidR="00343947" w:rsidRPr="00EE44AE">
          <w:rPr>
            <w:rFonts w:ascii="Times New Roman" w:eastAsia="Times New Roman" w:hAnsi="Times New Roman" w:cs="Times New Roman"/>
            <w:sz w:val="22"/>
            <w:szCs w:val="22"/>
            <w:u w:val="single"/>
          </w:rPr>
          <w:t>https://doi.org/10.1093/oso/9780198769965.003.0003</w:t>
        </w:r>
      </w:hyperlink>
      <w:r w:rsidR="00343947" w:rsidRPr="00EE44AE">
        <w:rPr>
          <w:rFonts w:ascii="Times New Roman" w:eastAsia="Times New Roman" w:hAnsi="Times New Roman" w:cs="Times New Roman"/>
          <w:sz w:val="22"/>
          <w:szCs w:val="22"/>
        </w:rPr>
        <w:t>, accessed 4 Nov. 2022.</w:t>
      </w:r>
      <w:r w:rsidR="004B1927" w:rsidRPr="00EE44AE">
        <w:rPr>
          <w:rFonts w:ascii="Times New Roman" w:hAnsi="Times New Roman" w:cs="Times New Roman"/>
          <w:sz w:val="22"/>
          <w:szCs w:val="22"/>
        </w:rPr>
        <w:t>:</w:t>
      </w:r>
      <w:r w:rsidR="003B738A" w:rsidRPr="00EE44AE">
        <w:rPr>
          <w:rFonts w:ascii="Times New Roman" w:eastAsia="Times New Roman" w:hAnsi="Times New Roman" w:cs="Times New Roman"/>
          <w:sz w:val="22"/>
          <w:szCs w:val="22"/>
        </w:rPr>
        <w:t xml:space="preserve"> STENTON, DORIS M. </w:t>
      </w:r>
      <w:r w:rsidR="003B738A" w:rsidRPr="00EE44AE">
        <w:rPr>
          <w:rFonts w:ascii="Times New Roman" w:eastAsia="Times New Roman" w:hAnsi="Times New Roman" w:cs="Times New Roman"/>
          <w:color w:val="000000" w:themeColor="text1"/>
          <w:sz w:val="22"/>
          <w:szCs w:val="22"/>
        </w:rPr>
        <w:t xml:space="preserve">1953. ‘Roger of Howden and Benedict’, </w:t>
      </w:r>
      <w:r w:rsidR="003B738A" w:rsidRPr="00EE44AE">
        <w:rPr>
          <w:rFonts w:ascii="Times New Roman" w:eastAsia="Times New Roman" w:hAnsi="Times New Roman" w:cs="Times New Roman"/>
          <w:i/>
          <w:iCs/>
          <w:color w:val="000000" w:themeColor="text1"/>
          <w:sz w:val="22"/>
          <w:szCs w:val="22"/>
        </w:rPr>
        <w:t>The English Historical Review</w:t>
      </w:r>
      <w:r w:rsidR="003B738A" w:rsidRPr="00EE44AE">
        <w:rPr>
          <w:rFonts w:ascii="Times New Roman" w:eastAsia="Times New Roman" w:hAnsi="Times New Roman" w:cs="Times New Roman"/>
          <w:color w:val="000000" w:themeColor="text1"/>
          <w:sz w:val="22"/>
          <w:szCs w:val="22"/>
        </w:rPr>
        <w:t xml:space="preserve">, LXVIII.CCLXIX: 574–82 </w:t>
      </w:r>
      <w:hyperlink r:id="rId2" w:history="1">
        <w:r w:rsidR="0063450C" w:rsidRPr="00EE44AE">
          <w:rPr>
            <w:rStyle w:val="Hyperlink"/>
            <w:rFonts w:ascii="Times New Roman" w:eastAsia="Times New Roman" w:hAnsi="Times New Roman" w:cs="Times New Roman"/>
            <w:color w:val="000000" w:themeColor="text1"/>
            <w:sz w:val="22"/>
            <w:szCs w:val="22"/>
          </w:rPr>
          <w:t>https://doi.org/10.1093/ehr/LXVIII.CCLXIX.574p pp. 574-576</w:t>
        </w:r>
      </w:hyperlink>
    </w:p>
  </w:footnote>
  <w:footnote w:id="3">
    <w:p w14:paraId="4992A25D" w14:textId="3D9CA704" w:rsidR="004F2CBC" w:rsidRPr="00EE44AE" w:rsidRDefault="004F2CBC" w:rsidP="004A2ACD">
      <w:pPr>
        <w:spacing w:after="0" w:line="240" w:lineRule="auto"/>
        <w:rPr>
          <w:rFonts w:ascii="Times New Roman" w:eastAsia="Times New Roman" w:hAnsi="Times New Roman" w:cs="Times New Roman"/>
          <w:sz w:val="22"/>
          <w:szCs w:val="22"/>
        </w:rPr>
      </w:pPr>
      <w:r w:rsidRPr="00EE44AE">
        <w:rPr>
          <w:rStyle w:val="FootnoteReference"/>
          <w:rFonts w:ascii="Times New Roman" w:hAnsi="Times New Roman" w:cs="Times New Roman"/>
          <w:sz w:val="22"/>
          <w:szCs w:val="22"/>
        </w:rPr>
        <w:footnoteRef/>
      </w:r>
      <w:r w:rsidRPr="00EE44AE">
        <w:rPr>
          <w:rFonts w:ascii="Times New Roman" w:hAnsi="Times New Roman" w:cs="Times New Roman"/>
          <w:sz w:val="22"/>
          <w:szCs w:val="22"/>
        </w:rPr>
        <w:t xml:space="preserve"> </w:t>
      </w:r>
      <w:r w:rsidR="00350589" w:rsidRPr="00EE44AE">
        <w:rPr>
          <w:rFonts w:ascii="Times New Roman" w:eastAsia="Times New Roman" w:hAnsi="Times New Roman" w:cs="Times New Roman"/>
          <w:sz w:val="22"/>
          <w:szCs w:val="22"/>
        </w:rPr>
        <w:t xml:space="preserve">Gillingham, </w:t>
      </w:r>
      <w:r w:rsidR="0093183A" w:rsidRPr="00EE44AE">
        <w:rPr>
          <w:rFonts w:ascii="Times New Roman" w:eastAsia="Times New Roman" w:hAnsi="Times New Roman" w:cs="Times New Roman"/>
          <w:sz w:val="22"/>
          <w:szCs w:val="22"/>
        </w:rPr>
        <w:t>J.</w:t>
      </w:r>
      <w:r w:rsidR="00350589" w:rsidRPr="00EE44AE">
        <w:rPr>
          <w:rFonts w:ascii="Times New Roman" w:eastAsia="Times New Roman" w:hAnsi="Times New Roman" w:cs="Times New Roman"/>
          <w:sz w:val="22"/>
          <w:szCs w:val="22"/>
        </w:rPr>
        <w:t xml:space="preserve"> Writing the Biography of Roger of Howden, King's Clerk and Chronicler. In D. Bates, J. Crick, &amp; S. Hamilton (Eds.), </w:t>
      </w:r>
      <w:r w:rsidR="00350589" w:rsidRPr="00EE44AE">
        <w:rPr>
          <w:rFonts w:ascii="Times New Roman" w:eastAsia="Times New Roman" w:hAnsi="Times New Roman" w:cs="Times New Roman"/>
          <w:i/>
          <w:iCs/>
          <w:sz w:val="22"/>
          <w:szCs w:val="22"/>
        </w:rPr>
        <w:t>Writing Medieval Biography, 750–1250: Essays in Honour of Frank Barlow</w:t>
      </w:r>
      <w:r w:rsidR="00350589" w:rsidRPr="00EE44AE">
        <w:rPr>
          <w:rFonts w:ascii="Times New Roman" w:eastAsia="Times New Roman" w:hAnsi="Times New Roman" w:cs="Times New Roman"/>
          <w:sz w:val="22"/>
          <w:szCs w:val="22"/>
        </w:rPr>
        <w:t xml:space="preserve"> (pp. 207-220). Boydell &amp; Brewer.</w:t>
      </w:r>
      <w:r w:rsidR="002A4DF8" w:rsidRPr="00EE44AE">
        <w:rPr>
          <w:rFonts w:ascii="Times New Roman" w:eastAsia="Times New Roman" w:hAnsi="Times New Roman" w:cs="Times New Roman"/>
          <w:sz w:val="22"/>
          <w:szCs w:val="22"/>
        </w:rPr>
        <w:t xml:space="preserve"> 2006)</w:t>
      </w:r>
    </w:p>
  </w:footnote>
  <w:footnote w:id="4">
    <w:p w14:paraId="63BB3FEB" w14:textId="143DDFAD" w:rsidR="00ED0C67" w:rsidRPr="00EE44AE" w:rsidRDefault="00787FE6" w:rsidP="00B57E1A">
      <w:pPr>
        <w:pStyle w:val="Heading1"/>
        <w:spacing w:before="0" w:after="0"/>
        <w:rPr>
          <w:rFonts w:ascii="Times New Roman" w:eastAsia="Times New Roman" w:hAnsi="Times New Roman" w:cs="Times New Roman"/>
          <w:color w:val="000000" w:themeColor="text1"/>
          <w:sz w:val="22"/>
          <w:szCs w:val="22"/>
        </w:rPr>
      </w:pPr>
      <w:r w:rsidRPr="00EE44AE">
        <w:rPr>
          <w:rStyle w:val="FootnoteReference"/>
          <w:rFonts w:ascii="Times New Roman" w:hAnsi="Times New Roman" w:cs="Times New Roman"/>
          <w:color w:val="000000" w:themeColor="text1"/>
          <w:sz w:val="22"/>
          <w:szCs w:val="22"/>
        </w:rPr>
        <w:footnoteRef/>
      </w:r>
      <w:r w:rsidR="009B18E4" w:rsidRPr="00EE44AE">
        <w:rPr>
          <w:rFonts w:ascii="Times New Roman" w:eastAsia="Times New Roman" w:hAnsi="Times New Roman" w:cs="Times New Roman"/>
          <w:color w:val="000000" w:themeColor="text1"/>
          <w:sz w:val="22"/>
          <w:szCs w:val="22"/>
        </w:rPr>
        <w:t xml:space="preserve"> </w:t>
      </w:r>
      <w:bookmarkStart w:id="2" w:name="_Hlk119312575"/>
      <w:r w:rsidRPr="00EE44AE">
        <w:rPr>
          <w:rFonts w:ascii="Times New Roman" w:hAnsi="Times New Roman" w:cs="Times New Roman"/>
          <w:color w:val="000000" w:themeColor="text1"/>
          <w:sz w:val="22"/>
          <w:szCs w:val="22"/>
        </w:rPr>
        <w:fldChar w:fldCharType="begin"/>
      </w:r>
      <w:r w:rsidRPr="00EE44AE">
        <w:rPr>
          <w:rFonts w:ascii="Times New Roman" w:hAnsi="Times New Roman" w:cs="Times New Roman"/>
          <w:color w:val="000000" w:themeColor="text1"/>
          <w:sz w:val="22"/>
          <w:szCs w:val="22"/>
        </w:rPr>
        <w:instrText>HYPERLINK "javascript:;"</w:instrText>
      </w:r>
      <w:r w:rsidRPr="00EE44AE">
        <w:rPr>
          <w:rFonts w:ascii="Times New Roman" w:hAnsi="Times New Roman" w:cs="Times New Roman"/>
          <w:color w:val="000000" w:themeColor="text1"/>
          <w:sz w:val="22"/>
          <w:szCs w:val="22"/>
        </w:rPr>
      </w:r>
      <w:r w:rsidRPr="00EE44AE">
        <w:rPr>
          <w:rFonts w:ascii="Times New Roman" w:hAnsi="Times New Roman" w:cs="Times New Roman"/>
          <w:color w:val="000000" w:themeColor="text1"/>
          <w:sz w:val="22"/>
          <w:szCs w:val="22"/>
        </w:rPr>
        <w:fldChar w:fldCharType="separate"/>
      </w:r>
      <w:r w:rsidRPr="00EE44AE">
        <w:rPr>
          <w:rFonts w:ascii="Times New Roman" w:eastAsia="Times New Roman" w:hAnsi="Times New Roman" w:cs="Times New Roman"/>
          <w:color w:val="000000" w:themeColor="text1"/>
          <w:sz w:val="22"/>
          <w:szCs w:val="22"/>
        </w:rPr>
        <w:t>Frank Barlow</w:t>
      </w:r>
      <w:r w:rsidRPr="00EE44AE">
        <w:rPr>
          <w:rFonts w:ascii="Times New Roman" w:eastAsia="Times New Roman" w:hAnsi="Times New Roman" w:cs="Times New Roman"/>
          <w:color w:val="000000" w:themeColor="text1"/>
          <w:sz w:val="22"/>
          <w:szCs w:val="22"/>
        </w:rPr>
        <w:fldChar w:fldCharType="end"/>
      </w:r>
      <w:r w:rsidRPr="00EE44AE">
        <w:rPr>
          <w:rFonts w:ascii="Times New Roman" w:eastAsia="Times New Roman" w:hAnsi="Times New Roman" w:cs="Times New Roman"/>
          <w:color w:val="000000" w:themeColor="text1"/>
          <w:sz w:val="22"/>
          <w:szCs w:val="22"/>
        </w:rPr>
        <w:t xml:space="preserve">, </w:t>
      </w:r>
      <w:r w:rsidRPr="00EE44AE">
        <w:rPr>
          <w:rFonts w:ascii="Times New Roman" w:eastAsia="Times New Roman" w:hAnsi="Times New Roman" w:cs="Times New Roman"/>
          <w:i/>
          <w:iCs/>
          <w:color w:val="000000" w:themeColor="text1"/>
          <w:sz w:val="22"/>
          <w:szCs w:val="22"/>
        </w:rPr>
        <w:t>Roger of Howden</w:t>
      </w:r>
      <w:r w:rsidRPr="00EE44AE">
        <w:rPr>
          <w:rFonts w:ascii="Times New Roman" w:eastAsia="Times New Roman" w:hAnsi="Times New Roman" w:cs="Times New Roman"/>
          <w:color w:val="000000" w:themeColor="text1"/>
          <w:sz w:val="22"/>
          <w:szCs w:val="22"/>
        </w:rPr>
        <w:t>,</w:t>
      </w:r>
      <w:r w:rsidR="00372FC7" w:rsidRPr="00EE44AE">
        <w:rPr>
          <w:rFonts w:ascii="Times New Roman" w:eastAsia="Times New Roman" w:hAnsi="Times New Roman" w:cs="Times New Roman"/>
          <w:color w:val="000000" w:themeColor="text1"/>
          <w:sz w:val="22"/>
          <w:szCs w:val="22"/>
        </w:rPr>
        <w:t xml:space="preserve"> </w:t>
      </w:r>
      <w:r w:rsidRPr="00EE44AE">
        <w:rPr>
          <w:rFonts w:ascii="Times New Roman" w:eastAsia="Times New Roman" w:hAnsi="Times New Roman" w:cs="Times New Roman"/>
          <w:i/>
          <w:iCs/>
          <w:color w:val="000000" w:themeColor="text1"/>
          <w:sz w:val="22"/>
          <w:szCs w:val="22"/>
        </w:rPr>
        <w:t>The English Historical Review</w:t>
      </w:r>
      <w:r w:rsidRPr="00EE44AE">
        <w:rPr>
          <w:rFonts w:ascii="Times New Roman" w:eastAsia="Times New Roman" w:hAnsi="Times New Roman" w:cs="Times New Roman"/>
          <w:color w:val="000000" w:themeColor="text1"/>
          <w:sz w:val="22"/>
          <w:szCs w:val="22"/>
        </w:rPr>
        <w:t xml:space="preserve">, Volume LXV, Issue CCLVI, July 1950, </w:t>
      </w:r>
      <w:bookmarkEnd w:id="2"/>
      <w:r w:rsidRPr="00EE44AE">
        <w:rPr>
          <w:rFonts w:ascii="Times New Roman" w:eastAsia="Times New Roman" w:hAnsi="Times New Roman" w:cs="Times New Roman"/>
          <w:color w:val="000000" w:themeColor="text1"/>
          <w:sz w:val="22"/>
          <w:szCs w:val="22"/>
        </w:rPr>
        <w:t>Pages 352–360</w:t>
      </w:r>
      <w:r w:rsidR="00ED0C67" w:rsidRPr="00EE44AE">
        <w:rPr>
          <w:rFonts w:ascii="Times New Roman" w:eastAsia="Times New Roman" w:hAnsi="Times New Roman" w:cs="Times New Roman"/>
          <w:color w:val="000000" w:themeColor="text1"/>
          <w:sz w:val="22"/>
          <w:szCs w:val="22"/>
        </w:rPr>
        <w:t>.</w:t>
      </w:r>
    </w:p>
  </w:footnote>
  <w:footnote w:id="5">
    <w:p w14:paraId="187B0489" w14:textId="5CF741BF" w:rsidR="000B4BE0" w:rsidRPr="000929D1" w:rsidRDefault="0047099E" w:rsidP="00995204">
      <w:pPr>
        <w:pStyle w:val="Heading1"/>
        <w:spacing w:before="0" w:after="0"/>
        <w:rPr>
          <w:rFonts w:ascii="Times New Roman" w:hAnsi="Times New Roman" w:cs="Times New Roman"/>
          <w:color w:val="auto"/>
          <w:sz w:val="22"/>
          <w:szCs w:val="22"/>
        </w:rPr>
      </w:pPr>
      <w:r w:rsidRPr="000929D1">
        <w:rPr>
          <w:rStyle w:val="FootnoteReference"/>
          <w:rFonts w:ascii="Times New Roman" w:hAnsi="Times New Roman" w:cs="Times New Roman"/>
          <w:color w:val="auto"/>
          <w:sz w:val="22"/>
          <w:szCs w:val="22"/>
        </w:rPr>
        <w:footnoteRef/>
      </w:r>
      <w:r w:rsidRPr="000929D1">
        <w:rPr>
          <w:rFonts w:ascii="Times New Roman" w:hAnsi="Times New Roman" w:cs="Times New Roman"/>
          <w:color w:val="auto"/>
          <w:sz w:val="22"/>
          <w:szCs w:val="22"/>
        </w:rPr>
        <w:t xml:space="preserve"> </w:t>
      </w:r>
      <w:bookmarkStart w:id="3" w:name="_Hlk119313128"/>
      <w:r w:rsidRPr="000929D1">
        <w:rPr>
          <w:rFonts w:ascii="Times New Roman" w:hAnsi="Times New Roman" w:cs="Times New Roman"/>
          <w:color w:val="auto"/>
          <w:sz w:val="22"/>
          <w:szCs w:val="22"/>
        </w:rPr>
        <w:t xml:space="preserve">John Gillingham, "Roger of Howden on Crusade", in </w:t>
      </w:r>
      <w:r w:rsidRPr="000929D1">
        <w:rPr>
          <w:rFonts w:ascii="Times New Roman" w:hAnsi="Times New Roman" w:cs="Times New Roman"/>
          <w:i/>
          <w:iCs/>
          <w:color w:val="auto"/>
          <w:sz w:val="22"/>
          <w:szCs w:val="22"/>
        </w:rPr>
        <w:t>Richard Cœur de Lion: Kingship, Chivalry and War in the Twelfth Century</w:t>
      </w:r>
      <w:r w:rsidRPr="000929D1">
        <w:rPr>
          <w:rFonts w:ascii="Times New Roman" w:hAnsi="Times New Roman" w:cs="Times New Roman"/>
          <w:color w:val="auto"/>
          <w:sz w:val="22"/>
          <w:szCs w:val="22"/>
        </w:rPr>
        <w:t xml:space="preserve"> (London</w:t>
      </w:r>
      <w:r w:rsidR="00136330" w:rsidRPr="000929D1">
        <w:rPr>
          <w:rFonts w:ascii="Times New Roman" w:hAnsi="Times New Roman" w:cs="Times New Roman"/>
          <w:color w:val="auto"/>
          <w:sz w:val="22"/>
          <w:szCs w:val="22"/>
        </w:rPr>
        <w:t>:</w:t>
      </w:r>
      <w:r w:rsidR="00E957A9" w:rsidRPr="000929D1">
        <w:rPr>
          <w:rFonts w:ascii="Times New Roman" w:eastAsia="Times New Roman" w:hAnsi="Times New Roman" w:cs="Times New Roman"/>
          <w:color w:val="auto"/>
          <w:kern w:val="36"/>
          <w:sz w:val="22"/>
          <w:szCs w:val="22"/>
        </w:rPr>
        <w:t xml:space="preserve"> The Hambledon Press</w:t>
      </w:r>
      <w:r w:rsidR="00E957A9" w:rsidRPr="000929D1">
        <w:rPr>
          <w:rFonts w:ascii="Times New Roman" w:eastAsia="Times New Roman" w:hAnsi="Times New Roman" w:cs="Times New Roman"/>
          <w:b/>
          <w:bCs/>
          <w:color w:val="auto"/>
          <w:kern w:val="36"/>
          <w:sz w:val="22"/>
          <w:szCs w:val="22"/>
        </w:rPr>
        <w:t>,</w:t>
      </w:r>
      <w:r w:rsidR="00360B4E" w:rsidRPr="000929D1">
        <w:rPr>
          <w:rFonts w:ascii="Times New Roman" w:eastAsia="Times New Roman" w:hAnsi="Times New Roman" w:cs="Times New Roman"/>
          <w:b/>
          <w:bCs/>
          <w:color w:val="auto"/>
          <w:kern w:val="36"/>
          <w:sz w:val="22"/>
          <w:szCs w:val="22"/>
        </w:rPr>
        <w:t xml:space="preserve"> </w:t>
      </w:r>
      <w:r w:rsidRPr="000929D1">
        <w:rPr>
          <w:rFonts w:ascii="Times New Roman" w:hAnsi="Times New Roman" w:cs="Times New Roman"/>
          <w:color w:val="auto"/>
          <w:sz w:val="22"/>
          <w:szCs w:val="22"/>
        </w:rPr>
        <w:t>1994)</w:t>
      </w:r>
      <w:bookmarkEnd w:id="3"/>
      <w:r w:rsidR="000B4BE0" w:rsidRPr="000929D1">
        <w:rPr>
          <w:rFonts w:ascii="Times New Roman" w:hAnsi="Times New Roman" w:cs="Times New Roman"/>
          <w:color w:val="auto"/>
          <w:sz w:val="22"/>
          <w:szCs w:val="22"/>
        </w:rPr>
        <w:t>.</w:t>
      </w:r>
    </w:p>
  </w:footnote>
  <w:footnote w:id="6">
    <w:p w14:paraId="016247D9" w14:textId="130D487B" w:rsidR="00EB2340" w:rsidRPr="000929D1" w:rsidRDefault="00EB2340" w:rsidP="00995204">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bookmarkStart w:id="4" w:name="_Hlk119312636"/>
      <w:r w:rsidR="00F91400" w:rsidRPr="000929D1">
        <w:rPr>
          <w:rFonts w:ascii="Times New Roman" w:hAnsi="Times New Roman" w:cs="Times New Roman"/>
          <w:sz w:val="22"/>
          <w:szCs w:val="22"/>
        </w:rPr>
        <w:t xml:space="preserve">John Gillingham, </w:t>
      </w:r>
      <w:r w:rsidR="00F91400" w:rsidRPr="000929D1">
        <w:rPr>
          <w:rFonts w:ascii="Times New Roman" w:hAnsi="Times New Roman" w:cs="Times New Roman"/>
          <w:i/>
          <w:iCs/>
          <w:sz w:val="22"/>
          <w:szCs w:val="22"/>
        </w:rPr>
        <w:t>The Angevin Empire</w:t>
      </w:r>
      <w:r w:rsidR="00F91400" w:rsidRPr="000929D1">
        <w:rPr>
          <w:rFonts w:ascii="Times New Roman" w:hAnsi="Times New Roman" w:cs="Times New Roman"/>
          <w:sz w:val="22"/>
          <w:szCs w:val="22"/>
        </w:rPr>
        <w:t xml:space="preserve">, </w:t>
      </w:r>
      <w:r w:rsidR="00337116" w:rsidRPr="000929D1">
        <w:rPr>
          <w:rFonts w:ascii="Times New Roman" w:hAnsi="Times New Roman" w:cs="Times New Roman"/>
          <w:sz w:val="22"/>
          <w:szCs w:val="22"/>
        </w:rPr>
        <w:t>(New York</w:t>
      </w:r>
      <w:r w:rsidR="00332B73" w:rsidRPr="000929D1">
        <w:rPr>
          <w:rFonts w:ascii="Times New Roman" w:hAnsi="Times New Roman" w:cs="Times New Roman"/>
          <w:sz w:val="22"/>
          <w:szCs w:val="22"/>
        </w:rPr>
        <w:t>:</w:t>
      </w:r>
      <w:r w:rsidR="00337116" w:rsidRPr="000929D1">
        <w:rPr>
          <w:rFonts w:ascii="Times New Roman" w:hAnsi="Times New Roman" w:cs="Times New Roman"/>
          <w:sz w:val="22"/>
          <w:szCs w:val="22"/>
        </w:rPr>
        <w:t xml:space="preserve"> Oxfor</w:t>
      </w:r>
      <w:r w:rsidR="00332B73" w:rsidRPr="000929D1">
        <w:rPr>
          <w:rFonts w:ascii="Times New Roman" w:hAnsi="Times New Roman" w:cs="Times New Roman"/>
          <w:sz w:val="22"/>
          <w:szCs w:val="22"/>
        </w:rPr>
        <w:t>d University Press, 2001</w:t>
      </w:r>
      <w:bookmarkEnd w:id="4"/>
      <w:r w:rsidR="00332B73" w:rsidRPr="000929D1">
        <w:rPr>
          <w:rFonts w:ascii="Times New Roman" w:hAnsi="Times New Roman" w:cs="Times New Roman"/>
          <w:sz w:val="22"/>
          <w:szCs w:val="22"/>
        </w:rPr>
        <w:t>) p. 35</w:t>
      </w:r>
    </w:p>
  </w:footnote>
  <w:footnote w:id="7">
    <w:p w14:paraId="15FEB720" w14:textId="3F29456A" w:rsidR="00436C41" w:rsidRPr="000929D1" w:rsidRDefault="00436C41" w:rsidP="004A2ACD">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bookmarkStart w:id="5" w:name="_Hlk119312755"/>
      <w:r w:rsidR="00B7389B" w:rsidRPr="000929D1">
        <w:rPr>
          <w:rFonts w:ascii="Times New Roman" w:hAnsi="Times New Roman" w:cs="Times New Roman"/>
          <w:sz w:val="22"/>
          <w:szCs w:val="22"/>
        </w:rPr>
        <w:t xml:space="preserve">Antonia Gransden, </w:t>
      </w:r>
      <w:r w:rsidR="00B7389B" w:rsidRPr="000929D1">
        <w:rPr>
          <w:rFonts w:ascii="Times New Roman" w:hAnsi="Times New Roman" w:cs="Times New Roman"/>
          <w:i/>
          <w:iCs/>
          <w:sz w:val="22"/>
          <w:szCs w:val="22"/>
        </w:rPr>
        <w:t>Historical Writing in England c 550 to c1307</w:t>
      </w:r>
      <w:r w:rsidR="00B7389B" w:rsidRPr="000929D1">
        <w:rPr>
          <w:rFonts w:ascii="Times New Roman" w:hAnsi="Times New Roman" w:cs="Times New Roman"/>
          <w:sz w:val="22"/>
          <w:szCs w:val="22"/>
        </w:rPr>
        <w:t xml:space="preserve"> (London: Publishing, 1974</w:t>
      </w:r>
      <w:bookmarkEnd w:id="5"/>
      <w:r w:rsidR="00B7389B" w:rsidRPr="000929D1">
        <w:rPr>
          <w:rFonts w:ascii="Times New Roman" w:hAnsi="Times New Roman" w:cs="Times New Roman"/>
          <w:sz w:val="22"/>
          <w:szCs w:val="22"/>
        </w:rPr>
        <w:t>) p. 219</w:t>
      </w:r>
    </w:p>
  </w:footnote>
  <w:footnote w:id="8">
    <w:p w14:paraId="29A51A87" w14:textId="423C4C65" w:rsidR="004E77AD" w:rsidRPr="000929D1" w:rsidRDefault="004E77AD" w:rsidP="004A2ACD">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bookmarkStart w:id="6" w:name="_Hlk119313474"/>
      <w:r w:rsidRPr="000929D1">
        <w:rPr>
          <w:rFonts w:ascii="Times New Roman" w:hAnsi="Times New Roman" w:cs="Times New Roman"/>
          <w:sz w:val="22"/>
          <w:szCs w:val="22"/>
        </w:rPr>
        <w:t xml:space="preserve">WL Warren </w:t>
      </w:r>
      <w:r w:rsidRPr="000929D1">
        <w:rPr>
          <w:rFonts w:ascii="Times New Roman" w:hAnsi="Times New Roman" w:cs="Times New Roman"/>
          <w:i/>
          <w:iCs/>
          <w:sz w:val="22"/>
          <w:szCs w:val="22"/>
        </w:rPr>
        <w:t>Henry II</w:t>
      </w:r>
      <w:r w:rsidRPr="000929D1">
        <w:rPr>
          <w:rFonts w:ascii="Times New Roman" w:hAnsi="Times New Roman" w:cs="Times New Roman"/>
          <w:sz w:val="22"/>
          <w:szCs w:val="22"/>
        </w:rPr>
        <w:t xml:space="preserve">, (Berkley and Los Angeles: University of California </w:t>
      </w:r>
      <w:r w:rsidR="00D646C6" w:rsidRPr="000929D1">
        <w:rPr>
          <w:rFonts w:ascii="Times New Roman" w:hAnsi="Times New Roman" w:cs="Times New Roman"/>
          <w:sz w:val="22"/>
          <w:szCs w:val="22"/>
        </w:rPr>
        <w:t>Press, 1973</w:t>
      </w:r>
      <w:bookmarkEnd w:id="6"/>
      <w:r w:rsidRPr="000929D1">
        <w:rPr>
          <w:rFonts w:ascii="Times New Roman" w:hAnsi="Times New Roman" w:cs="Times New Roman"/>
          <w:sz w:val="22"/>
          <w:szCs w:val="22"/>
        </w:rPr>
        <w:t>) p.</w:t>
      </w:r>
      <w:r w:rsidR="00556290" w:rsidRPr="000929D1">
        <w:rPr>
          <w:rFonts w:ascii="Times New Roman" w:hAnsi="Times New Roman" w:cs="Times New Roman"/>
          <w:sz w:val="22"/>
          <w:szCs w:val="22"/>
        </w:rPr>
        <w:t xml:space="preserve"> 626</w:t>
      </w:r>
    </w:p>
  </w:footnote>
  <w:footnote w:id="9">
    <w:p w14:paraId="5F161BEA" w14:textId="2924837E" w:rsidR="00EC2ECD" w:rsidRPr="000929D1" w:rsidRDefault="00EC2ECD" w:rsidP="004A2ACD">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r w:rsidR="004441E1" w:rsidRPr="000929D1">
        <w:rPr>
          <w:rFonts w:ascii="Times New Roman" w:hAnsi="Times New Roman" w:cs="Times New Roman"/>
          <w:sz w:val="22"/>
          <w:szCs w:val="22"/>
        </w:rPr>
        <w:t xml:space="preserve">Nigel Bryant translator </w:t>
      </w:r>
      <w:r w:rsidR="004441E1" w:rsidRPr="000929D1">
        <w:rPr>
          <w:rFonts w:ascii="Times New Roman" w:hAnsi="Times New Roman" w:cs="Times New Roman"/>
          <w:i/>
          <w:iCs/>
          <w:sz w:val="22"/>
          <w:szCs w:val="22"/>
        </w:rPr>
        <w:t xml:space="preserve">The History of William Marshal, The True Story of England’s Greatest </w:t>
      </w:r>
      <w:r w:rsidR="00262D3C" w:rsidRPr="000929D1">
        <w:rPr>
          <w:rFonts w:ascii="Times New Roman" w:hAnsi="Times New Roman" w:cs="Times New Roman"/>
          <w:i/>
          <w:iCs/>
          <w:sz w:val="22"/>
          <w:szCs w:val="22"/>
        </w:rPr>
        <w:t>Knight,</w:t>
      </w:r>
      <w:r w:rsidR="00262D3C" w:rsidRPr="000929D1">
        <w:rPr>
          <w:rFonts w:ascii="Times New Roman" w:hAnsi="Times New Roman" w:cs="Times New Roman"/>
          <w:sz w:val="22"/>
          <w:szCs w:val="22"/>
        </w:rPr>
        <w:t xml:space="preserve"> (</w:t>
      </w:r>
      <w:r w:rsidR="00EF3539" w:rsidRPr="000929D1">
        <w:rPr>
          <w:rFonts w:ascii="Times New Roman" w:hAnsi="Times New Roman" w:cs="Times New Roman"/>
          <w:sz w:val="22"/>
          <w:szCs w:val="22"/>
        </w:rPr>
        <w:t>Woodbridge, Suffolk</w:t>
      </w:r>
      <w:r w:rsidR="00262D3C" w:rsidRPr="000929D1">
        <w:rPr>
          <w:rFonts w:ascii="Times New Roman" w:hAnsi="Times New Roman" w:cs="Times New Roman"/>
          <w:sz w:val="22"/>
          <w:szCs w:val="22"/>
        </w:rPr>
        <w:t>:</w:t>
      </w:r>
      <w:r w:rsidR="00EF3539" w:rsidRPr="000929D1">
        <w:rPr>
          <w:rFonts w:ascii="Times New Roman" w:hAnsi="Times New Roman" w:cs="Times New Roman"/>
          <w:sz w:val="22"/>
          <w:szCs w:val="22"/>
        </w:rPr>
        <w:t xml:space="preserve"> Boydell and Brewer</w:t>
      </w:r>
      <w:r w:rsidR="00262D3C" w:rsidRPr="000929D1">
        <w:rPr>
          <w:rFonts w:ascii="Times New Roman" w:hAnsi="Times New Roman" w:cs="Times New Roman"/>
          <w:sz w:val="22"/>
          <w:szCs w:val="22"/>
        </w:rPr>
        <w:t>,</w:t>
      </w:r>
      <w:r w:rsidR="00EF3539" w:rsidRPr="000929D1">
        <w:rPr>
          <w:rFonts w:ascii="Times New Roman" w:hAnsi="Times New Roman" w:cs="Times New Roman"/>
          <w:sz w:val="22"/>
          <w:szCs w:val="22"/>
        </w:rPr>
        <w:t xml:space="preserve"> 2016)</w:t>
      </w:r>
      <w:r w:rsidRPr="000929D1">
        <w:rPr>
          <w:rFonts w:ascii="Times New Roman" w:hAnsi="Times New Roman" w:cs="Times New Roman"/>
          <w:sz w:val="22"/>
          <w:szCs w:val="22"/>
        </w:rPr>
        <w:t xml:space="preserve"> </w:t>
      </w:r>
      <w:r w:rsidR="00EF3539" w:rsidRPr="000929D1">
        <w:rPr>
          <w:rFonts w:ascii="Times New Roman" w:hAnsi="Times New Roman" w:cs="Times New Roman"/>
          <w:sz w:val="22"/>
          <w:szCs w:val="22"/>
        </w:rPr>
        <w:t>p</w:t>
      </w:r>
      <w:r w:rsidRPr="000929D1">
        <w:rPr>
          <w:rFonts w:ascii="Times New Roman" w:hAnsi="Times New Roman" w:cs="Times New Roman"/>
          <w:sz w:val="22"/>
          <w:szCs w:val="22"/>
        </w:rPr>
        <w:t xml:space="preserve">p. </w:t>
      </w:r>
      <w:r w:rsidR="00CB6269" w:rsidRPr="000929D1">
        <w:rPr>
          <w:rFonts w:ascii="Times New Roman" w:hAnsi="Times New Roman" w:cs="Times New Roman"/>
          <w:sz w:val="22"/>
          <w:szCs w:val="22"/>
        </w:rPr>
        <w:t>218-224</w:t>
      </w:r>
    </w:p>
  </w:footnote>
  <w:footnote w:id="10">
    <w:p w14:paraId="10D0043C" w14:textId="6C648817" w:rsidR="007B6362" w:rsidRPr="000929D1" w:rsidRDefault="007B6362" w:rsidP="00B43563">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Thomas Asbridge, </w:t>
      </w:r>
      <w:r w:rsidRPr="000929D1">
        <w:rPr>
          <w:rFonts w:ascii="Times New Roman" w:hAnsi="Times New Roman" w:cs="Times New Roman"/>
          <w:i/>
          <w:iCs/>
          <w:sz w:val="22"/>
          <w:szCs w:val="22"/>
        </w:rPr>
        <w:t>The Greatest Knight</w:t>
      </w:r>
      <w:r w:rsidRPr="000929D1">
        <w:rPr>
          <w:rFonts w:ascii="Times New Roman" w:hAnsi="Times New Roman" w:cs="Times New Roman"/>
          <w:sz w:val="22"/>
          <w:szCs w:val="22"/>
        </w:rPr>
        <w:t>,</w:t>
      </w:r>
      <w:r w:rsidR="00810976" w:rsidRPr="000929D1">
        <w:rPr>
          <w:rFonts w:ascii="Times New Roman" w:hAnsi="Times New Roman" w:cs="Times New Roman"/>
          <w:sz w:val="22"/>
          <w:szCs w:val="22"/>
        </w:rPr>
        <w:t xml:space="preserve"> </w:t>
      </w:r>
      <w:r w:rsidR="00C74FBF" w:rsidRPr="000929D1">
        <w:rPr>
          <w:rFonts w:ascii="Times New Roman" w:hAnsi="Times New Roman" w:cs="Times New Roman"/>
          <w:sz w:val="22"/>
          <w:szCs w:val="22"/>
        </w:rPr>
        <w:t>(</w:t>
      </w:r>
      <w:r w:rsidR="00F44E8F" w:rsidRPr="000929D1">
        <w:rPr>
          <w:rFonts w:ascii="Times New Roman" w:hAnsi="Times New Roman" w:cs="Times New Roman"/>
          <w:sz w:val="22"/>
          <w:szCs w:val="22"/>
        </w:rPr>
        <w:t xml:space="preserve">New </w:t>
      </w:r>
      <w:r w:rsidR="00F66BAF" w:rsidRPr="000929D1">
        <w:rPr>
          <w:rFonts w:ascii="Times New Roman" w:hAnsi="Times New Roman" w:cs="Times New Roman"/>
          <w:sz w:val="22"/>
          <w:szCs w:val="22"/>
        </w:rPr>
        <w:t>York, Ecco</w:t>
      </w:r>
      <w:r w:rsidR="00B76D4E" w:rsidRPr="000929D1">
        <w:rPr>
          <w:rFonts w:ascii="Times New Roman" w:hAnsi="Times New Roman" w:cs="Times New Roman"/>
          <w:sz w:val="22"/>
          <w:szCs w:val="22"/>
        </w:rPr>
        <w:t xml:space="preserve"> </w:t>
      </w:r>
      <w:r w:rsidR="00BC0B74" w:rsidRPr="000929D1">
        <w:rPr>
          <w:rFonts w:ascii="Times New Roman" w:hAnsi="Times New Roman" w:cs="Times New Roman"/>
          <w:sz w:val="22"/>
          <w:szCs w:val="22"/>
        </w:rPr>
        <w:t xml:space="preserve">Publishing, </w:t>
      </w:r>
      <w:r w:rsidR="00B76D4E" w:rsidRPr="000929D1">
        <w:rPr>
          <w:rFonts w:ascii="Times New Roman" w:hAnsi="Times New Roman" w:cs="Times New Roman"/>
          <w:sz w:val="22"/>
          <w:szCs w:val="22"/>
        </w:rPr>
        <w:t>2014</w:t>
      </w:r>
      <w:r w:rsidR="00C74FBF" w:rsidRPr="000929D1">
        <w:rPr>
          <w:rFonts w:ascii="Times New Roman" w:hAnsi="Times New Roman" w:cs="Times New Roman"/>
          <w:sz w:val="22"/>
          <w:szCs w:val="22"/>
        </w:rPr>
        <w:t xml:space="preserve">) p. </w:t>
      </w:r>
      <w:r w:rsidR="008A5FAE" w:rsidRPr="000929D1">
        <w:rPr>
          <w:rFonts w:ascii="Times New Roman" w:hAnsi="Times New Roman" w:cs="Times New Roman"/>
          <w:sz w:val="22"/>
          <w:szCs w:val="22"/>
        </w:rPr>
        <w:t>18</w:t>
      </w:r>
      <w:r w:rsidR="00F3778C" w:rsidRPr="000929D1">
        <w:rPr>
          <w:rFonts w:ascii="Times New Roman" w:hAnsi="Times New Roman" w:cs="Times New Roman"/>
          <w:sz w:val="22"/>
          <w:szCs w:val="22"/>
        </w:rPr>
        <w:t>, 82</w:t>
      </w:r>
    </w:p>
  </w:footnote>
  <w:footnote w:id="11">
    <w:p w14:paraId="3BDB2F09" w14:textId="55C6268E" w:rsidR="00C271C0" w:rsidRPr="000929D1" w:rsidRDefault="00C271C0">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bookmarkStart w:id="7" w:name="_Hlk119312799"/>
      <w:r w:rsidR="003C43E0" w:rsidRPr="000929D1">
        <w:rPr>
          <w:rFonts w:ascii="Times New Roman" w:hAnsi="Times New Roman" w:cs="Times New Roman"/>
          <w:sz w:val="22"/>
          <w:szCs w:val="22"/>
        </w:rPr>
        <w:t xml:space="preserve">Chris Given-Wilson, </w:t>
      </w:r>
      <w:r w:rsidR="003C43E0" w:rsidRPr="000929D1">
        <w:rPr>
          <w:rFonts w:ascii="Times New Roman" w:hAnsi="Times New Roman" w:cs="Times New Roman"/>
          <w:i/>
          <w:iCs/>
          <w:sz w:val="22"/>
          <w:szCs w:val="22"/>
        </w:rPr>
        <w:t>Chronicles</w:t>
      </w:r>
      <w:r w:rsidR="003C43E0" w:rsidRPr="000929D1">
        <w:rPr>
          <w:rFonts w:ascii="Times New Roman" w:hAnsi="Times New Roman" w:cs="Times New Roman"/>
          <w:sz w:val="22"/>
          <w:szCs w:val="22"/>
        </w:rPr>
        <w:t xml:space="preserve">, </w:t>
      </w:r>
      <w:r w:rsidR="003C43E0" w:rsidRPr="000929D1">
        <w:rPr>
          <w:rFonts w:ascii="Times New Roman" w:hAnsi="Times New Roman" w:cs="Times New Roman"/>
          <w:i/>
          <w:iCs/>
          <w:sz w:val="22"/>
          <w:szCs w:val="22"/>
        </w:rPr>
        <w:t>The Writing of History in Medieval England</w:t>
      </w:r>
      <w:r w:rsidR="003C43E0" w:rsidRPr="000929D1">
        <w:rPr>
          <w:rFonts w:ascii="Times New Roman" w:hAnsi="Times New Roman" w:cs="Times New Roman"/>
          <w:sz w:val="22"/>
          <w:szCs w:val="22"/>
        </w:rPr>
        <w:t xml:space="preserve">, </w:t>
      </w:r>
      <w:r w:rsidR="00D657A8" w:rsidRPr="000929D1">
        <w:rPr>
          <w:rFonts w:ascii="Times New Roman" w:hAnsi="Times New Roman" w:cs="Times New Roman"/>
          <w:sz w:val="22"/>
          <w:szCs w:val="22"/>
        </w:rPr>
        <w:t>(Lancaster PA</w:t>
      </w:r>
      <w:r w:rsidR="00FC7E7C" w:rsidRPr="000929D1">
        <w:rPr>
          <w:rFonts w:ascii="Times New Roman" w:hAnsi="Times New Roman" w:cs="Times New Roman"/>
          <w:sz w:val="22"/>
          <w:szCs w:val="22"/>
        </w:rPr>
        <w:t xml:space="preserve">: </w:t>
      </w:r>
      <w:r w:rsidR="00D657A8" w:rsidRPr="000929D1">
        <w:rPr>
          <w:rFonts w:ascii="Times New Roman" w:hAnsi="Times New Roman" w:cs="Times New Roman"/>
          <w:sz w:val="22"/>
          <w:szCs w:val="22"/>
        </w:rPr>
        <w:t>Carnegie Publishing</w:t>
      </w:r>
      <w:r w:rsidR="00E80793" w:rsidRPr="000929D1">
        <w:rPr>
          <w:rFonts w:ascii="Times New Roman" w:hAnsi="Times New Roman" w:cs="Times New Roman"/>
          <w:sz w:val="22"/>
          <w:szCs w:val="22"/>
        </w:rPr>
        <w:t>, 2004)</w:t>
      </w:r>
      <w:r w:rsidR="00CB1866" w:rsidRPr="000929D1">
        <w:rPr>
          <w:rFonts w:ascii="Times New Roman" w:hAnsi="Times New Roman" w:cs="Times New Roman"/>
          <w:sz w:val="22"/>
          <w:szCs w:val="22"/>
        </w:rPr>
        <w:t xml:space="preserve"> </w:t>
      </w:r>
      <w:bookmarkEnd w:id="7"/>
      <w:r w:rsidR="00CB1866" w:rsidRPr="000929D1">
        <w:rPr>
          <w:rFonts w:ascii="Times New Roman" w:hAnsi="Times New Roman" w:cs="Times New Roman"/>
          <w:sz w:val="22"/>
          <w:szCs w:val="22"/>
        </w:rPr>
        <w:t xml:space="preserve">p. </w:t>
      </w:r>
      <w:r w:rsidR="00EA3EC2" w:rsidRPr="000929D1">
        <w:rPr>
          <w:rFonts w:ascii="Times New Roman" w:hAnsi="Times New Roman" w:cs="Times New Roman"/>
          <w:sz w:val="22"/>
          <w:szCs w:val="22"/>
        </w:rPr>
        <w:t>xix</w:t>
      </w:r>
    </w:p>
  </w:footnote>
  <w:footnote w:id="12">
    <w:p w14:paraId="7CA3C317" w14:textId="4E521F51" w:rsidR="00E461E2" w:rsidRPr="000929D1" w:rsidRDefault="00E461E2">
      <w:pPr>
        <w:pStyle w:val="FootnoteText"/>
        <w:rPr>
          <w:rFonts w:ascii="Times New Roman" w:hAnsi="Times New Roman" w:cs="Times New Roman"/>
          <w:sz w:val="22"/>
          <w:szCs w:val="22"/>
        </w:rPr>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Strickland p 316-317</w:t>
      </w:r>
      <w:r w:rsidR="002A07A7" w:rsidRPr="000929D1">
        <w:rPr>
          <w:rFonts w:ascii="Times New Roman" w:hAnsi="Times New Roman" w:cs="Times New Roman"/>
          <w:sz w:val="22"/>
          <w:szCs w:val="22"/>
        </w:rPr>
        <w:t xml:space="preserve">, </w:t>
      </w:r>
      <w:r w:rsidR="00C02097" w:rsidRPr="000929D1">
        <w:rPr>
          <w:rFonts w:ascii="Times New Roman" w:hAnsi="Times New Roman" w:cs="Times New Roman"/>
          <w:sz w:val="22"/>
          <w:szCs w:val="22"/>
        </w:rPr>
        <w:t>John Gillingham The Angevin Empire, p.</w:t>
      </w:r>
      <w:r w:rsidR="00F33F43" w:rsidRPr="000929D1">
        <w:rPr>
          <w:rFonts w:ascii="Times New Roman" w:hAnsi="Times New Roman" w:cs="Times New Roman"/>
          <w:sz w:val="22"/>
          <w:szCs w:val="22"/>
        </w:rPr>
        <w:t xml:space="preserve"> 75</w:t>
      </w:r>
    </w:p>
  </w:footnote>
  <w:footnote w:id="13">
    <w:p w14:paraId="6425287D" w14:textId="383525ED" w:rsidR="001D06DC" w:rsidRDefault="001D06DC">
      <w:pPr>
        <w:pStyle w:val="FootnoteText"/>
      </w:pPr>
      <w:r w:rsidRPr="000929D1">
        <w:rPr>
          <w:rStyle w:val="FootnoteReference"/>
          <w:rFonts w:ascii="Times New Roman" w:hAnsi="Times New Roman" w:cs="Times New Roman"/>
          <w:sz w:val="22"/>
          <w:szCs w:val="22"/>
        </w:rPr>
        <w:footnoteRef/>
      </w:r>
      <w:r w:rsidRPr="000929D1">
        <w:rPr>
          <w:rFonts w:ascii="Times New Roman" w:hAnsi="Times New Roman" w:cs="Times New Roman"/>
          <w:sz w:val="22"/>
          <w:szCs w:val="22"/>
        </w:rPr>
        <w:t xml:space="preserve"> </w:t>
      </w:r>
      <w:r w:rsidR="00AA71B5" w:rsidRPr="000929D1">
        <w:rPr>
          <w:rFonts w:ascii="Times New Roman" w:hAnsi="Times New Roman" w:cs="Times New Roman"/>
          <w:sz w:val="22"/>
          <w:szCs w:val="22"/>
        </w:rPr>
        <w:t>Nigel Bryant</w:t>
      </w:r>
      <w:r w:rsidR="00FC7E7C" w:rsidRPr="000929D1">
        <w:rPr>
          <w:rFonts w:ascii="Times New Roman" w:hAnsi="Times New Roman" w:cs="Times New Roman"/>
          <w:sz w:val="22"/>
          <w:szCs w:val="22"/>
        </w:rPr>
        <w:t>,</w:t>
      </w:r>
      <w:r w:rsidR="00F738AE" w:rsidRPr="000929D1">
        <w:rPr>
          <w:rFonts w:ascii="Times New Roman" w:hAnsi="Times New Roman" w:cs="Times New Roman"/>
          <w:sz w:val="22"/>
          <w:szCs w:val="22"/>
        </w:rPr>
        <w:t xml:space="preserve"> </w:t>
      </w:r>
      <w:r w:rsidR="00A33776" w:rsidRPr="000929D1">
        <w:rPr>
          <w:rFonts w:ascii="Times New Roman" w:hAnsi="Times New Roman" w:cs="Times New Roman"/>
          <w:sz w:val="22"/>
          <w:szCs w:val="22"/>
        </w:rPr>
        <w:t>pp 122-123</w:t>
      </w:r>
      <w:r w:rsidR="00AA71B5" w:rsidRPr="000929D1">
        <w:rPr>
          <w:rFonts w:ascii="Times New Roman" w:hAnsi="Times New Roman" w:cs="Times New Roman"/>
          <w:sz w:val="22"/>
          <w:szCs w:val="22"/>
        </w:rPr>
        <w:t xml:space="preserve">                                                                                            </w:t>
      </w:r>
    </w:p>
  </w:footnote>
  <w:footnote w:id="14">
    <w:p w14:paraId="21D702A7" w14:textId="58F70F4F" w:rsidR="004B1CE4" w:rsidRPr="00713391" w:rsidRDefault="004B1CE4">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r w:rsidR="00A35CFD" w:rsidRPr="00713391">
        <w:rPr>
          <w:rFonts w:ascii="Times New Roman" w:hAnsi="Times New Roman" w:cs="Times New Roman"/>
          <w:sz w:val="22"/>
          <w:szCs w:val="22"/>
        </w:rPr>
        <w:t xml:space="preserve"> </w:t>
      </w:r>
      <w:bookmarkStart w:id="8" w:name="_Hlk119311809"/>
      <w:r w:rsidR="00A35CFD" w:rsidRPr="00713391">
        <w:rPr>
          <w:rFonts w:ascii="Times New Roman" w:hAnsi="Times New Roman" w:cs="Times New Roman"/>
          <w:sz w:val="22"/>
          <w:szCs w:val="22"/>
        </w:rPr>
        <w:t xml:space="preserve">Jeffrey Anderson, </w:t>
      </w:r>
      <w:r w:rsidR="00A35CFD" w:rsidRPr="00713391">
        <w:rPr>
          <w:rFonts w:ascii="Times New Roman" w:hAnsi="Times New Roman" w:cs="Times New Roman"/>
          <w:i/>
          <w:iCs/>
          <w:sz w:val="22"/>
          <w:szCs w:val="22"/>
        </w:rPr>
        <w:t>The Angevin Dynasties of Europe 900-1500, Lords of the Greatest Part of the World,</w:t>
      </w:r>
      <w:r w:rsidR="00A35CFD" w:rsidRPr="00713391">
        <w:rPr>
          <w:rFonts w:ascii="Times New Roman" w:hAnsi="Times New Roman" w:cs="Times New Roman"/>
          <w:sz w:val="22"/>
          <w:szCs w:val="22"/>
        </w:rPr>
        <w:t xml:space="preserve"> </w:t>
      </w:r>
      <w:r w:rsidR="0024190E" w:rsidRPr="00713391">
        <w:rPr>
          <w:rFonts w:ascii="Times New Roman" w:hAnsi="Times New Roman" w:cs="Times New Roman"/>
          <w:sz w:val="22"/>
          <w:szCs w:val="22"/>
        </w:rPr>
        <w:t>Ramsebury: Robert Hale, The Crowood Press Ltd</w:t>
      </w:r>
      <w:r w:rsidR="005A3F9B" w:rsidRPr="00713391">
        <w:rPr>
          <w:rFonts w:ascii="Times New Roman" w:hAnsi="Times New Roman" w:cs="Times New Roman"/>
          <w:sz w:val="22"/>
          <w:szCs w:val="22"/>
        </w:rPr>
        <w:t>., 2019</w:t>
      </w:r>
      <w:bookmarkEnd w:id="8"/>
      <w:r w:rsidR="005A3F9B" w:rsidRPr="00713391">
        <w:rPr>
          <w:rFonts w:ascii="Times New Roman" w:hAnsi="Times New Roman" w:cs="Times New Roman"/>
          <w:sz w:val="22"/>
          <w:szCs w:val="22"/>
        </w:rPr>
        <w:t>)</w:t>
      </w:r>
      <w:r w:rsidR="00A35CFD" w:rsidRPr="00713391">
        <w:rPr>
          <w:rFonts w:ascii="Times New Roman" w:hAnsi="Times New Roman" w:cs="Times New Roman"/>
          <w:sz w:val="22"/>
          <w:szCs w:val="22"/>
        </w:rPr>
        <w:t xml:space="preserve"> P. 121</w:t>
      </w:r>
    </w:p>
  </w:footnote>
  <w:footnote w:id="15">
    <w:p w14:paraId="61ABC13E" w14:textId="01D0234C" w:rsidR="009F2023" w:rsidRPr="00713391" w:rsidRDefault="009F2023">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bookmarkStart w:id="9" w:name="_Hlk119313410"/>
      <w:r w:rsidR="001C7197" w:rsidRPr="00713391">
        <w:rPr>
          <w:rFonts w:ascii="Times New Roman" w:hAnsi="Times New Roman" w:cs="Times New Roman"/>
          <w:sz w:val="22"/>
          <w:szCs w:val="22"/>
        </w:rPr>
        <w:t>Matthew Strickland</w:t>
      </w:r>
      <w:r w:rsidR="001C7197" w:rsidRPr="00713391">
        <w:rPr>
          <w:rFonts w:ascii="Times New Roman" w:hAnsi="Times New Roman" w:cs="Times New Roman"/>
          <w:i/>
          <w:iCs/>
          <w:sz w:val="22"/>
          <w:szCs w:val="22"/>
        </w:rPr>
        <w:t>, Henry the Young King</w:t>
      </w:r>
      <w:r w:rsidR="000245FD" w:rsidRPr="00713391">
        <w:rPr>
          <w:rFonts w:ascii="Times New Roman" w:hAnsi="Times New Roman" w:cs="Times New Roman"/>
          <w:sz w:val="22"/>
          <w:szCs w:val="22"/>
        </w:rPr>
        <w:t xml:space="preserve"> </w:t>
      </w:r>
      <w:r w:rsidR="000245FD" w:rsidRPr="00713391">
        <w:rPr>
          <w:rFonts w:ascii="Times New Roman" w:hAnsi="Times New Roman" w:cs="Times New Roman"/>
          <w:i/>
          <w:iCs/>
          <w:sz w:val="22"/>
          <w:szCs w:val="22"/>
        </w:rPr>
        <w:t>1155-1183</w:t>
      </w:r>
      <w:r w:rsidR="00713391" w:rsidRPr="00713391">
        <w:rPr>
          <w:rFonts w:ascii="Times New Roman" w:hAnsi="Times New Roman" w:cs="Times New Roman"/>
          <w:sz w:val="22"/>
          <w:szCs w:val="22"/>
        </w:rPr>
        <w:t>,</w:t>
      </w:r>
      <w:r w:rsidR="001C7197" w:rsidRPr="00713391">
        <w:rPr>
          <w:rFonts w:ascii="Times New Roman" w:hAnsi="Times New Roman" w:cs="Times New Roman"/>
          <w:sz w:val="22"/>
          <w:szCs w:val="22"/>
        </w:rPr>
        <w:t xml:space="preserve"> (</w:t>
      </w:r>
      <w:r w:rsidR="000E19C9" w:rsidRPr="00713391">
        <w:rPr>
          <w:rFonts w:ascii="Times New Roman" w:hAnsi="Times New Roman" w:cs="Times New Roman"/>
          <w:sz w:val="22"/>
          <w:szCs w:val="22"/>
        </w:rPr>
        <w:t>New Haven: Yale University Press, 2016)</w:t>
      </w:r>
      <w:r w:rsidR="00B34F84" w:rsidRPr="00713391">
        <w:rPr>
          <w:rFonts w:ascii="Times New Roman" w:hAnsi="Times New Roman" w:cs="Times New Roman"/>
          <w:sz w:val="22"/>
          <w:szCs w:val="22"/>
        </w:rPr>
        <w:t xml:space="preserve"> </w:t>
      </w:r>
      <w:bookmarkEnd w:id="9"/>
      <w:r w:rsidR="00B34F84" w:rsidRPr="00713391">
        <w:rPr>
          <w:rFonts w:ascii="Times New Roman" w:hAnsi="Times New Roman" w:cs="Times New Roman"/>
          <w:sz w:val="22"/>
          <w:szCs w:val="22"/>
        </w:rPr>
        <w:t>p. 19-20,</w:t>
      </w:r>
      <w:r w:rsidR="004177D0" w:rsidRPr="00713391">
        <w:rPr>
          <w:rFonts w:ascii="Times New Roman" w:hAnsi="Times New Roman" w:cs="Times New Roman"/>
          <w:sz w:val="22"/>
          <w:szCs w:val="22"/>
        </w:rPr>
        <w:t>134-138,</w:t>
      </w:r>
      <w:r w:rsidR="00D937A6" w:rsidRPr="00713391">
        <w:rPr>
          <w:rFonts w:ascii="Times New Roman" w:hAnsi="Times New Roman" w:cs="Times New Roman"/>
          <w:sz w:val="22"/>
          <w:szCs w:val="22"/>
        </w:rPr>
        <w:t xml:space="preserve"> 122-</w:t>
      </w:r>
      <w:r w:rsidR="00D1132E" w:rsidRPr="00713391">
        <w:rPr>
          <w:rFonts w:ascii="Times New Roman" w:hAnsi="Times New Roman" w:cs="Times New Roman"/>
          <w:sz w:val="22"/>
          <w:szCs w:val="22"/>
        </w:rPr>
        <w:t>-131</w:t>
      </w:r>
    </w:p>
  </w:footnote>
  <w:footnote w:id="16">
    <w:p w14:paraId="3CC7BCC9" w14:textId="1667C9F9" w:rsidR="00BB551E" w:rsidRPr="00713391" w:rsidRDefault="00BB551E">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r w:rsidR="00B20338" w:rsidRPr="00713391">
        <w:rPr>
          <w:rFonts w:ascii="Times New Roman" w:hAnsi="Times New Roman" w:cs="Times New Roman"/>
          <w:sz w:val="22"/>
          <w:szCs w:val="22"/>
        </w:rPr>
        <w:t>WL Warren, p. 118-119</w:t>
      </w:r>
    </w:p>
  </w:footnote>
  <w:footnote w:id="17">
    <w:p w14:paraId="51AB3165" w14:textId="59B956F5" w:rsidR="000E69EB" w:rsidRPr="00713391" w:rsidRDefault="000E69EB">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bookmarkStart w:id="10" w:name="_Hlk119312499"/>
      <w:r w:rsidR="004E772C" w:rsidRPr="00713391">
        <w:rPr>
          <w:rFonts w:ascii="Times New Roman" w:hAnsi="Times New Roman" w:cs="Times New Roman"/>
          <w:sz w:val="22"/>
          <w:szCs w:val="22"/>
        </w:rPr>
        <w:t xml:space="preserve">Richard </w:t>
      </w:r>
      <w:r w:rsidR="007077C6" w:rsidRPr="00713391">
        <w:rPr>
          <w:rFonts w:ascii="Times New Roman" w:hAnsi="Times New Roman" w:cs="Times New Roman"/>
          <w:sz w:val="22"/>
          <w:szCs w:val="22"/>
        </w:rPr>
        <w:t>Barber</w:t>
      </w:r>
      <w:r w:rsidR="004E08FD" w:rsidRPr="00713391">
        <w:rPr>
          <w:rFonts w:ascii="Times New Roman" w:hAnsi="Times New Roman" w:cs="Times New Roman"/>
          <w:sz w:val="22"/>
          <w:szCs w:val="22"/>
        </w:rPr>
        <w:t>,</w:t>
      </w:r>
      <w:r w:rsidR="007077C6" w:rsidRPr="00713391">
        <w:rPr>
          <w:rFonts w:ascii="Times New Roman" w:hAnsi="Times New Roman" w:cs="Times New Roman"/>
          <w:sz w:val="22"/>
          <w:szCs w:val="22"/>
        </w:rPr>
        <w:t xml:space="preserve"> </w:t>
      </w:r>
      <w:r w:rsidR="007077C6" w:rsidRPr="00713391">
        <w:rPr>
          <w:rFonts w:ascii="Times New Roman" w:hAnsi="Times New Roman" w:cs="Times New Roman"/>
          <w:i/>
          <w:iCs/>
          <w:sz w:val="22"/>
          <w:szCs w:val="22"/>
        </w:rPr>
        <w:t>Henry P</w:t>
      </w:r>
      <w:r w:rsidR="004E08FD" w:rsidRPr="00713391">
        <w:rPr>
          <w:rFonts w:ascii="Times New Roman" w:hAnsi="Times New Roman" w:cs="Times New Roman"/>
          <w:i/>
          <w:iCs/>
          <w:sz w:val="22"/>
          <w:szCs w:val="22"/>
        </w:rPr>
        <w:t xml:space="preserve">lantagenet 1133-1189, </w:t>
      </w:r>
      <w:r w:rsidR="004E08FD" w:rsidRPr="00713391">
        <w:rPr>
          <w:rFonts w:ascii="Times New Roman" w:hAnsi="Times New Roman" w:cs="Times New Roman"/>
          <w:sz w:val="22"/>
          <w:szCs w:val="22"/>
        </w:rPr>
        <w:t>(</w:t>
      </w:r>
      <w:r w:rsidR="00EB70B1" w:rsidRPr="00713391">
        <w:rPr>
          <w:rFonts w:ascii="Times New Roman" w:hAnsi="Times New Roman" w:cs="Times New Roman"/>
          <w:sz w:val="22"/>
          <w:szCs w:val="22"/>
        </w:rPr>
        <w:t>USA: Barnes</w:t>
      </w:r>
      <w:r w:rsidR="004E08FD" w:rsidRPr="00713391">
        <w:rPr>
          <w:rFonts w:ascii="Times New Roman" w:hAnsi="Times New Roman" w:cs="Times New Roman"/>
          <w:sz w:val="22"/>
          <w:szCs w:val="22"/>
        </w:rPr>
        <w:t xml:space="preserve"> and Noble</w:t>
      </w:r>
      <w:r w:rsidR="0014489E" w:rsidRPr="00713391">
        <w:rPr>
          <w:rFonts w:ascii="Times New Roman" w:hAnsi="Times New Roman" w:cs="Times New Roman"/>
          <w:sz w:val="22"/>
          <w:szCs w:val="22"/>
        </w:rPr>
        <w:t xml:space="preserve"> Books</w:t>
      </w:r>
      <w:r w:rsidR="005908F8" w:rsidRPr="00713391">
        <w:rPr>
          <w:rFonts w:ascii="Times New Roman" w:hAnsi="Times New Roman" w:cs="Times New Roman"/>
          <w:sz w:val="22"/>
          <w:szCs w:val="22"/>
        </w:rPr>
        <w:t>,1964</w:t>
      </w:r>
      <w:bookmarkEnd w:id="10"/>
      <w:r w:rsidR="00C46502" w:rsidRPr="00713391">
        <w:rPr>
          <w:rFonts w:ascii="Times New Roman" w:hAnsi="Times New Roman" w:cs="Times New Roman"/>
          <w:sz w:val="22"/>
          <w:szCs w:val="22"/>
        </w:rPr>
        <w:t>)</w:t>
      </w:r>
      <w:r w:rsidR="005908F8" w:rsidRPr="00713391">
        <w:rPr>
          <w:rFonts w:ascii="Times New Roman" w:hAnsi="Times New Roman" w:cs="Times New Roman"/>
          <w:sz w:val="22"/>
          <w:szCs w:val="22"/>
        </w:rPr>
        <w:t xml:space="preserve"> P.</w:t>
      </w:r>
      <w:r w:rsidR="00C46502" w:rsidRPr="00713391">
        <w:rPr>
          <w:rFonts w:ascii="Times New Roman" w:hAnsi="Times New Roman" w:cs="Times New Roman"/>
          <w:sz w:val="22"/>
          <w:szCs w:val="22"/>
        </w:rPr>
        <w:t xml:space="preserve"> 231-232</w:t>
      </w:r>
    </w:p>
  </w:footnote>
  <w:footnote w:id="18">
    <w:p w14:paraId="7EA41229" w14:textId="3E7F5CBC" w:rsidR="00955C05" w:rsidRPr="00713391" w:rsidRDefault="00955C05">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WL Warren</w:t>
      </w:r>
      <w:r w:rsidR="00FC7E7C" w:rsidRPr="00713391">
        <w:rPr>
          <w:rFonts w:ascii="Times New Roman" w:hAnsi="Times New Roman" w:cs="Times New Roman"/>
          <w:sz w:val="22"/>
          <w:szCs w:val="22"/>
        </w:rPr>
        <w:t>,</w:t>
      </w:r>
      <w:r w:rsidRPr="00713391">
        <w:rPr>
          <w:rFonts w:ascii="Times New Roman" w:hAnsi="Times New Roman" w:cs="Times New Roman"/>
          <w:sz w:val="22"/>
          <w:szCs w:val="22"/>
        </w:rPr>
        <w:t xml:space="preserve"> </w:t>
      </w:r>
      <w:r w:rsidR="00BE131B" w:rsidRPr="00713391">
        <w:rPr>
          <w:rFonts w:ascii="Times New Roman" w:hAnsi="Times New Roman" w:cs="Times New Roman"/>
          <w:sz w:val="22"/>
          <w:szCs w:val="22"/>
        </w:rPr>
        <w:t>p.626</w:t>
      </w:r>
      <w:r w:rsidR="0032727F" w:rsidRPr="00713391">
        <w:rPr>
          <w:rFonts w:ascii="Times New Roman" w:hAnsi="Times New Roman" w:cs="Times New Roman"/>
          <w:sz w:val="22"/>
          <w:szCs w:val="22"/>
        </w:rPr>
        <w:t xml:space="preserve"> </w:t>
      </w:r>
    </w:p>
  </w:footnote>
  <w:footnote w:id="19">
    <w:p w14:paraId="2ECCD822" w14:textId="0B640B44" w:rsidR="0007779D" w:rsidRPr="00713391" w:rsidRDefault="0007779D">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r w:rsidR="00834307" w:rsidRPr="00713391">
        <w:rPr>
          <w:rFonts w:ascii="Times New Roman" w:hAnsi="Times New Roman" w:cs="Times New Roman"/>
          <w:sz w:val="22"/>
          <w:szCs w:val="22"/>
        </w:rPr>
        <w:t xml:space="preserve">John Gillingham </w:t>
      </w:r>
      <w:r w:rsidR="00834307" w:rsidRPr="00713391">
        <w:rPr>
          <w:rFonts w:ascii="Times New Roman" w:hAnsi="Times New Roman" w:cs="Times New Roman"/>
          <w:i/>
          <w:iCs/>
          <w:sz w:val="22"/>
          <w:szCs w:val="22"/>
        </w:rPr>
        <w:t>The Angevin Empire</w:t>
      </w:r>
      <w:r w:rsidR="009A7C79" w:rsidRPr="00713391">
        <w:rPr>
          <w:rFonts w:ascii="Times New Roman" w:hAnsi="Times New Roman" w:cs="Times New Roman"/>
          <w:sz w:val="22"/>
          <w:szCs w:val="22"/>
        </w:rPr>
        <w:t xml:space="preserve">, </w:t>
      </w:r>
      <w:r w:rsidR="001528E4" w:rsidRPr="00713391">
        <w:rPr>
          <w:rFonts w:ascii="Times New Roman" w:hAnsi="Times New Roman" w:cs="Times New Roman"/>
          <w:sz w:val="22"/>
          <w:szCs w:val="22"/>
        </w:rPr>
        <w:t>p. 40</w:t>
      </w:r>
    </w:p>
  </w:footnote>
  <w:footnote w:id="20">
    <w:p w14:paraId="12152942" w14:textId="2928B503" w:rsidR="00D6139F" w:rsidRPr="00713391" w:rsidRDefault="00D6139F">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r w:rsidR="002E2692" w:rsidRPr="00713391">
        <w:rPr>
          <w:rFonts w:ascii="Times New Roman" w:hAnsi="Times New Roman" w:cs="Times New Roman"/>
          <w:sz w:val="22"/>
          <w:szCs w:val="22"/>
        </w:rPr>
        <w:t>WL Warren, p-207-</w:t>
      </w:r>
      <w:r w:rsidR="000F711A" w:rsidRPr="00713391">
        <w:rPr>
          <w:rFonts w:ascii="Times New Roman" w:hAnsi="Times New Roman" w:cs="Times New Roman"/>
          <w:sz w:val="22"/>
          <w:szCs w:val="22"/>
        </w:rPr>
        <w:t>208</w:t>
      </w:r>
    </w:p>
  </w:footnote>
  <w:footnote w:id="21">
    <w:p w14:paraId="717BB210" w14:textId="64860161" w:rsidR="00EF7EA4" w:rsidRPr="00713391" w:rsidRDefault="00EF7EA4">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bookmarkStart w:id="11" w:name="_Hlk119312913"/>
      <w:r w:rsidR="00485377" w:rsidRPr="00713391">
        <w:rPr>
          <w:rFonts w:ascii="Times New Roman" w:hAnsi="Times New Roman" w:cs="Times New Roman"/>
          <w:sz w:val="22"/>
          <w:szCs w:val="22"/>
        </w:rPr>
        <w:t xml:space="preserve">David Hume </w:t>
      </w:r>
      <w:r w:rsidR="00485377" w:rsidRPr="00713391">
        <w:rPr>
          <w:rFonts w:ascii="Times New Roman" w:hAnsi="Times New Roman" w:cs="Times New Roman"/>
          <w:i/>
          <w:iCs/>
          <w:sz w:val="22"/>
          <w:szCs w:val="22"/>
        </w:rPr>
        <w:t>The History of England Volume 1</w:t>
      </w:r>
      <w:r w:rsidR="00485377" w:rsidRPr="00713391">
        <w:rPr>
          <w:rFonts w:ascii="Times New Roman" w:hAnsi="Times New Roman" w:cs="Times New Roman"/>
          <w:sz w:val="22"/>
          <w:szCs w:val="22"/>
        </w:rPr>
        <w:t xml:space="preserve">, </w:t>
      </w:r>
      <w:r w:rsidR="00E137B3" w:rsidRPr="00713391">
        <w:rPr>
          <w:rFonts w:ascii="Times New Roman" w:hAnsi="Times New Roman" w:cs="Times New Roman"/>
          <w:sz w:val="22"/>
          <w:szCs w:val="22"/>
        </w:rPr>
        <w:t>(London: T. Cadell Publisher, 1778)</w:t>
      </w:r>
      <w:r w:rsidR="00264456" w:rsidRPr="00713391">
        <w:rPr>
          <w:rFonts w:ascii="Times New Roman" w:hAnsi="Times New Roman" w:cs="Times New Roman"/>
          <w:sz w:val="22"/>
          <w:szCs w:val="22"/>
        </w:rPr>
        <w:t xml:space="preserve"> </w:t>
      </w:r>
      <w:bookmarkEnd w:id="11"/>
      <w:r w:rsidR="00264456" w:rsidRPr="00713391">
        <w:rPr>
          <w:rFonts w:ascii="Times New Roman" w:hAnsi="Times New Roman" w:cs="Times New Roman"/>
          <w:sz w:val="22"/>
          <w:szCs w:val="22"/>
        </w:rPr>
        <w:t>p.</w:t>
      </w:r>
      <w:r w:rsidR="00B803AF" w:rsidRPr="00713391">
        <w:rPr>
          <w:rFonts w:ascii="Times New Roman" w:hAnsi="Times New Roman" w:cs="Times New Roman"/>
          <w:sz w:val="22"/>
          <w:szCs w:val="22"/>
        </w:rPr>
        <w:t>370</w:t>
      </w:r>
      <w:r w:rsidR="0072790E" w:rsidRPr="00713391">
        <w:rPr>
          <w:rFonts w:ascii="Times New Roman" w:hAnsi="Times New Roman" w:cs="Times New Roman"/>
          <w:sz w:val="22"/>
          <w:szCs w:val="22"/>
        </w:rPr>
        <w:t xml:space="preserve"> citing </w:t>
      </w:r>
      <w:r w:rsidR="003C0085" w:rsidRPr="00713391">
        <w:rPr>
          <w:rFonts w:ascii="Times New Roman" w:hAnsi="Times New Roman" w:cs="Times New Roman"/>
          <w:sz w:val="22"/>
          <w:szCs w:val="22"/>
        </w:rPr>
        <w:t>Matthew Paris and Gerald of Wales.</w:t>
      </w:r>
    </w:p>
  </w:footnote>
  <w:footnote w:id="22">
    <w:p w14:paraId="581F0389" w14:textId="34533AEC" w:rsidR="00B42365" w:rsidRPr="00713391" w:rsidRDefault="009979D9" w:rsidP="007829DA">
      <w:pPr>
        <w:spacing w:after="0"/>
        <w:ind w:hanging="240"/>
        <w:rPr>
          <w:rFonts w:ascii="Times New Roman" w:eastAsia="Times New Roman" w:hAnsi="Times New Roman" w:cs="Times New Roman"/>
          <w:sz w:val="22"/>
          <w:szCs w:val="22"/>
        </w:rPr>
      </w:pPr>
      <w:r w:rsidRPr="00713391">
        <w:rPr>
          <w:rFonts w:ascii="Times New Roman" w:hAnsi="Times New Roman" w:cs="Times New Roman"/>
          <w:sz w:val="22"/>
          <w:szCs w:val="22"/>
        </w:rPr>
        <w:t xml:space="preserve">     </w:t>
      </w:r>
      <w:r w:rsidR="00B42365" w:rsidRPr="00713391">
        <w:rPr>
          <w:rStyle w:val="FootnoteReference"/>
          <w:rFonts w:ascii="Times New Roman" w:hAnsi="Times New Roman" w:cs="Times New Roman"/>
          <w:sz w:val="22"/>
          <w:szCs w:val="22"/>
        </w:rPr>
        <w:footnoteRef/>
      </w:r>
      <w:r w:rsidR="00B42365" w:rsidRPr="00713391">
        <w:rPr>
          <w:rFonts w:ascii="Times New Roman" w:hAnsi="Times New Roman" w:cs="Times New Roman"/>
          <w:sz w:val="22"/>
          <w:szCs w:val="22"/>
        </w:rPr>
        <w:t xml:space="preserve"> </w:t>
      </w:r>
      <w:r w:rsidRPr="00713391">
        <w:rPr>
          <w:rFonts w:ascii="Times New Roman" w:hAnsi="Times New Roman" w:cs="Times New Roman"/>
          <w:sz w:val="22"/>
          <w:szCs w:val="22"/>
        </w:rPr>
        <w:t xml:space="preserve"> </w:t>
      </w:r>
      <w:r w:rsidR="00CF6608" w:rsidRPr="00713391">
        <w:rPr>
          <w:rFonts w:ascii="Times New Roman" w:hAnsi="Times New Roman" w:cs="Times New Roman"/>
          <w:sz w:val="22"/>
          <w:szCs w:val="22"/>
        </w:rPr>
        <w:t>Black, Winston E.</w:t>
      </w:r>
      <w:r w:rsidR="00414958" w:rsidRPr="00713391">
        <w:rPr>
          <w:rFonts w:ascii="Times New Roman" w:hAnsi="Times New Roman" w:cs="Times New Roman"/>
          <w:sz w:val="22"/>
          <w:szCs w:val="22"/>
        </w:rPr>
        <w:t xml:space="preserve">, </w:t>
      </w:r>
      <w:r w:rsidR="00414958" w:rsidRPr="00713391">
        <w:rPr>
          <w:rFonts w:ascii="Times New Roman" w:hAnsi="Times New Roman" w:cs="Times New Roman"/>
          <w:i/>
          <w:iCs/>
          <w:sz w:val="22"/>
          <w:szCs w:val="22"/>
        </w:rPr>
        <w:t xml:space="preserve">Animated Corpses and Bodies with </w:t>
      </w:r>
      <w:r w:rsidR="004450F0" w:rsidRPr="00713391">
        <w:rPr>
          <w:rFonts w:ascii="Times New Roman" w:hAnsi="Times New Roman" w:cs="Times New Roman"/>
          <w:i/>
          <w:iCs/>
          <w:sz w:val="22"/>
          <w:szCs w:val="22"/>
        </w:rPr>
        <w:t>P</w:t>
      </w:r>
      <w:r w:rsidR="00414958" w:rsidRPr="00713391">
        <w:rPr>
          <w:rFonts w:ascii="Times New Roman" w:hAnsi="Times New Roman" w:cs="Times New Roman"/>
          <w:i/>
          <w:iCs/>
          <w:sz w:val="22"/>
          <w:szCs w:val="22"/>
        </w:rPr>
        <w:t>ower in the Scholastic Age</w:t>
      </w:r>
      <w:r w:rsidR="004450F0" w:rsidRPr="00713391">
        <w:rPr>
          <w:rFonts w:ascii="Times New Roman" w:hAnsi="Times New Roman" w:cs="Times New Roman"/>
          <w:sz w:val="22"/>
          <w:szCs w:val="22"/>
        </w:rPr>
        <w:t>,</w:t>
      </w:r>
      <w:r w:rsidR="003F56FD" w:rsidRPr="00713391">
        <w:rPr>
          <w:rFonts w:ascii="Times New Roman" w:eastAsia="Times New Roman" w:hAnsi="Times New Roman" w:cs="Times New Roman"/>
          <w:sz w:val="22"/>
          <w:szCs w:val="22"/>
        </w:rPr>
        <w:t xml:space="preserve"> </w:t>
      </w:r>
      <w:r w:rsidR="00664967" w:rsidRPr="00713391">
        <w:rPr>
          <w:rFonts w:ascii="Times New Roman" w:hAnsi="Times New Roman" w:cs="Times New Roman"/>
          <w:i/>
          <w:iCs/>
          <w:sz w:val="22"/>
          <w:szCs w:val="22"/>
        </w:rPr>
        <w:t>Death in Medieval Europe: Death Scripted and Death Choreographed,</w:t>
      </w:r>
      <w:r w:rsidR="00664967" w:rsidRPr="00713391">
        <w:rPr>
          <w:rFonts w:ascii="Times New Roman" w:hAnsi="Times New Roman" w:cs="Times New Roman"/>
          <w:sz w:val="22"/>
          <w:szCs w:val="22"/>
        </w:rPr>
        <w:t xml:space="preserve"> ed. </w:t>
      </w:r>
      <w:proofErr w:type="spellStart"/>
      <w:r w:rsidR="00664967" w:rsidRPr="00713391">
        <w:rPr>
          <w:rFonts w:ascii="Times New Roman" w:hAnsi="Times New Roman" w:cs="Times New Roman"/>
          <w:sz w:val="22"/>
          <w:szCs w:val="22"/>
        </w:rPr>
        <w:t>Joëlle</w:t>
      </w:r>
      <w:proofErr w:type="spellEnd"/>
      <w:r w:rsidR="00664967" w:rsidRPr="00713391">
        <w:rPr>
          <w:rFonts w:ascii="Times New Roman" w:hAnsi="Times New Roman" w:cs="Times New Roman"/>
          <w:sz w:val="22"/>
          <w:szCs w:val="22"/>
        </w:rPr>
        <w:t xml:space="preserve"> Rollo </w:t>
      </w:r>
      <w:proofErr w:type="spellStart"/>
      <w:r w:rsidR="00664967" w:rsidRPr="00713391">
        <w:rPr>
          <w:rFonts w:ascii="Times New Roman" w:hAnsi="Times New Roman" w:cs="Times New Roman"/>
          <w:sz w:val="22"/>
          <w:szCs w:val="22"/>
        </w:rPr>
        <w:t>Koster</w:t>
      </w:r>
      <w:proofErr w:type="spellEnd"/>
      <w:r w:rsidR="00664967" w:rsidRPr="00713391">
        <w:rPr>
          <w:rFonts w:ascii="Times New Roman" w:hAnsi="Times New Roman" w:cs="Times New Roman"/>
          <w:sz w:val="22"/>
          <w:szCs w:val="22"/>
        </w:rPr>
        <w:t xml:space="preserve"> (Routledge, 2016), </w:t>
      </w:r>
      <w:r w:rsidR="007829DA" w:rsidRPr="00713391">
        <w:rPr>
          <w:rFonts w:ascii="Times New Roman" w:hAnsi="Times New Roman" w:cs="Times New Roman"/>
          <w:sz w:val="22"/>
          <w:szCs w:val="22"/>
        </w:rPr>
        <w:t>p. 74</w:t>
      </w:r>
    </w:p>
  </w:footnote>
  <w:footnote w:id="23">
    <w:p w14:paraId="450282D5" w14:textId="15402803" w:rsidR="00DC3C9D" w:rsidRPr="00713391" w:rsidRDefault="00EB14B6" w:rsidP="007829DA">
      <w:pPr>
        <w:pStyle w:val="FootnoteText"/>
        <w:rPr>
          <w:rFonts w:ascii="Times New Roman" w:hAnsi="Times New Roman" w:cs="Times New Roman"/>
          <w:sz w:val="22"/>
          <w:szCs w:val="22"/>
        </w:rPr>
      </w:pPr>
      <w:r w:rsidRPr="00713391">
        <w:rPr>
          <w:rStyle w:val="FootnoteReference"/>
          <w:rFonts w:ascii="Times New Roman" w:hAnsi="Times New Roman" w:cs="Times New Roman"/>
          <w:sz w:val="22"/>
          <w:szCs w:val="22"/>
        </w:rPr>
        <w:footnoteRef/>
      </w:r>
      <w:r w:rsidRPr="00713391">
        <w:rPr>
          <w:rFonts w:ascii="Times New Roman" w:hAnsi="Times New Roman" w:cs="Times New Roman"/>
          <w:sz w:val="22"/>
          <w:szCs w:val="22"/>
        </w:rPr>
        <w:t xml:space="preserve"> </w:t>
      </w:r>
      <w:bookmarkStart w:id="12" w:name="_Hlk119313020"/>
      <w:r w:rsidR="002747F2" w:rsidRPr="00713391">
        <w:rPr>
          <w:rFonts w:ascii="Times New Roman" w:hAnsi="Times New Roman" w:cs="Times New Roman"/>
          <w:sz w:val="22"/>
          <w:szCs w:val="22"/>
        </w:rPr>
        <w:t xml:space="preserve">Monika Otter </w:t>
      </w:r>
      <w:r w:rsidRPr="00713391">
        <w:rPr>
          <w:rFonts w:ascii="Times New Roman" w:hAnsi="Times New Roman" w:cs="Times New Roman"/>
          <w:sz w:val="22"/>
          <w:szCs w:val="22"/>
        </w:rPr>
        <w:t>Inventiones</w:t>
      </w:r>
      <w:r w:rsidR="000C0DE9" w:rsidRPr="00713391">
        <w:rPr>
          <w:rFonts w:ascii="Times New Roman" w:hAnsi="Times New Roman" w:cs="Times New Roman"/>
          <w:sz w:val="22"/>
          <w:szCs w:val="22"/>
        </w:rPr>
        <w:t xml:space="preserve">: </w:t>
      </w:r>
      <w:r w:rsidR="000C0DE9" w:rsidRPr="00713391">
        <w:rPr>
          <w:rFonts w:ascii="Times New Roman" w:hAnsi="Times New Roman" w:cs="Times New Roman"/>
          <w:i/>
          <w:iCs/>
          <w:sz w:val="22"/>
          <w:szCs w:val="22"/>
        </w:rPr>
        <w:t xml:space="preserve">Fiction and Referentiality in </w:t>
      </w:r>
      <w:r w:rsidR="00E408D8" w:rsidRPr="00713391">
        <w:rPr>
          <w:rFonts w:ascii="Times New Roman" w:hAnsi="Times New Roman" w:cs="Times New Roman"/>
          <w:i/>
          <w:iCs/>
          <w:sz w:val="22"/>
          <w:szCs w:val="22"/>
        </w:rPr>
        <w:t>Twelfth</w:t>
      </w:r>
      <w:r w:rsidR="00C46502" w:rsidRPr="00713391">
        <w:rPr>
          <w:rFonts w:ascii="Times New Roman" w:hAnsi="Times New Roman" w:cs="Times New Roman"/>
          <w:i/>
          <w:iCs/>
          <w:sz w:val="22"/>
          <w:szCs w:val="22"/>
        </w:rPr>
        <w:t>-</w:t>
      </w:r>
      <w:r w:rsidR="00E408D8" w:rsidRPr="00713391">
        <w:rPr>
          <w:rFonts w:ascii="Times New Roman" w:hAnsi="Times New Roman" w:cs="Times New Roman"/>
          <w:i/>
          <w:iCs/>
          <w:sz w:val="22"/>
          <w:szCs w:val="22"/>
        </w:rPr>
        <w:t>Century</w:t>
      </w:r>
      <w:r w:rsidR="002747F2" w:rsidRPr="00713391">
        <w:rPr>
          <w:rFonts w:ascii="Times New Roman" w:hAnsi="Times New Roman" w:cs="Times New Roman"/>
          <w:i/>
          <w:iCs/>
          <w:sz w:val="22"/>
          <w:szCs w:val="22"/>
        </w:rPr>
        <w:t xml:space="preserve"> English Historical Writing</w:t>
      </w:r>
      <w:r w:rsidR="005E0072" w:rsidRPr="00713391">
        <w:rPr>
          <w:rFonts w:ascii="Times New Roman" w:hAnsi="Times New Roman" w:cs="Times New Roman"/>
          <w:sz w:val="22"/>
          <w:szCs w:val="22"/>
        </w:rPr>
        <w:t>,</w:t>
      </w:r>
      <w:r w:rsidR="00711DCA" w:rsidRPr="00713391">
        <w:rPr>
          <w:rFonts w:ascii="Times New Roman" w:hAnsi="Times New Roman" w:cs="Times New Roman"/>
          <w:sz w:val="22"/>
          <w:szCs w:val="22"/>
        </w:rPr>
        <w:t xml:space="preserve"> (Chapel Hill</w:t>
      </w:r>
      <w:r w:rsidR="00034D5B" w:rsidRPr="00713391">
        <w:rPr>
          <w:rFonts w:ascii="Times New Roman" w:hAnsi="Times New Roman" w:cs="Times New Roman"/>
          <w:sz w:val="22"/>
          <w:szCs w:val="22"/>
        </w:rPr>
        <w:t>: The University of North Carolina Press</w:t>
      </w:r>
      <w:r w:rsidR="008D06F9" w:rsidRPr="00713391">
        <w:rPr>
          <w:rFonts w:ascii="Times New Roman" w:hAnsi="Times New Roman" w:cs="Times New Roman"/>
          <w:sz w:val="22"/>
          <w:szCs w:val="22"/>
        </w:rPr>
        <w:t xml:space="preserve"> 1996</w:t>
      </w:r>
      <w:bookmarkEnd w:id="12"/>
      <w:r w:rsidR="001E215A" w:rsidRPr="00713391">
        <w:rPr>
          <w:rFonts w:ascii="Times New Roman" w:hAnsi="Times New Roman" w:cs="Times New Roman"/>
          <w:sz w:val="22"/>
          <w:szCs w:val="22"/>
        </w:rPr>
        <w:t>) p.</w:t>
      </w:r>
      <w:r w:rsidR="007501D3" w:rsidRPr="00713391">
        <w:rPr>
          <w:rFonts w:ascii="Times New Roman" w:hAnsi="Times New Roman" w:cs="Times New Roman"/>
          <w:sz w:val="22"/>
          <w:szCs w:val="22"/>
        </w:rPr>
        <w:t xml:space="preserve"> 98</w:t>
      </w:r>
    </w:p>
  </w:footnote>
  <w:footnote w:id="24">
    <w:p w14:paraId="4FF3A06F" w14:textId="5600F139" w:rsidR="0069698E" w:rsidRPr="00DB2408" w:rsidRDefault="0069698E" w:rsidP="0069698E">
      <w:pPr>
        <w:rPr>
          <w:rFonts w:ascii="Times New Roman" w:hAnsi="Times New Roman" w:cs="Times New Roman"/>
          <w:sz w:val="22"/>
          <w:szCs w:val="22"/>
        </w:rPr>
      </w:pPr>
      <w:r w:rsidRPr="00DB2408">
        <w:rPr>
          <w:rStyle w:val="FootnoteReference"/>
          <w:rFonts w:ascii="Times New Roman" w:hAnsi="Times New Roman" w:cs="Times New Roman"/>
          <w:sz w:val="22"/>
          <w:szCs w:val="22"/>
        </w:rPr>
        <w:footnoteRef/>
      </w:r>
      <w:r w:rsidRPr="00DB2408">
        <w:rPr>
          <w:rFonts w:ascii="Times New Roman" w:hAnsi="Times New Roman" w:cs="Times New Roman"/>
          <w:sz w:val="22"/>
          <w:szCs w:val="22"/>
        </w:rPr>
        <w:t xml:space="preserve"> </w:t>
      </w:r>
      <w:r w:rsidR="002A2C5A" w:rsidRPr="00DB2408">
        <w:rPr>
          <w:rFonts w:ascii="Times New Roman" w:hAnsi="Times New Roman" w:cs="Times New Roman"/>
          <w:sz w:val="22"/>
          <w:szCs w:val="22"/>
        </w:rPr>
        <w:t xml:space="preserve">Ruth </w:t>
      </w:r>
      <w:r w:rsidRPr="00DB2408">
        <w:rPr>
          <w:rFonts w:ascii="Times New Roman" w:hAnsi="Times New Roman" w:cs="Times New Roman"/>
          <w:sz w:val="22"/>
          <w:szCs w:val="22"/>
        </w:rPr>
        <w:t xml:space="preserve">Kennedy and Simon Meecham-Jones, </w:t>
      </w:r>
      <w:r w:rsidRPr="00DB2408">
        <w:rPr>
          <w:rFonts w:ascii="Times New Roman" w:hAnsi="Times New Roman" w:cs="Times New Roman"/>
          <w:i/>
          <w:iCs/>
          <w:sz w:val="22"/>
          <w:szCs w:val="22"/>
        </w:rPr>
        <w:t>Writers of the Reign of Henry II: Twelve Essays</w:t>
      </w:r>
      <w:r w:rsidRPr="00DB2408">
        <w:rPr>
          <w:rFonts w:ascii="Times New Roman" w:hAnsi="Times New Roman" w:cs="Times New Roman"/>
          <w:sz w:val="22"/>
          <w:szCs w:val="22"/>
        </w:rPr>
        <w:t xml:space="preserve"> </w:t>
      </w:r>
      <w:r w:rsidRPr="00DB2408">
        <w:rPr>
          <w:rFonts w:ascii="Times New Roman" w:hAnsi="Times New Roman" w:cs="Times New Roman"/>
          <w:i/>
          <w:iCs/>
          <w:sz w:val="22"/>
          <w:szCs w:val="22"/>
        </w:rPr>
        <w:t>(The New Middle Ages),</w:t>
      </w:r>
      <w:r w:rsidRPr="00DB2408">
        <w:rPr>
          <w:rFonts w:ascii="Times New Roman" w:hAnsi="Times New Roman" w:cs="Times New Roman"/>
          <w:sz w:val="22"/>
          <w:szCs w:val="22"/>
        </w:rPr>
        <w:t xml:space="preserve"> (New York: Palgrave Mcmillan, 2016)</w:t>
      </w:r>
      <w:r w:rsidR="002A2C5A" w:rsidRPr="00DB2408">
        <w:rPr>
          <w:rFonts w:ascii="Times New Roman" w:hAnsi="Times New Roman" w:cs="Times New Roman"/>
          <w:sz w:val="22"/>
          <w:szCs w:val="22"/>
        </w:rPr>
        <w:t xml:space="preserve"> p.1</w:t>
      </w:r>
    </w:p>
    <w:p w14:paraId="42FD1603" w14:textId="505EABBF" w:rsidR="0069698E" w:rsidRDefault="0069698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158"/>
    <w:rsid w:val="000116CD"/>
    <w:rsid w:val="00012335"/>
    <w:rsid w:val="00012E85"/>
    <w:rsid w:val="0001313E"/>
    <w:rsid w:val="00014F79"/>
    <w:rsid w:val="000245FD"/>
    <w:rsid w:val="00025C23"/>
    <w:rsid w:val="00027501"/>
    <w:rsid w:val="0003042C"/>
    <w:rsid w:val="00034D5B"/>
    <w:rsid w:val="00051FC7"/>
    <w:rsid w:val="0006396A"/>
    <w:rsid w:val="00066BBE"/>
    <w:rsid w:val="00067253"/>
    <w:rsid w:val="00071A07"/>
    <w:rsid w:val="0007779D"/>
    <w:rsid w:val="00081327"/>
    <w:rsid w:val="00092879"/>
    <w:rsid w:val="000929D1"/>
    <w:rsid w:val="0009741D"/>
    <w:rsid w:val="000A7733"/>
    <w:rsid w:val="000B10C2"/>
    <w:rsid w:val="000B4BE0"/>
    <w:rsid w:val="000C0DE9"/>
    <w:rsid w:val="000D31BA"/>
    <w:rsid w:val="000D33D3"/>
    <w:rsid w:val="000D7DB2"/>
    <w:rsid w:val="000D7F16"/>
    <w:rsid w:val="000E0C37"/>
    <w:rsid w:val="000E1721"/>
    <w:rsid w:val="000E19C9"/>
    <w:rsid w:val="000E69EB"/>
    <w:rsid w:val="000F5CBD"/>
    <w:rsid w:val="000F711A"/>
    <w:rsid w:val="00100120"/>
    <w:rsid w:val="001001C7"/>
    <w:rsid w:val="0011372B"/>
    <w:rsid w:val="001304C0"/>
    <w:rsid w:val="00134248"/>
    <w:rsid w:val="00136330"/>
    <w:rsid w:val="00144278"/>
    <w:rsid w:val="00144610"/>
    <w:rsid w:val="0014489E"/>
    <w:rsid w:val="001456A2"/>
    <w:rsid w:val="001528E4"/>
    <w:rsid w:val="00174870"/>
    <w:rsid w:val="001772FB"/>
    <w:rsid w:val="00196671"/>
    <w:rsid w:val="001A0FF9"/>
    <w:rsid w:val="001B79D0"/>
    <w:rsid w:val="001B7A87"/>
    <w:rsid w:val="001C7197"/>
    <w:rsid w:val="001D06DC"/>
    <w:rsid w:val="001D7C45"/>
    <w:rsid w:val="001E0946"/>
    <w:rsid w:val="001E145D"/>
    <w:rsid w:val="001E215A"/>
    <w:rsid w:val="001E41E1"/>
    <w:rsid w:val="00201227"/>
    <w:rsid w:val="0020206E"/>
    <w:rsid w:val="00211CE5"/>
    <w:rsid w:val="00212177"/>
    <w:rsid w:val="002249BE"/>
    <w:rsid w:val="00230B78"/>
    <w:rsid w:val="00232B6F"/>
    <w:rsid w:val="0024190E"/>
    <w:rsid w:val="002449D3"/>
    <w:rsid w:val="00247850"/>
    <w:rsid w:val="00253CA8"/>
    <w:rsid w:val="00262D3C"/>
    <w:rsid w:val="00264456"/>
    <w:rsid w:val="002738EE"/>
    <w:rsid w:val="002747F2"/>
    <w:rsid w:val="00274EBF"/>
    <w:rsid w:val="00280C0C"/>
    <w:rsid w:val="00287780"/>
    <w:rsid w:val="00287CB4"/>
    <w:rsid w:val="002A07A7"/>
    <w:rsid w:val="002A2C5A"/>
    <w:rsid w:val="002A4DF8"/>
    <w:rsid w:val="002A551D"/>
    <w:rsid w:val="002A67D8"/>
    <w:rsid w:val="002B0B4A"/>
    <w:rsid w:val="002B0DA5"/>
    <w:rsid w:val="002B1DA4"/>
    <w:rsid w:val="002B466A"/>
    <w:rsid w:val="002C5B26"/>
    <w:rsid w:val="002D0EE4"/>
    <w:rsid w:val="002D448F"/>
    <w:rsid w:val="002D4F96"/>
    <w:rsid w:val="002E2692"/>
    <w:rsid w:val="002E7269"/>
    <w:rsid w:val="002F3116"/>
    <w:rsid w:val="0030508B"/>
    <w:rsid w:val="00313DF5"/>
    <w:rsid w:val="00317C9D"/>
    <w:rsid w:val="003238E3"/>
    <w:rsid w:val="0032727F"/>
    <w:rsid w:val="00330C2F"/>
    <w:rsid w:val="00332B73"/>
    <w:rsid w:val="00337116"/>
    <w:rsid w:val="00343947"/>
    <w:rsid w:val="00343E1B"/>
    <w:rsid w:val="00350589"/>
    <w:rsid w:val="0035157A"/>
    <w:rsid w:val="003563B2"/>
    <w:rsid w:val="00360B4E"/>
    <w:rsid w:val="00365BD7"/>
    <w:rsid w:val="00372F7A"/>
    <w:rsid w:val="00372FC7"/>
    <w:rsid w:val="00373272"/>
    <w:rsid w:val="00374EC7"/>
    <w:rsid w:val="00377011"/>
    <w:rsid w:val="00380077"/>
    <w:rsid w:val="00381A8A"/>
    <w:rsid w:val="003961DB"/>
    <w:rsid w:val="003A192F"/>
    <w:rsid w:val="003B06D5"/>
    <w:rsid w:val="003B738A"/>
    <w:rsid w:val="003C0085"/>
    <w:rsid w:val="003C43E0"/>
    <w:rsid w:val="003C5CF1"/>
    <w:rsid w:val="003C6B0F"/>
    <w:rsid w:val="003D2F70"/>
    <w:rsid w:val="003E09EA"/>
    <w:rsid w:val="003E1607"/>
    <w:rsid w:val="003F5131"/>
    <w:rsid w:val="003F56FD"/>
    <w:rsid w:val="00402835"/>
    <w:rsid w:val="00413783"/>
    <w:rsid w:val="00414958"/>
    <w:rsid w:val="00415A96"/>
    <w:rsid w:val="004177D0"/>
    <w:rsid w:val="00423B1E"/>
    <w:rsid w:val="00426899"/>
    <w:rsid w:val="004318C1"/>
    <w:rsid w:val="00434E00"/>
    <w:rsid w:val="0043592E"/>
    <w:rsid w:val="00436C41"/>
    <w:rsid w:val="0044198B"/>
    <w:rsid w:val="004441E1"/>
    <w:rsid w:val="004450F0"/>
    <w:rsid w:val="00452D1A"/>
    <w:rsid w:val="004615FF"/>
    <w:rsid w:val="0047099E"/>
    <w:rsid w:val="00471199"/>
    <w:rsid w:val="0047419B"/>
    <w:rsid w:val="00481309"/>
    <w:rsid w:val="00485377"/>
    <w:rsid w:val="00486246"/>
    <w:rsid w:val="00487550"/>
    <w:rsid w:val="0049129B"/>
    <w:rsid w:val="004A2ACD"/>
    <w:rsid w:val="004B1927"/>
    <w:rsid w:val="004B1CE4"/>
    <w:rsid w:val="004B3934"/>
    <w:rsid w:val="004B3E58"/>
    <w:rsid w:val="004B43DF"/>
    <w:rsid w:val="004B49F7"/>
    <w:rsid w:val="004B5B7B"/>
    <w:rsid w:val="004B7C4E"/>
    <w:rsid w:val="004C0197"/>
    <w:rsid w:val="004C7A3A"/>
    <w:rsid w:val="004E08FD"/>
    <w:rsid w:val="004E6F9F"/>
    <w:rsid w:val="004E772C"/>
    <w:rsid w:val="004E77AD"/>
    <w:rsid w:val="004F2CBC"/>
    <w:rsid w:val="00504984"/>
    <w:rsid w:val="0051064C"/>
    <w:rsid w:val="005110CA"/>
    <w:rsid w:val="00520B4A"/>
    <w:rsid w:val="00532E8F"/>
    <w:rsid w:val="00535033"/>
    <w:rsid w:val="005459C3"/>
    <w:rsid w:val="00556290"/>
    <w:rsid w:val="00562DDE"/>
    <w:rsid w:val="00563D88"/>
    <w:rsid w:val="0056560C"/>
    <w:rsid w:val="00566F9B"/>
    <w:rsid w:val="0057667A"/>
    <w:rsid w:val="0058343E"/>
    <w:rsid w:val="005908F8"/>
    <w:rsid w:val="0059377D"/>
    <w:rsid w:val="005A3F9B"/>
    <w:rsid w:val="005A4158"/>
    <w:rsid w:val="005A4725"/>
    <w:rsid w:val="005A5B9A"/>
    <w:rsid w:val="005A6C6C"/>
    <w:rsid w:val="005C33A2"/>
    <w:rsid w:val="005D2986"/>
    <w:rsid w:val="005E0072"/>
    <w:rsid w:val="005E6FA1"/>
    <w:rsid w:val="005F3C27"/>
    <w:rsid w:val="005F6F66"/>
    <w:rsid w:val="00600406"/>
    <w:rsid w:val="006027E6"/>
    <w:rsid w:val="00604CAA"/>
    <w:rsid w:val="006054AA"/>
    <w:rsid w:val="00610C08"/>
    <w:rsid w:val="00612148"/>
    <w:rsid w:val="006131DF"/>
    <w:rsid w:val="006132B8"/>
    <w:rsid w:val="00622C05"/>
    <w:rsid w:val="00625EEF"/>
    <w:rsid w:val="00626CBF"/>
    <w:rsid w:val="006305C0"/>
    <w:rsid w:val="00631151"/>
    <w:rsid w:val="006314BF"/>
    <w:rsid w:val="0063289F"/>
    <w:rsid w:val="006329D0"/>
    <w:rsid w:val="00632A49"/>
    <w:rsid w:val="00633199"/>
    <w:rsid w:val="0063450C"/>
    <w:rsid w:val="00635308"/>
    <w:rsid w:val="00641A4E"/>
    <w:rsid w:val="00641D8B"/>
    <w:rsid w:val="0064321C"/>
    <w:rsid w:val="00643853"/>
    <w:rsid w:val="00664967"/>
    <w:rsid w:val="006778DA"/>
    <w:rsid w:val="0069698E"/>
    <w:rsid w:val="006A104B"/>
    <w:rsid w:val="006A6319"/>
    <w:rsid w:val="006C42BC"/>
    <w:rsid w:val="006C7A51"/>
    <w:rsid w:val="006D0C85"/>
    <w:rsid w:val="006D4974"/>
    <w:rsid w:val="006D6A02"/>
    <w:rsid w:val="006E3A90"/>
    <w:rsid w:val="006F3922"/>
    <w:rsid w:val="006F5918"/>
    <w:rsid w:val="00704BF5"/>
    <w:rsid w:val="007077C6"/>
    <w:rsid w:val="00711DCA"/>
    <w:rsid w:val="00713391"/>
    <w:rsid w:val="0072790E"/>
    <w:rsid w:val="007304F3"/>
    <w:rsid w:val="00732A54"/>
    <w:rsid w:val="007357C7"/>
    <w:rsid w:val="00736015"/>
    <w:rsid w:val="00742546"/>
    <w:rsid w:val="007463D7"/>
    <w:rsid w:val="007469F2"/>
    <w:rsid w:val="007501D3"/>
    <w:rsid w:val="00751A74"/>
    <w:rsid w:val="0076020C"/>
    <w:rsid w:val="00766723"/>
    <w:rsid w:val="007829DA"/>
    <w:rsid w:val="0078474A"/>
    <w:rsid w:val="00787FE6"/>
    <w:rsid w:val="0079466B"/>
    <w:rsid w:val="00794D37"/>
    <w:rsid w:val="007960ED"/>
    <w:rsid w:val="00796A91"/>
    <w:rsid w:val="007A533C"/>
    <w:rsid w:val="007B13EC"/>
    <w:rsid w:val="007B2A86"/>
    <w:rsid w:val="007B408E"/>
    <w:rsid w:val="007B4F09"/>
    <w:rsid w:val="007B6187"/>
    <w:rsid w:val="007B6362"/>
    <w:rsid w:val="007C0916"/>
    <w:rsid w:val="007C1413"/>
    <w:rsid w:val="007C60C9"/>
    <w:rsid w:val="007C791E"/>
    <w:rsid w:val="007D6076"/>
    <w:rsid w:val="007E4B7B"/>
    <w:rsid w:val="007E5641"/>
    <w:rsid w:val="007E7CDF"/>
    <w:rsid w:val="007F3BB0"/>
    <w:rsid w:val="00802A88"/>
    <w:rsid w:val="008038BA"/>
    <w:rsid w:val="00803B8D"/>
    <w:rsid w:val="008062B0"/>
    <w:rsid w:val="00810976"/>
    <w:rsid w:val="008206E2"/>
    <w:rsid w:val="00834307"/>
    <w:rsid w:val="008445F4"/>
    <w:rsid w:val="00851D24"/>
    <w:rsid w:val="008532BC"/>
    <w:rsid w:val="00857D8D"/>
    <w:rsid w:val="008646FD"/>
    <w:rsid w:val="00870313"/>
    <w:rsid w:val="00874FB6"/>
    <w:rsid w:val="00880478"/>
    <w:rsid w:val="008841AD"/>
    <w:rsid w:val="008857AB"/>
    <w:rsid w:val="00890789"/>
    <w:rsid w:val="00895817"/>
    <w:rsid w:val="00897C1B"/>
    <w:rsid w:val="008A5167"/>
    <w:rsid w:val="008A5FAE"/>
    <w:rsid w:val="008B6901"/>
    <w:rsid w:val="008C5F24"/>
    <w:rsid w:val="008D06F9"/>
    <w:rsid w:val="008D1FBF"/>
    <w:rsid w:val="008E18C5"/>
    <w:rsid w:val="008E2AE3"/>
    <w:rsid w:val="008E7841"/>
    <w:rsid w:val="008F00DD"/>
    <w:rsid w:val="008F5983"/>
    <w:rsid w:val="009114CD"/>
    <w:rsid w:val="009114F1"/>
    <w:rsid w:val="0093183A"/>
    <w:rsid w:val="00937C65"/>
    <w:rsid w:val="00946B24"/>
    <w:rsid w:val="009540BA"/>
    <w:rsid w:val="00955C05"/>
    <w:rsid w:val="00974879"/>
    <w:rsid w:val="00977C27"/>
    <w:rsid w:val="0098030A"/>
    <w:rsid w:val="00982FA7"/>
    <w:rsid w:val="00995204"/>
    <w:rsid w:val="009979D9"/>
    <w:rsid w:val="009A1077"/>
    <w:rsid w:val="009A351A"/>
    <w:rsid w:val="009A4417"/>
    <w:rsid w:val="009A7C79"/>
    <w:rsid w:val="009B1200"/>
    <w:rsid w:val="009B161E"/>
    <w:rsid w:val="009B18E4"/>
    <w:rsid w:val="009C2723"/>
    <w:rsid w:val="009C3B2D"/>
    <w:rsid w:val="009C4D7F"/>
    <w:rsid w:val="009F2023"/>
    <w:rsid w:val="009F24B1"/>
    <w:rsid w:val="00A017C0"/>
    <w:rsid w:val="00A04917"/>
    <w:rsid w:val="00A12A5B"/>
    <w:rsid w:val="00A2693C"/>
    <w:rsid w:val="00A278FB"/>
    <w:rsid w:val="00A33776"/>
    <w:rsid w:val="00A35CFD"/>
    <w:rsid w:val="00A36142"/>
    <w:rsid w:val="00A41C4F"/>
    <w:rsid w:val="00A43895"/>
    <w:rsid w:val="00A43DE9"/>
    <w:rsid w:val="00A45EBD"/>
    <w:rsid w:val="00A50247"/>
    <w:rsid w:val="00A5083A"/>
    <w:rsid w:val="00A51105"/>
    <w:rsid w:val="00A52BD4"/>
    <w:rsid w:val="00A632B3"/>
    <w:rsid w:val="00A75F9E"/>
    <w:rsid w:val="00A811C6"/>
    <w:rsid w:val="00A8451C"/>
    <w:rsid w:val="00A902BB"/>
    <w:rsid w:val="00A92302"/>
    <w:rsid w:val="00A9404D"/>
    <w:rsid w:val="00AA2E8B"/>
    <w:rsid w:val="00AA3017"/>
    <w:rsid w:val="00AA55C2"/>
    <w:rsid w:val="00AA71B5"/>
    <w:rsid w:val="00AB0E9D"/>
    <w:rsid w:val="00AB3DD7"/>
    <w:rsid w:val="00AE0339"/>
    <w:rsid w:val="00AE0897"/>
    <w:rsid w:val="00AE13DD"/>
    <w:rsid w:val="00B01FDC"/>
    <w:rsid w:val="00B20338"/>
    <w:rsid w:val="00B208EE"/>
    <w:rsid w:val="00B22112"/>
    <w:rsid w:val="00B259FC"/>
    <w:rsid w:val="00B3032D"/>
    <w:rsid w:val="00B33A4E"/>
    <w:rsid w:val="00B3457B"/>
    <w:rsid w:val="00B34F84"/>
    <w:rsid w:val="00B3692F"/>
    <w:rsid w:val="00B41DF5"/>
    <w:rsid w:val="00B42365"/>
    <w:rsid w:val="00B42881"/>
    <w:rsid w:val="00B43563"/>
    <w:rsid w:val="00B43656"/>
    <w:rsid w:val="00B45296"/>
    <w:rsid w:val="00B45EC1"/>
    <w:rsid w:val="00B57217"/>
    <w:rsid w:val="00B57E1A"/>
    <w:rsid w:val="00B66EC8"/>
    <w:rsid w:val="00B7389B"/>
    <w:rsid w:val="00B7650C"/>
    <w:rsid w:val="00B76D4E"/>
    <w:rsid w:val="00B803AF"/>
    <w:rsid w:val="00B84CC1"/>
    <w:rsid w:val="00B92766"/>
    <w:rsid w:val="00B970D7"/>
    <w:rsid w:val="00BB2967"/>
    <w:rsid w:val="00BB551E"/>
    <w:rsid w:val="00BC0B74"/>
    <w:rsid w:val="00BC14A3"/>
    <w:rsid w:val="00BD1275"/>
    <w:rsid w:val="00BE131B"/>
    <w:rsid w:val="00BE5BE4"/>
    <w:rsid w:val="00BF2AC7"/>
    <w:rsid w:val="00C02097"/>
    <w:rsid w:val="00C06CA4"/>
    <w:rsid w:val="00C10B7E"/>
    <w:rsid w:val="00C14CDA"/>
    <w:rsid w:val="00C21ECC"/>
    <w:rsid w:val="00C253D2"/>
    <w:rsid w:val="00C263EF"/>
    <w:rsid w:val="00C271C0"/>
    <w:rsid w:val="00C3097E"/>
    <w:rsid w:val="00C37453"/>
    <w:rsid w:val="00C46502"/>
    <w:rsid w:val="00C5229E"/>
    <w:rsid w:val="00C64D91"/>
    <w:rsid w:val="00C66658"/>
    <w:rsid w:val="00C74FBF"/>
    <w:rsid w:val="00C77486"/>
    <w:rsid w:val="00C92652"/>
    <w:rsid w:val="00C94EDF"/>
    <w:rsid w:val="00CA5D61"/>
    <w:rsid w:val="00CB1866"/>
    <w:rsid w:val="00CB321C"/>
    <w:rsid w:val="00CB6269"/>
    <w:rsid w:val="00CB72CB"/>
    <w:rsid w:val="00CD3DE9"/>
    <w:rsid w:val="00CE24E3"/>
    <w:rsid w:val="00CE3F53"/>
    <w:rsid w:val="00CE6FA8"/>
    <w:rsid w:val="00CE7952"/>
    <w:rsid w:val="00CF6608"/>
    <w:rsid w:val="00D02D34"/>
    <w:rsid w:val="00D056E4"/>
    <w:rsid w:val="00D1029B"/>
    <w:rsid w:val="00D1132E"/>
    <w:rsid w:val="00D15344"/>
    <w:rsid w:val="00D23487"/>
    <w:rsid w:val="00D25B78"/>
    <w:rsid w:val="00D3378B"/>
    <w:rsid w:val="00D33946"/>
    <w:rsid w:val="00D35EEB"/>
    <w:rsid w:val="00D36CDC"/>
    <w:rsid w:val="00D47973"/>
    <w:rsid w:val="00D56C35"/>
    <w:rsid w:val="00D6139F"/>
    <w:rsid w:val="00D646C6"/>
    <w:rsid w:val="00D657A8"/>
    <w:rsid w:val="00D7322F"/>
    <w:rsid w:val="00D75A4E"/>
    <w:rsid w:val="00D766E5"/>
    <w:rsid w:val="00D77D9B"/>
    <w:rsid w:val="00D83152"/>
    <w:rsid w:val="00D937A6"/>
    <w:rsid w:val="00DA302E"/>
    <w:rsid w:val="00DA6646"/>
    <w:rsid w:val="00DA6A72"/>
    <w:rsid w:val="00DB2408"/>
    <w:rsid w:val="00DB5617"/>
    <w:rsid w:val="00DB5853"/>
    <w:rsid w:val="00DB7C24"/>
    <w:rsid w:val="00DC3C9D"/>
    <w:rsid w:val="00DE02D2"/>
    <w:rsid w:val="00DE140E"/>
    <w:rsid w:val="00DF1B02"/>
    <w:rsid w:val="00DF3908"/>
    <w:rsid w:val="00DF45C9"/>
    <w:rsid w:val="00DF5E4C"/>
    <w:rsid w:val="00DF7B76"/>
    <w:rsid w:val="00E01638"/>
    <w:rsid w:val="00E137B3"/>
    <w:rsid w:val="00E1470F"/>
    <w:rsid w:val="00E260C4"/>
    <w:rsid w:val="00E408D8"/>
    <w:rsid w:val="00E461E2"/>
    <w:rsid w:val="00E51C9B"/>
    <w:rsid w:val="00E52F05"/>
    <w:rsid w:val="00E5468E"/>
    <w:rsid w:val="00E569B5"/>
    <w:rsid w:val="00E6278E"/>
    <w:rsid w:val="00E655D8"/>
    <w:rsid w:val="00E70C4F"/>
    <w:rsid w:val="00E753FC"/>
    <w:rsid w:val="00E80793"/>
    <w:rsid w:val="00E87410"/>
    <w:rsid w:val="00E90D12"/>
    <w:rsid w:val="00E91D79"/>
    <w:rsid w:val="00E957A9"/>
    <w:rsid w:val="00E97651"/>
    <w:rsid w:val="00EA00A9"/>
    <w:rsid w:val="00EA0633"/>
    <w:rsid w:val="00EA0EDE"/>
    <w:rsid w:val="00EA3EC2"/>
    <w:rsid w:val="00EA5C4B"/>
    <w:rsid w:val="00EB14B6"/>
    <w:rsid w:val="00EB1D14"/>
    <w:rsid w:val="00EB2340"/>
    <w:rsid w:val="00EB70B1"/>
    <w:rsid w:val="00EC2ECD"/>
    <w:rsid w:val="00EC4A3C"/>
    <w:rsid w:val="00EC7F3A"/>
    <w:rsid w:val="00ED0C67"/>
    <w:rsid w:val="00ED2320"/>
    <w:rsid w:val="00EE21F3"/>
    <w:rsid w:val="00EE44AE"/>
    <w:rsid w:val="00EF332E"/>
    <w:rsid w:val="00EF3539"/>
    <w:rsid w:val="00EF7EA4"/>
    <w:rsid w:val="00F005FA"/>
    <w:rsid w:val="00F023A6"/>
    <w:rsid w:val="00F0366C"/>
    <w:rsid w:val="00F05007"/>
    <w:rsid w:val="00F053F3"/>
    <w:rsid w:val="00F16168"/>
    <w:rsid w:val="00F20209"/>
    <w:rsid w:val="00F25B0A"/>
    <w:rsid w:val="00F2696E"/>
    <w:rsid w:val="00F3198A"/>
    <w:rsid w:val="00F3331C"/>
    <w:rsid w:val="00F33F43"/>
    <w:rsid w:val="00F3778C"/>
    <w:rsid w:val="00F41307"/>
    <w:rsid w:val="00F44E8F"/>
    <w:rsid w:val="00F512AD"/>
    <w:rsid w:val="00F54B6F"/>
    <w:rsid w:val="00F65510"/>
    <w:rsid w:val="00F66BAF"/>
    <w:rsid w:val="00F738AE"/>
    <w:rsid w:val="00F7427F"/>
    <w:rsid w:val="00F84A5C"/>
    <w:rsid w:val="00F84CF7"/>
    <w:rsid w:val="00F91400"/>
    <w:rsid w:val="00FC4B54"/>
    <w:rsid w:val="00FC7E7C"/>
    <w:rsid w:val="00FD0D43"/>
    <w:rsid w:val="00FD7CD1"/>
    <w:rsid w:val="00FD7EC6"/>
    <w:rsid w:val="00FE12B8"/>
    <w:rsid w:val="00FE2F94"/>
    <w:rsid w:val="00FE537D"/>
    <w:rsid w:val="00FE7BC6"/>
    <w:rsid w:val="00FF2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C89FB"/>
  <w15:chartTrackingRefBased/>
  <w15:docId w15:val="{EC1801D6-2B90-4437-88D8-805F64595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C24"/>
  </w:style>
  <w:style w:type="paragraph" w:styleId="Heading1">
    <w:name w:val="heading 1"/>
    <w:basedOn w:val="Normal"/>
    <w:next w:val="Normal"/>
    <w:link w:val="Heading1Char"/>
    <w:uiPriority w:val="9"/>
    <w:qFormat/>
    <w:rsid w:val="00DB7C2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DB7C2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DB7C2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DB7C2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DB7C2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DB7C2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DB7C2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DB7C2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DB7C2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bodytext">
    <w:name w:val="h_body_text"/>
    <w:basedOn w:val="Normal"/>
    <w:rsid w:val="005A4158"/>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3439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3947"/>
    <w:rPr>
      <w:sz w:val="20"/>
      <w:szCs w:val="20"/>
    </w:rPr>
  </w:style>
  <w:style w:type="character" w:styleId="FootnoteReference">
    <w:name w:val="footnote reference"/>
    <w:basedOn w:val="DefaultParagraphFont"/>
    <w:uiPriority w:val="99"/>
    <w:semiHidden/>
    <w:unhideWhenUsed/>
    <w:rsid w:val="00343947"/>
    <w:rPr>
      <w:vertAlign w:val="superscript"/>
    </w:rPr>
  </w:style>
  <w:style w:type="paragraph" w:customStyle="1" w:styleId="contributors">
    <w:name w:val="contributors"/>
    <w:basedOn w:val="Normal"/>
    <w:rsid w:val="0034394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B4F09"/>
    <w:rPr>
      <w:color w:val="0563C1" w:themeColor="hyperlink"/>
      <w:u w:val="single"/>
    </w:rPr>
  </w:style>
  <w:style w:type="character" w:styleId="UnresolvedMention">
    <w:name w:val="Unresolved Mention"/>
    <w:basedOn w:val="DefaultParagraphFont"/>
    <w:uiPriority w:val="99"/>
    <w:semiHidden/>
    <w:unhideWhenUsed/>
    <w:rsid w:val="007B4F09"/>
    <w:rPr>
      <w:color w:val="605E5C"/>
      <w:shd w:val="clear" w:color="auto" w:fill="E1DFDD"/>
    </w:rPr>
  </w:style>
  <w:style w:type="character" w:customStyle="1" w:styleId="Heading1Char">
    <w:name w:val="Heading 1 Char"/>
    <w:basedOn w:val="DefaultParagraphFont"/>
    <w:link w:val="Heading1"/>
    <w:uiPriority w:val="9"/>
    <w:rsid w:val="00DB7C24"/>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semiHidden/>
    <w:rsid w:val="00DB7C2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DB7C2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DB7C2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DB7C2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DB7C2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DB7C2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DB7C2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DB7C2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DB7C24"/>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DB7C2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DB7C24"/>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DB7C2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DB7C2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DB7C24"/>
    <w:rPr>
      <w:b/>
      <w:bCs/>
    </w:rPr>
  </w:style>
  <w:style w:type="character" w:styleId="Emphasis">
    <w:name w:val="Emphasis"/>
    <w:basedOn w:val="DefaultParagraphFont"/>
    <w:uiPriority w:val="20"/>
    <w:qFormat/>
    <w:rsid w:val="00DB7C24"/>
    <w:rPr>
      <w:i/>
      <w:iCs/>
    </w:rPr>
  </w:style>
  <w:style w:type="paragraph" w:styleId="NoSpacing">
    <w:name w:val="No Spacing"/>
    <w:uiPriority w:val="1"/>
    <w:qFormat/>
    <w:rsid w:val="00DB7C24"/>
    <w:pPr>
      <w:spacing w:after="0" w:line="240" w:lineRule="auto"/>
    </w:pPr>
  </w:style>
  <w:style w:type="paragraph" w:styleId="Quote">
    <w:name w:val="Quote"/>
    <w:basedOn w:val="Normal"/>
    <w:next w:val="Normal"/>
    <w:link w:val="QuoteChar"/>
    <w:uiPriority w:val="29"/>
    <w:qFormat/>
    <w:rsid w:val="00DB7C2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DB7C24"/>
    <w:rPr>
      <w:i/>
      <w:iCs/>
    </w:rPr>
  </w:style>
  <w:style w:type="paragraph" w:styleId="IntenseQuote">
    <w:name w:val="Intense Quote"/>
    <w:basedOn w:val="Normal"/>
    <w:next w:val="Normal"/>
    <w:link w:val="IntenseQuoteChar"/>
    <w:uiPriority w:val="30"/>
    <w:qFormat/>
    <w:rsid w:val="00DB7C2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B7C2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B7C24"/>
    <w:rPr>
      <w:i/>
      <w:iCs/>
      <w:color w:val="595959" w:themeColor="text1" w:themeTint="A6"/>
    </w:rPr>
  </w:style>
  <w:style w:type="character" w:styleId="IntenseEmphasis">
    <w:name w:val="Intense Emphasis"/>
    <w:basedOn w:val="DefaultParagraphFont"/>
    <w:uiPriority w:val="21"/>
    <w:qFormat/>
    <w:rsid w:val="00DB7C24"/>
    <w:rPr>
      <w:b/>
      <w:bCs/>
      <w:i/>
      <w:iCs/>
    </w:rPr>
  </w:style>
  <w:style w:type="character" w:styleId="SubtleReference">
    <w:name w:val="Subtle Reference"/>
    <w:basedOn w:val="DefaultParagraphFont"/>
    <w:uiPriority w:val="31"/>
    <w:qFormat/>
    <w:rsid w:val="00DB7C24"/>
    <w:rPr>
      <w:smallCaps/>
      <w:color w:val="404040" w:themeColor="text1" w:themeTint="BF"/>
    </w:rPr>
  </w:style>
  <w:style w:type="character" w:styleId="IntenseReference">
    <w:name w:val="Intense Reference"/>
    <w:basedOn w:val="DefaultParagraphFont"/>
    <w:uiPriority w:val="32"/>
    <w:qFormat/>
    <w:rsid w:val="00DB7C24"/>
    <w:rPr>
      <w:b/>
      <w:bCs/>
      <w:smallCaps/>
      <w:u w:val="single"/>
    </w:rPr>
  </w:style>
  <w:style w:type="character" w:styleId="BookTitle">
    <w:name w:val="Book Title"/>
    <w:basedOn w:val="DefaultParagraphFont"/>
    <w:uiPriority w:val="33"/>
    <w:qFormat/>
    <w:rsid w:val="00DB7C24"/>
    <w:rPr>
      <w:b/>
      <w:bCs/>
      <w:smallCaps/>
    </w:rPr>
  </w:style>
  <w:style w:type="paragraph" w:styleId="TOCHeading">
    <w:name w:val="TOC Heading"/>
    <w:basedOn w:val="Heading1"/>
    <w:next w:val="Normal"/>
    <w:uiPriority w:val="39"/>
    <w:semiHidden/>
    <w:unhideWhenUsed/>
    <w:qFormat/>
    <w:rsid w:val="00DB7C24"/>
    <w:pPr>
      <w:outlineLvl w:val="9"/>
    </w:pPr>
  </w:style>
  <w:style w:type="paragraph" w:styleId="Header">
    <w:name w:val="header"/>
    <w:basedOn w:val="Normal"/>
    <w:link w:val="HeaderChar"/>
    <w:uiPriority w:val="99"/>
    <w:unhideWhenUsed/>
    <w:rsid w:val="00946B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6B24"/>
  </w:style>
  <w:style w:type="paragraph" w:styleId="Footer">
    <w:name w:val="footer"/>
    <w:basedOn w:val="Normal"/>
    <w:link w:val="FooterChar"/>
    <w:uiPriority w:val="99"/>
    <w:unhideWhenUsed/>
    <w:rsid w:val="00946B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6B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163290">
      <w:bodyDiv w:val="1"/>
      <w:marLeft w:val="0"/>
      <w:marRight w:val="0"/>
      <w:marTop w:val="0"/>
      <w:marBottom w:val="0"/>
      <w:divBdr>
        <w:top w:val="none" w:sz="0" w:space="0" w:color="auto"/>
        <w:left w:val="none" w:sz="0" w:space="0" w:color="auto"/>
        <w:bottom w:val="none" w:sz="0" w:space="0" w:color="auto"/>
        <w:right w:val="none" w:sz="0" w:space="0" w:color="auto"/>
      </w:divBdr>
      <w:divsChild>
        <w:div w:id="1252007435">
          <w:marLeft w:val="0"/>
          <w:marRight w:val="0"/>
          <w:marTop w:val="0"/>
          <w:marBottom w:val="0"/>
          <w:divBdr>
            <w:top w:val="none" w:sz="0" w:space="0" w:color="auto"/>
            <w:left w:val="none" w:sz="0" w:space="0" w:color="auto"/>
            <w:bottom w:val="none" w:sz="0" w:space="0" w:color="auto"/>
            <w:right w:val="none" w:sz="0" w:space="0" w:color="auto"/>
          </w:divBdr>
          <w:divsChild>
            <w:div w:id="407699891">
              <w:marLeft w:val="0"/>
              <w:marRight w:val="0"/>
              <w:marTop w:val="0"/>
              <w:marBottom w:val="0"/>
              <w:divBdr>
                <w:top w:val="none" w:sz="0" w:space="0" w:color="auto"/>
                <w:left w:val="none" w:sz="0" w:space="0" w:color="auto"/>
                <w:bottom w:val="none" w:sz="0" w:space="0" w:color="auto"/>
                <w:right w:val="none" w:sz="0" w:space="0" w:color="auto"/>
              </w:divBdr>
              <w:divsChild>
                <w:div w:id="16517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619355">
      <w:bodyDiv w:val="1"/>
      <w:marLeft w:val="0"/>
      <w:marRight w:val="0"/>
      <w:marTop w:val="0"/>
      <w:marBottom w:val="0"/>
      <w:divBdr>
        <w:top w:val="none" w:sz="0" w:space="0" w:color="auto"/>
        <w:left w:val="none" w:sz="0" w:space="0" w:color="auto"/>
        <w:bottom w:val="none" w:sz="0" w:space="0" w:color="auto"/>
        <w:right w:val="none" w:sz="0" w:space="0" w:color="auto"/>
      </w:divBdr>
      <w:divsChild>
        <w:div w:id="630863539">
          <w:marLeft w:val="0"/>
          <w:marRight w:val="0"/>
          <w:marTop w:val="0"/>
          <w:marBottom w:val="0"/>
          <w:divBdr>
            <w:top w:val="none" w:sz="0" w:space="0" w:color="auto"/>
            <w:left w:val="none" w:sz="0" w:space="0" w:color="auto"/>
            <w:bottom w:val="none" w:sz="0" w:space="0" w:color="auto"/>
            <w:right w:val="none" w:sz="0" w:space="0" w:color="auto"/>
          </w:divBdr>
        </w:div>
        <w:div w:id="1760710697">
          <w:marLeft w:val="0"/>
          <w:marRight w:val="0"/>
          <w:marTop w:val="0"/>
          <w:marBottom w:val="0"/>
          <w:divBdr>
            <w:top w:val="none" w:sz="0" w:space="0" w:color="auto"/>
            <w:left w:val="none" w:sz="0" w:space="0" w:color="auto"/>
            <w:bottom w:val="none" w:sz="0" w:space="0" w:color="auto"/>
            <w:right w:val="none" w:sz="0" w:space="0" w:color="auto"/>
          </w:divBdr>
          <w:divsChild>
            <w:div w:id="471170133">
              <w:marLeft w:val="0"/>
              <w:marRight w:val="0"/>
              <w:marTop w:val="0"/>
              <w:marBottom w:val="0"/>
              <w:divBdr>
                <w:top w:val="none" w:sz="0" w:space="0" w:color="auto"/>
                <w:left w:val="none" w:sz="0" w:space="0" w:color="auto"/>
                <w:bottom w:val="none" w:sz="0" w:space="0" w:color="auto"/>
                <w:right w:val="none" w:sz="0" w:space="0" w:color="auto"/>
              </w:divBdr>
            </w:div>
          </w:divsChild>
        </w:div>
        <w:div w:id="2143494427">
          <w:marLeft w:val="0"/>
          <w:marRight w:val="0"/>
          <w:marTop w:val="0"/>
          <w:marBottom w:val="0"/>
          <w:divBdr>
            <w:top w:val="none" w:sz="0" w:space="0" w:color="auto"/>
            <w:left w:val="none" w:sz="0" w:space="0" w:color="auto"/>
            <w:bottom w:val="none" w:sz="0" w:space="0" w:color="auto"/>
            <w:right w:val="none" w:sz="0" w:space="0" w:color="auto"/>
          </w:divBdr>
          <w:divsChild>
            <w:div w:id="1140418227">
              <w:marLeft w:val="0"/>
              <w:marRight w:val="0"/>
              <w:marTop w:val="0"/>
              <w:marBottom w:val="0"/>
              <w:divBdr>
                <w:top w:val="none" w:sz="0" w:space="0" w:color="auto"/>
                <w:left w:val="none" w:sz="0" w:space="0" w:color="auto"/>
                <w:bottom w:val="none" w:sz="0" w:space="0" w:color="auto"/>
                <w:right w:val="none" w:sz="0" w:space="0" w:color="auto"/>
              </w:divBdr>
              <w:divsChild>
                <w:div w:id="131321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550561">
      <w:bodyDiv w:val="1"/>
      <w:marLeft w:val="0"/>
      <w:marRight w:val="0"/>
      <w:marTop w:val="0"/>
      <w:marBottom w:val="0"/>
      <w:divBdr>
        <w:top w:val="none" w:sz="0" w:space="0" w:color="auto"/>
        <w:left w:val="none" w:sz="0" w:space="0" w:color="auto"/>
        <w:bottom w:val="none" w:sz="0" w:space="0" w:color="auto"/>
        <w:right w:val="none" w:sz="0" w:space="0" w:color="auto"/>
      </w:divBdr>
      <w:divsChild>
        <w:div w:id="797647058">
          <w:marLeft w:val="0"/>
          <w:marRight w:val="0"/>
          <w:marTop w:val="0"/>
          <w:marBottom w:val="0"/>
          <w:divBdr>
            <w:top w:val="none" w:sz="0" w:space="0" w:color="auto"/>
            <w:left w:val="none" w:sz="0" w:space="0" w:color="auto"/>
            <w:bottom w:val="none" w:sz="0" w:space="0" w:color="auto"/>
            <w:right w:val="none" w:sz="0" w:space="0" w:color="auto"/>
          </w:divBdr>
          <w:divsChild>
            <w:div w:id="202016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385085">
      <w:bodyDiv w:val="1"/>
      <w:marLeft w:val="0"/>
      <w:marRight w:val="0"/>
      <w:marTop w:val="0"/>
      <w:marBottom w:val="0"/>
      <w:divBdr>
        <w:top w:val="none" w:sz="0" w:space="0" w:color="auto"/>
        <w:left w:val="none" w:sz="0" w:space="0" w:color="auto"/>
        <w:bottom w:val="none" w:sz="0" w:space="0" w:color="auto"/>
        <w:right w:val="none" w:sz="0" w:space="0" w:color="auto"/>
      </w:divBdr>
      <w:divsChild>
        <w:div w:id="590355082">
          <w:marLeft w:val="0"/>
          <w:marRight w:val="0"/>
          <w:marTop w:val="0"/>
          <w:marBottom w:val="0"/>
          <w:divBdr>
            <w:top w:val="none" w:sz="0" w:space="0" w:color="auto"/>
            <w:left w:val="none" w:sz="0" w:space="0" w:color="auto"/>
            <w:bottom w:val="none" w:sz="0" w:space="0" w:color="auto"/>
            <w:right w:val="none" w:sz="0" w:space="0" w:color="auto"/>
          </w:divBdr>
          <w:divsChild>
            <w:div w:id="27094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92839">
      <w:bodyDiv w:val="1"/>
      <w:marLeft w:val="0"/>
      <w:marRight w:val="0"/>
      <w:marTop w:val="0"/>
      <w:marBottom w:val="0"/>
      <w:divBdr>
        <w:top w:val="none" w:sz="0" w:space="0" w:color="auto"/>
        <w:left w:val="none" w:sz="0" w:space="0" w:color="auto"/>
        <w:bottom w:val="none" w:sz="0" w:space="0" w:color="auto"/>
        <w:right w:val="none" w:sz="0" w:space="0" w:color="auto"/>
      </w:divBdr>
    </w:div>
    <w:div w:id="1348558323">
      <w:bodyDiv w:val="1"/>
      <w:marLeft w:val="0"/>
      <w:marRight w:val="0"/>
      <w:marTop w:val="0"/>
      <w:marBottom w:val="0"/>
      <w:divBdr>
        <w:top w:val="none" w:sz="0" w:space="0" w:color="auto"/>
        <w:left w:val="none" w:sz="0" w:space="0" w:color="auto"/>
        <w:bottom w:val="none" w:sz="0" w:space="0" w:color="auto"/>
        <w:right w:val="none" w:sz="0" w:space="0" w:color="auto"/>
      </w:divBdr>
      <w:divsChild>
        <w:div w:id="2107187675">
          <w:marLeft w:val="0"/>
          <w:marRight w:val="0"/>
          <w:marTop w:val="0"/>
          <w:marBottom w:val="0"/>
          <w:divBdr>
            <w:top w:val="none" w:sz="0" w:space="0" w:color="auto"/>
            <w:left w:val="none" w:sz="0" w:space="0" w:color="auto"/>
            <w:bottom w:val="none" w:sz="0" w:space="0" w:color="auto"/>
            <w:right w:val="none" w:sz="0" w:space="0" w:color="auto"/>
          </w:divBdr>
        </w:div>
      </w:divsChild>
    </w:div>
    <w:div w:id="1652515550">
      <w:bodyDiv w:val="1"/>
      <w:marLeft w:val="0"/>
      <w:marRight w:val="0"/>
      <w:marTop w:val="0"/>
      <w:marBottom w:val="0"/>
      <w:divBdr>
        <w:top w:val="none" w:sz="0" w:space="0" w:color="auto"/>
        <w:left w:val="none" w:sz="0" w:space="0" w:color="auto"/>
        <w:bottom w:val="none" w:sz="0" w:space="0" w:color="auto"/>
        <w:right w:val="none" w:sz="0" w:space="0" w:color="auto"/>
      </w:divBdr>
    </w:div>
    <w:div w:id="1928924743">
      <w:bodyDiv w:val="1"/>
      <w:marLeft w:val="0"/>
      <w:marRight w:val="0"/>
      <w:marTop w:val="0"/>
      <w:marBottom w:val="0"/>
      <w:divBdr>
        <w:top w:val="none" w:sz="0" w:space="0" w:color="auto"/>
        <w:left w:val="none" w:sz="0" w:space="0" w:color="auto"/>
        <w:bottom w:val="none" w:sz="0" w:space="0" w:color="auto"/>
        <w:right w:val="none" w:sz="0" w:space="0" w:color="auto"/>
      </w:divBdr>
    </w:div>
    <w:div w:id="2081247289">
      <w:bodyDiv w:val="1"/>
      <w:marLeft w:val="0"/>
      <w:marRight w:val="0"/>
      <w:marTop w:val="0"/>
      <w:marBottom w:val="0"/>
      <w:divBdr>
        <w:top w:val="none" w:sz="0" w:space="0" w:color="auto"/>
        <w:left w:val="none" w:sz="0" w:space="0" w:color="auto"/>
        <w:bottom w:val="none" w:sz="0" w:space="0" w:color="auto"/>
        <w:right w:val="none" w:sz="0" w:space="0" w:color="auto"/>
      </w:divBdr>
    </w:div>
    <w:div w:id="210642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javascrip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093/ehr/LXVIII.CCLXIX.574p%20pp.%20574-576" TargetMode="External"/><Relationship Id="rId1" Type="http://schemas.openxmlformats.org/officeDocument/2006/relationships/hyperlink" Target="https://doi.org/10.1093/oso/9780198769965.003.0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DB04D-8815-4808-8AD0-E96D216D1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5262</TotalTime>
  <Pages>6</Pages>
  <Words>1533</Words>
  <Characters>7543</Characters>
  <Application>Microsoft Office Word</Application>
  <DocSecurity>0</DocSecurity>
  <Lines>147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524</cp:revision>
  <cp:lastPrinted>2022-11-14T15:26:00Z</cp:lastPrinted>
  <dcterms:created xsi:type="dcterms:W3CDTF">2022-11-02T17:54:00Z</dcterms:created>
  <dcterms:modified xsi:type="dcterms:W3CDTF">2022-11-17T16:40:00Z</dcterms:modified>
</cp:coreProperties>
</file>