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6D5E67" w14:textId="5CA3E59C" w:rsidR="00E73E4F" w:rsidRPr="00E73E4F" w:rsidRDefault="00E73E4F" w:rsidP="00E73E4F">
      <w:pPr>
        <w:rPr>
          <w:lang w:val="en-US"/>
        </w:rPr>
      </w:pPr>
    </w:p>
    <w:p w14:paraId="64CB6909" w14:textId="77EC16F5" w:rsidR="00E73E4F" w:rsidRPr="00E73E4F" w:rsidRDefault="00E73E4F" w:rsidP="00E73E4F">
      <w:pPr>
        <w:spacing w:line="240" w:lineRule="auto"/>
        <w:rPr>
          <w:rFonts w:ascii="Arial" w:eastAsia="Arial" w:hAnsi="Arial" w:cs="Arial"/>
          <w:b/>
          <w:bCs/>
          <w:sz w:val="40"/>
          <w:szCs w:val="40"/>
          <w:lang w:eastAsia="en-GB"/>
        </w:rPr>
      </w:pPr>
      <w:r w:rsidRPr="00E73E4F">
        <w:rPr>
          <w:noProof/>
          <w:sz w:val="144"/>
          <w:szCs w:val="144"/>
        </w:rPr>
        <w:drawing>
          <wp:inline distT="0" distB="0" distL="0" distR="0" wp14:anchorId="208ACED4" wp14:editId="082D6593">
            <wp:extent cx="3314946" cy="1260226"/>
            <wp:effectExtent l="57150" t="38100" r="133104" b="168524"/>
            <wp:docPr id="7" name="Picture 29" descr="Shap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r="38107"/>
                    <a:stretch>
                      <a:fillRect/>
                    </a:stretch>
                  </pic:blipFill>
                  <pic:spPr>
                    <a:xfrm>
                      <a:off x="0" y="0"/>
                      <a:ext cx="3314946" cy="1260226"/>
                    </a:xfrm>
                    <a:prstGeom prst="rect">
                      <a:avLst/>
                    </a:prstGeom>
                    <a:noFill/>
                    <a:ln>
                      <a:noFill/>
                      <a:prstDash/>
                    </a:ln>
                    <a:effectLst>
                      <a:outerShdw blurRad="304800" dist="139699" dir="2700000" algn="tl">
                        <a:srgbClr val="333333"/>
                      </a:outerShdw>
                    </a:effectLst>
                  </pic:spPr>
                </pic:pic>
              </a:graphicData>
            </a:graphic>
          </wp:inline>
        </w:drawing>
      </w:r>
    </w:p>
    <w:p w14:paraId="3AE5196E" w14:textId="77777777" w:rsidR="00813A2B" w:rsidRDefault="00813A2B" w:rsidP="00813A2B">
      <w:pPr>
        <w:spacing w:line="240" w:lineRule="auto"/>
        <w:jc w:val="left"/>
        <w:rPr>
          <w:rStyle w:val="Hyperlink"/>
          <w:rFonts w:ascii="Segoe UI" w:hAnsi="Segoe UI" w:cs="Segoe UI"/>
          <w:color w:val="000A0F"/>
          <w:sz w:val="23"/>
          <w:szCs w:val="23"/>
        </w:rPr>
      </w:pPr>
      <w:r>
        <w:fldChar w:fldCharType="begin"/>
      </w:r>
      <w:r>
        <w:instrText xml:space="preserve"> HYPERLINK "https://moodle.uwtsd.ac.uk/course/view.php?id=3817" </w:instrText>
      </w:r>
      <w:r>
        <w:fldChar w:fldCharType="separate"/>
      </w:r>
    </w:p>
    <w:p w14:paraId="2D5AFB75" w14:textId="1088608C" w:rsidR="002E5288" w:rsidRPr="002E5288" w:rsidRDefault="00813A2B" w:rsidP="002E5288">
      <w:pPr>
        <w:spacing w:after="200" w:line="276" w:lineRule="auto"/>
        <w:jc w:val="center"/>
        <w:rPr>
          <w:b/>
          <w:bCs/>
        </w:rPr>
      </w:pPr>
      <w:r w:rsidRPr="00813A2B">
        <w:rPr>
          <w:rFonts w:ascii="Segoe UI" w:hAnsi="Segoe UI" w:cs="Segoe UI"/>
          <w:b/>
          <w:bCs/>
          <w:color w:val="000A0F"/>
        </w:rPr>
        <w:t>Mana</w:t>
      </w:r>
      <w:r w:rsidR="002E5288">
        <w:rPr>
          <w:rFonts w:ascii="Segoe UI" w:hAnsi="Segoe UI" w:cs="Segoe UI"/>
          <w:b/>
          <w:bCs/>
          <w:color w:val="000A0F"/>
        </w:rPr>
        <w:t>ging people</w:t>
      </w:r>
      <w:r w:rsidR="002E5288" w:rsidRPr="002E5288">
        <w:rPr>
          <w:rFonts w:ascii="Segoe UI" w:hAnsi="Segoe UI" w:cs="Segoe UI"/>
          <w:b/>
          <w:bCs/>
          <w:color w:val="000A0F"/>
        </w:rPr>
        <w:t xml:space="preserve"> </w:t>
      </w:r>
      <w:r w:rsidR="002E5288">
        <w:rPr>
          <w:rFonts w:ascii="Segoe UI" w:hAnsi="Segoe UI" w:cs="Segoe UI"/>
          <w:b/>
          <w:bCs/>
          <w:color w:val="000A0F"/>
        </w:rPr>
        <w:t>(</w:t>
      </w:r>
      <w:r w:rsidR="002E5288" w:rsidRPr="002E5288">
        <w:rPr>
          <w:b/>
          <w:bCs/>
        </w:rPr>
        <w:t>LCBB5004</w:t>
      </w:r>
      <w:r w:rsidR="002E5288">
        <w:rPr>
          <w:b/>
          <w:bCs/>
        </w:rPr>
        <w:t>)</w:t>
      </w:r>
    </w:p>
    <w:p w14:paraId="020D5F6A" w14:textId="01F943D9" w:rsidR="00813A2B" w:rsidRPr="00813A2B" w:rsidRDefault="00813A2B" w:rsidP="00813A2B">
      <w:pPr>
        <w:pStyle w:val="Heading1"/>
        <w:spacing w:before="0"/>
        <w:jc w:val="center"/>
        <w:textAlignment w:val="center"/>
        <w:rPr>
          <w:sz w:val="48"/>
          <w:szCs w:val="48"/>
        </w:rPr>
      </w:pPr>
    </w:p>
    <w:p w14:paraId="22D1D532" w14:textId="56121FCD" w:rsidR="00E73E4F" w:rsidRDefault="00813A2B" w:rsidP="00813A2B">
      <w:pPr>
        <w:pStyle w:val="IntenseQuote"/>
        <w:rPr>
          <w:sz w:val="72"/>
          <w:szCs w:val="56"/>
          <w:lang w:val="en-IN"/>
        </w:rPr>
      </w:pPr>
      <w:r>
        <w:fldChar w:fldCharType="end"/>
      </w:r>
      <w:r w:rsidR="00E73E4F" w:rsidRPr="00E73E4F">
        <w:rPr>
          <w:sz w:val="72"/>
          <w:szCs w:val="56"/>
          <w:lang w:val="en-IN"/>
        </w:rPr>
        <w:t xml:space="preserve">Assessment </w:t>
      </w:r>
      <w:r>
        <w:rPr>
          <w:sz w:val="72"/>
          <w:szCs w:val="56"/>
          <w:lang w:val="en-IN"/>
        </w:rPr>
        <w:t>1</w:t>
      </w:r>
    </w:p>
    <w:p w14:paraId="7B1ABBDE" w14:textId="4E94119A" w:rsidR="00E73E4F" w:rsidRDefault="002E5288" w:rsidP="00E73E4F">
      <w:pPr>
        <w:pStyle w:val="Title"/>
        <w:rPr>
          <w:lang w:val="en-US"/>
        </w:rPr>
      </w:pPr>
      <w:r>
        <w:rPr>
          <w:lang w:val="en-US"/>
        </w:rPr>
        <w:t>JD-SPORT</w:t>
      </w:r>
    </w:p>
    <w:p w14:paraId="71893ECE" w14:textId="393B4F3C" w:rsidR="00813A2B" w:rsidRDefault="00813A2B" w:rsidP="00813A2B">
      <w:pPr>
        <w:rPr>
          <w:lang w:val="en-US"/>
        </w:rPr>
      </w:pPr>
    </w:p>
    <w:p w14:paraId="335B87F1" w14:textId="77777777" w:rsidR="00813A2B" w:rsidRPr="00813A2B" w:rsidRDefault="00813A2B" w:rsidP="00813A2B">
      <w:pPr>
        <w:rPr>
          <w:lang w:val="en-US"/>
        </w:rPr>
      </w:pPr>
    </w:p>
    <w:p w14:paraId="42E09B5A" w14:textId="77777777" w:rsidR="00E73E4F" w:rsidRPr="00E73E4F" w:rsidRDefault="00E73E4F" w:rsidP="00E73E4F">
      <w:pPr>
        <w:spacing w:line="240" w:lineRule="auto"/>
        <w:ind w:left="720"/>
        <w:contextualSpacing/>
        <w:jc w:val="center"/>
        <w:rPr>
          <w:b/>
          <w:bCs/>
          <w:sz w:val="28"/>
          <w:szCs w:val="28"/>
          <w:shd w:val="clear" w:color="auto" w:fill="FAF9F8"/>
        </w:rPr>
      </w:pPr>
    </w:p>
    <w:p w14:paraId="3DB4AB74" w14:textId="77777777" w:rsidR="00E73E4F" w:rsidRPr="00E73E4F" w:rsidRDefault="00E73E4F" w:rsidP="00E73E4F">
      <w:pPr>
        <w:spacing w:line="240" w:lineRule="auto"/>
        <w:ind w:left="720"/>
        <w:contextualSpacing/>
        <w:jc w:val="center"/>
      </w:pPr>
      <w:r w:rsidRPr="00E73E4F">
        <w:rPr>
          <w:b/>
          <w:bCs/>
          <w:sz w:val="28"/>
          <w:szCs w:val="28"/>
          <w:shd w:val="clear" w:color="auto" w:fill="FAF9F8"/>
        </w:rPr>
        <w:t>BA Business Management</w:t>
      </w:r>
    </w:p>
    <w:p w14:paraId="57226039" w14:textId="77777777" w:rsidR="00E73E4F" w:rsidRPr="00E73E4F" w:rsidRDefault="00E73E4F" w:rsidP="00E73E4F">
      <w:pPr>
        <w:spacing w:line="240" w:lineRule="auto"/>
        <w:ind w:left="720"/>
        <w:jc w:val="center"/>
        <w:rPr>
          <w:i/>
          <w:iCs/>
          <w:sz w:val="28"/>
          <w:szCs w:val="28"/>
        </w:rPr>
      </w:pPr>
    </w:p>
    <w:p w14:paraId="5CD257CD" w14:textId="5DA097CF" w:rsidR="00E73E4F" w:rsidRDefault="00E73E4F" w:rsidP="00E73E4F">
      <w:pPr>
        <w:numPr>
          <w:ilvl w:val="0"/>
          <w:numId w:val="2"/>
        </w:numPr>
        <w:suppressAutoHyphens/>
        <w:autoSpaceDN w:val="0"/>
        <w:spacing w:line="240" w:lineRule="auto"/>
        <w:jc w:val="center"/>
        <w:textAlignment w:val="baseline"/>
        <w:rPr>
          <w:b/>
          <w:bCs/>
          <w:i/>
          <w:iCs/>
          <w:sz w:val="28"/>
          <w:szCs w:val="28"/>
        </w:rPr>
      </w:pPr>
      <w:r w:rsidRPr="00E73E4F">
        <w:rPr>
          <w:b/>
          <w:bCs/>
          <w:i/>
          <w:iCs/>
          <w:sz w:val="28"/>
          <w:szCs w:val="28"/>
        </w:rPr>
        <w:t xml:space="preserve">SEBASTIANA </w:t>
      </w:r>
      <w:r w:rsidR="00786CB2">
        <w:rPr>
          <w:b/>
          <w:bCs/>
          <w:i/>
          <w:iCs/>
          <w:sz w:val="28"/>
          <w:szCs w:val="28"/>
        </w:rPr>
        <w:t>FRASINESCU</w:t>
      </w:r>
      <w:r w:rsidRPr="00E73E4F">
        <w:rPr>
          <w:b/>
          <w:bCs/>
          <w:i/>
          <w:iCs/>
          <w:sz w:val="28"/>
          <w:szCs w:val="28"/>
        </w:rPr>
        <w:t xml:space="preserve"> (2021070)</w:t>
      </w:r>
    </w:p>
    <w:p w14:paraId="732596FB" w14:textId="041E05BC" w:rsidR="00E73E4F" w:rsidRDefault="00E73E4F" w:rsidP="00E73E4F">
      <w:pPr>
        <w:suppressAutoHyphens/>
        <w:autoSpaceDN w:val="0"/>
        <w:spacing w:line="240" w:lineRule="auto"/>
        <w:jc w:val="center"/>
        <w:textAlignment w:val="baseline"/>
        <w:rPr>
          <w:b/>
          <w:bCs/>
          <w:i/>
          <w:iCs/>
          <w:sz w:val="28"/>
          <w:szCs w:val="28"/>
        </w:rPr>
      </w:pPr>
    </w:p>
    <w:p w14:paraId="0ECEBC2A" w14:textId="2C1559F2" w:rsidR="00E73E4F" w:rsidRDefault="00E73E4F" w:rsidP="00E73E4F">
      <w:pPr>
        <w:suppressAutoHyphens/>
        <w:autoSpaceDN w:val="0"/>
        <w:spacing w:line="240" w:lineRule="auto"/>
        <w:jc w:val="center"/>
        <w:textAlignment w:val="baseline"/>
        <w:rPr>
          <w:b/>
          <w:bCs/>
          <w:i/>
          <w:iCs/>
          <w:sz w:val="28"/>
          <w:szCs w:val="28"/>
        </w:rPr>
      </w:pPr>
    </w:p>
    <w:p w14:paraId="4A2865B7" w14:textId="0AD2FE4B" w:rsidR="00E73E4F" w:rsidRDefault="00E73E4F" w:rsidP="00E73E4F">
      <w:pPr>
        <w:suppressAutoHyphens/>
        <w:autoSpaceDN w:val="0"/>
        <w:spacing w:line="240" w:lineRule="auto"/>
        <w:jc w:val="center"/>
        <w:textAlignment w:val="baseline"/>
        <w:rPr>
          <w:b/>
          <w:bCs/>
          <w:i/>
          <w:iCs/>
          <w:sz w:val="28"/>
          <w:szCs w:val="28"/>
        </w:rPr>
      </w:pPr>
    </w:p>
    <w:p w14:paraId="5B722A6F" w14:textId="77777777" w:rsidR="00E73E4F" w:rsidRPr="00E73E4F" w:rsidRDefault="00E73E4F" w:rsidP="00E73E4F">
      <w:pPr>
        <w:suppressAutoHyphens/>
        <w:autoSpaceDN w:val="0"/>
        <w:spacing w:line="240" w:lineRule="auto"/>
        <w:jc w:val="center"/>
        <w:textAlignment w:val="baseline"/>
        <w:rPr>
          <w:b/>
          <w:bCs/>
          <w:i/>
          <w:iCs/>
          <w:sz w:val="28"/>
          <w:szCs w:val="28"/>
        </w:rPr>
      </w:pPr>
    </w:p>
    <w:p w14:paraId="0A1015F3" w14:textId="247F17A6" w:rsidR="00307B8D" w:rsidRDefault="00307B8D">
      <w:pPr>
        <w:spacing w:line="259" w:lineRule="auto"/>
        <w:jc w:val="left"/>
        <w:rPr>
          <w:rFonts w:ascii="Cambria" w:eastAsiaTheme="majorEastAsia" w:hAnsi="Cambria" w:cstheme="majorBidi"/>
          <w:color w:val="2E74B5" w:themeColor="accent1" w:themeShade="BF"/>
          <w:sz w:val="32"/>
          <w:szCs w:val="32"/>
          <w:lang w:val="en-US"/>
        </w:rPr>
      </w:pPr>
    </w:p>
    <w:p w14:paraId="3ABB05B6" w14:textId="33D6D8C1" w:rsidR="002E5288" w:rsidRDefault="002E5288">
      <w:pPr>
        <w:spacing w:line="259" w:lineRule="auto"/>
        <w:jc w:val="left"/>
        <w:rPr>
          <w:rFonts w:ascii="Cambria" w:eastAsiaTheme="majorEastAsia" w:hAnsi="Cambria" w:cstheme="majorBidi"/>
          <w:color w:val="2E74B5" w:themeColor="accent1" w:themeShade="BF"/>
          <w:sz w:val="32"/>
          <w:szCs w:val="32"/>
          <w:lang w:val="en-US"/>
        </w:rPr>
      </w:pPr>
    </w:p>
    <w:sdt>
      <w:sdtPr>
        <w:rPr>
          <w:rFonts w:ascii="Arial" w:eastAsiaTheme="minorHAnsi" w:hAnsi="Arial" w:cstheme="minorBidi"/>
          <w:b/>
          <w:bCs/>
          <w:color w:val="auto"/>
          <w:sz w:val="24"/>
          <w:szCs w:val="22"/>
        </w:rPr>
        <w:id w:val="343566753"/>
        <w:docPartObj>
          <w:docPartGallery w:val="Table of Contents"/>
          <w:docPartUnique/>
        </w:docPartObj>
      </w:sdtPr>
      <w:sdtEndPr>
        <w:rPr>
          <w:rFonts w:ascii="Times New Roman" w:hAnsi="Times New Roman"/>
          <w:b w:val="0"/>
          <w:bCs w:val="0"/>
          <w:lang w:val="en-GB"/>
        </w:rPr>
      </w:sdtEndPr>
      <w:sdtContent>
        <w:p w14:paraId="2670038E" w14:textId="77777777" w:rsidR="002E5288" w:rsidRPr="00C44A6D" w:rsidRDefault="002E5288" w:rsidP="002E5288">
          <w:pPr>
            <w:pStyle w:val="TOCHeading"/>
          </w:pPr>
          <w:r w:rsidRPr="00C44A6D">
            <w:t>Table of Contents</w:t>
          </w:r>
        </w:p>
        <w:p w14:paraId="324526E5" w14:textId="77777777" w:rsidR="002E5288" w:rsidRDefault="002E5288" w:rsidP="002E5288">
          <w:pPr>
            <w:pStyle w:val="TOC1"/>
            <w:tabs>
              <w:tab w:val="right" w:leader="dot" w:pos="9350"/>
            </w:tabs>
            <w:rPr>
              <w:rFonts w:asciiTheme="minorHAnsi" w:eastAsiaTheme="minorEastAsia" w:hAnsiTheme="minorHAnsi"/>
              <w:noProof/>
              <w:sz w:val="22"/>
              <w:lang w:val="en-IN" w:eastAsia="en-IN"/>
            </w:rPr>
          </w:pPr>
          <w:r w:rsidRPr="00C44A6D">
            <w:fldChar w:fldCharType="begin"/>
          </w:r>
          <w:r w:rsidRPr="00C44A6D">
            <w:instrText xml:space="preserve"> TOC \o "1-3" \h \z \u </w:instrText>
          </w:r>
          <w:r w:rsidRPr="00C44A6D">
            <w:fldChar w:fldCharType="separate"/>
          </w:r>
          <w:hyperlink w:anchor="_Toc112250972" w:history="1">
            <w:r w:rsidRPr="00BA70C2">
              <w:rPr>
                <w:rStyle w:val="Hyperlink"/>
                <w:noProof/>
              </w:rPr>
              <w:t>INTRODUCTION</w:t>
            </w:r>
            <w:r>
              <w:rPr>
                <w:noProof/>
                <w:webHidden/>
              </w:rPr>
              <w:tab/>
            </w:r>
            <w:r>
              <w:rPr>
                <w:noProof/>
                <w:webHidden/>
              </w:rPr>
              <w:fldChar w:fldCharType="begin"/>
            </w:r>
            <w:r>
              <w:rPr>
                <w:noProof/>
                <w:webHidden/>
              </w:rPr>
              <w:instrText xml:space="preserve"> PAGEREF _Toc112250972 \h </w:instrText>
            </w:r>
            <w:r>
              <w:rPr>
                <w:noProof/>
                <w:webHidden/>
              </w:rPr>
            </w:r>
            <w:r>
              <w:rPr>
                <w:noProof/>
                <w:webHidden/>
              </w:rPr>
              <w:fldChar w:fldCharType="separate"/>
            </w:r>
            <w:r>
              <w:rPr>
                <w:noProof/>
                <w:webHidden/>
              </w:rPr>
              <w:t>3</w:t>
            </w:r>
            <w:r>
              <w:rPr>
                <w:noProof/>
                <w:webHidden/>
              </w:rPr>
              <w:fldChar w:fldCharType="end"/>
            </w:r>
          </w:hyperlink>
        </w:p>
        <w:p w14:paraId="21F1DD89" w14:textId="77777777" w:rsidR="002E5288" w:rsidRDefault="002E5288" w:rsidP="002E5288">
          <w:pPr>
            <w:pStyle w:val="TOC1"/>
            <w:tabs>
              <w:tab w:val="right" w:leader="dot" w:pos="9350"/>
            </w:tabs>
            <w:rPr>
              <w:rFonts w:asciiTheme="minorHAnsi" w:eastAsiaTheme="minorEastAsia" w:hAnsiTheme="minorHAnsi"/>
              <w:noProof/>
              <w:sz w:val="22"/>
              <w:lang w:val="en-IN" w:eastAsia="en-IN"/>
            </w:rPr>
          </w:pPr>
          <w:hyperlink w:anchor="_Toc112250973" w:history="1">
            <w:r w:rsidRPr="00BA70C2">
              <w:rPr>
                <w:rStyle w:val="Hyperlink"/>
                <w:noProof/>
              </w:rPr>
              <w:t>TASK</w:t>
            </w:r>
            <w:r>
              <w:rPr>
                <w:noProof/>
                <w:webHidden/>
              </w:rPr>
              <w:tab/>
            </w:r>
            <w:r>
              <w:rPr>
                <w:noProof/>
                <w:webHidden/>
              </w:rPr>
              <w:fldChar w:fldCharType="begin"/>
            </w:r>
            <w:r>
              <w:rPr>
                <w:noProof/>
                <w:webHidden/>
              </w:rPr>
              <w:instrText xml:space="preserve"> PAGEREF _Toc112250973 \h </w:instrText>
            </w:r>
            <w:r>
              <w:rPr>
                <w:noProof/>
                <w:webHidden/>
              </w:rPr>
            </w:r>
            <w:r>
              <w:rPr>
                <w:noProof/>
                <w:webHidden/>
              </w:rPr>
              <w:fldChar w:fldCharType="separate"/>
            </w:r>
            <w:r>
              <w:rPr>
                <w:noProof/>
                <w:webHidden/>
              </w:rPr>
              <w:t>4</w:t>
            </w:r>
            <w:r>
              <w:rPr>
                <w:noProof/>
                <w:webHidden/>
              </w:rPr>
              <w:fldChar w:fldCharType="end"/>
            </w:r>
          </w:hyperlink>
        </w:p>
        <w:p w14:paraId="56CC890A" w14:textId="77777777" w:rsidR="002E5288" w:rsidRDefault="002E5288" w:rsidP="002E5288">
          <w:pPr>
            <w:pStyle w:val="TOC2"/>
            <w:tabs>
              <w:tab w:val="right" w:leader="dot" w:pos="9350"/>
            </w:tabs>
            <w:rPr>
              <w:rFonts w:asciiTheme="minorHAnsi" w:eastAsiaTheme="minorEastAsia" w:hAnsiTheme="minorHAnsi"/>
              <w:noProof/>
              <w:sz w:val="22"/>
              <w:lang w:val="en-IN" w:eastAsia="en-IN"/>
            </w:rPr>
          </w:pPr>
          <w:hyperlink w:anchor="_Toc112250974" w:history="1">
            <w:r w:rsidRPr="00BA70C2">
              <w:rPr>
                <w:rStyle w:val="Hyperlink"/>
                <w:noProof/>
              </w:rPr>
              <w:t>FLEXIBLE WORKING</w:t>
            </w:r>
            <w:r>
              <w:rPr>
                <w:noProof/>
                <w:webHidden/>
              </w:rPr>
              <w:tab/>
            </w:r>
            <w:r>
              <w:rPr>
                <w:noProof/>
                <w:webHidden/>
              </w:rPr>
              <w:fldChar w:fldCharType="begin"/>
            </w:r>
            <w:r>
              <w:rPr>
                <w:noProof/>
                <w:webHidden/>
              </w:rPr>
              <w:instrText xml:space="preserve"> PAGEREF _Toc112250974 \h </w:instrText>
            </w:r>
            <w:r>
              <w:rPr>
                <w:noProof/>
                <w:webHidden/>
              </w:rPr>
            </w:r>
            <w:r>
              <w:rPr>
                <w:noProof/>
                <w:webHidden/>
              </w:rPr>
              <w:fldChar w:fldCharType="separate"/>
            </w:r>
            <w:r>
              <w:rPr>
                <w:noProof/>
                <w:webHidden/>
              </w:rPr>
              <w:t>4</w:t>
            </w:r>
            <w:r>
              <w:rPr>
                <w:noProof/>
                <w:webHidden/>
              </w:rPr>
              <w:fldChar w:fldCharType="end"/>
            </w:r>
          </w:hyperlink>
        </w:p>
        <w:p w14:paraId="7FB22E47" w14:textId="77777777" w:rsidR="002E5288" w:rsidRDefault="002E5288" w:rsidP="002E5288">
          <w:pPr>
            <w:pStyle w:val="TOC2"/>
            <w:tabs>
              <w:tab w:val="right" w:leader="dot" w:pos="9350"/>
            </w:tabs>
            <w:rPr>
              <w:rFonts w:asciiTheme="minorHAnsi" w:eastAsiaTheme="minorEastAsia" w:hAnsiTheme="minorHAnsi"/>
              <w:noProof/>
              <w:sz w:val="22"/>
              <w:lang w:val="en-IN" w:eastAsia="en-IN"/>
            </w:rPr>
          </w:pPr>
          <w:hyperlink w:anchor="_Toc112250975" w:history="1">
            <w:r w:rsidRPr="00BA70C2">
              <w:rPr>
                <w:rStyle w:val="Hyperlink"/>
                <w:noProof/>
              </w:rPr>
              <w:t>CASE IN FAVOUR OF FLEXIBLE WORKING RELEVANT TO DIVERSITY AND INCLUSION AT WORK</w:t>
            </w:r>
            <w:r>
              <w:rPr>
                <w:noProof/>
                <w:webHidden/>
              </w:rPr>
              <w:tab/>
            </w:r>
            <w:r>
              <w:rPr>
                <w:noProof/>
                <w:webHidden/>
              </w:rPr>
              <w:fldChar w:fldCharType="begin"/>
            </w:r>
            <w:r>
              <w:rPr>
                <w:noProof/>
                <w:webHidden/>
              </w:rPr>
              <w:instrText xml:space="preserve"> PAGEREF _Toc112250975 \h </w:instrText>
            </w:r>
            <w:r>
              <w:rPr>
                <w:noProof/>
                <w:webHidden/>
              </w:rPr>
            </w:r>
            <w:r>
              <w:rPr>
                <w:noProof/>
                <w:webHidden/>
              </w:rPr>
              <w:fldChar w:fldCharType="separate"/>
            </w:r>
            <w:r>
              <w:rPr>
                <w:noProof/>
                <w:webHidden/>
              </w:rPr>
              <w:t>5</w:t>
            </w:r>
            <w:r>
              <w:rPr>
                <w:noProof/>
                <w:webHidden/>
              </w:rPr>
              <w:fldChar w:fldCharType="end"/>
            </w:r>
          </w:hyperlink>
        </w:p>
        <w:p w14:paraId="71A65E57" w14:textId="77777777" w:rsidR="002E5288" w:rsidRDefault="002E5288" w:rsidP="002E5288">
          <w:pPr>
            <w:pStyle w:val="TOC2"/>
            <w:tabs>
              <w:tab w:val="right" w:leader="dot" w:pos="9350"/>
            </w:tabs>
            <w:rPr>
              <w:rFonts w:asciiTheme="minorHAnsi" w:eastAsiaTheme="minorEastAsia" w:hAnsiTheme="minorHAnsi"/>
              <w:noProof/>
              <w:sz w:val="22"/>
              <w:lang w:val="en-IN" w:eastAsia="en-IN"/>
            </w:rPr>
          </w:pPr>
          <w:hyperlink w:anchor="_Toc112250976" w:history="1">
            <w:r w:rsidRPr="00BA70C2">
              <w:rPr>
                <w:rStyle w:val="Hyperlink"/>
                <w:noProof/>
              </w:rPr>
              <w:t>CASE AGAINST FLEXIBLE WORKING RELEVANT TO INEQUALITY IN WORKPLACE</w:t>
            </w:r>
            <w:r>
              <w:rPr>
                <w:noProof/>
                <w:webHidden/>
              </w:rPr>
              <w:tab/>
            </w:r>
            <w:r>
              <w:rPr>
                <w:noProof/>
                <w:webHidden/>
              </w:rPr>
              <w:fldChar w:fldCharType="begin"/>
            </w:r>
            <w:r>
              <w:rPr>
                <w:noProof/>
                <w:webHidden/>
              </w:rPr>
              <w:instrText xml:space="preserve"> PAGEREF _Toc112250976 \h </w:instrText>
            </w:r>
            <w:r>
              <w:rPr>
                <w:noProof/>
                <w:webHidden/>
              </w:rPr>
            </w:r>
            <w:r>
              <w:rPr>
                <w:noProof/>
                <w:webHidden/>
              </w:rPr>
              <w:fldChar w:fldCharType="separate"/>
            </w:r>
            <w:r>
              <w:rPr>
                <w:noProof/>
                <w:webHidden/>
              </w:rPr>
              <w:t>7</w:t>
            </w:r>
            <w:r>
              <w:rPr>
                <w:noProof/>
                <w:webHidden/>
              </w:rPr>
              <w:fldChar w:fldCharType="end"/>
            </w:r>
          </w:hyperlink>
        </w:p>
        <w:p w14:paraId="167E15E3" w14:textId="77777777" w:rsidR="002E5288" w:rsidRDefault="002E5288" w:rsidP="002E5288">
          <w:pPr>
            <w:pStyle w:val="TOC1"/>
            <w:tabs>
              <w:tab w:val="right" w:leader="dot" w:pos="9350"/>
            </w:tabs>
            <w:rPr>
              <w:rFonts w:asciiTheme="minorHAnsi" w:eastAsiaTheme="minorEastAsia" w:hAnsiTheme="minorHAnsi"/>
              <w:noProof/>
              <w:sz w:val="22"/>
              <w:lang w:val="en-IN" w:eastAsia="en-IN"/>
            </w:rPr>
          </w:pPr>
          <w:hyperlink w:anchor="_Toc112250977" w:history="1">
            <w:r w:rsidRPr="00BA70C2">
              <w:rPr>
                <w:rStyle w:val="Hyperlink"/>
                <w:noProof/>
              </w:rPr>
              <w:t>CONCLUSION</w:t>
            </w:r>
            <w:r>
              <w:rPr>
                <w:noProof/>
                <w:webHidden/>
              </w:rPr>
              <w:tab/>
            </w:r>
            <w:r>
              <w:rPr>
                <w:noProof/>
                <w:webHidden/>
              </w:rPr>
              <w:fldChar w:fldCharType="begin"/>
            </w:r>
            <w:r>
              <w:rPr>
                <w:noProof/>
                <w:webHidden/>
              </w:rPr>
              <w:instrText xml:space="preserve"> PAGEREF _Toc112250977 \h </w:instrText>
            </w:r>
            <w:r>
              <w:rPr>
                <w:noProof/>
                <w:webHidden/>
              </w:rPr>
            </w:r>
            <w:r>
              <w:rPr>
                <w:noProof/>
                <w:webHidden/>
              </w:rPr>
              <w:fldChar w:fldCharType="separate"/>
            </w:r>
            <w:r>
              <w:rPr>
                <w:noProof/>
                <w:webHidden/>
              </w:rPr>
              <w:t>10</w:t>
            </w:r>
            <w:r>
              <w:rPr>
                <w:noProof/>
                <w:webHidden/>
              </w:rPr>
              <w:fldChar w:fldCharType="end"/>
            </w:r>
          </w:hyperlink>
        </w:p>
        <w:p w14:paraId="7E1A56B0" w14:textId="77777777" w:rsidR="002E5288" w:rsidRDefault="002E5288" w:rsidP="002E5288">
          <w:pPr>
            <w:pStyle w:val="TOC1"/>
            <w:tabs>
              <w:tab w:val="right" w:leader="dot" w:pos="9350"/>
            </w:tabs>
            <w:rPr>
              <w:rFonts w:asciiTheme="minorHAnsi" w:eastAsiaTheme="minorEastAsia" w:hAnsiTheme="minorHAnsi"/>
              <w:noProof/>
              <w:sz w:val="22"/>
              <w:lang w:val="en-IN" w:eastAsia="en-IN"/>
            </w:rPr>
          </w:pPr>
          <w:hyperlink w:anchor="_Toc112250978" w:history="1">
            <w:r w:rsidRPr="00BA70C2">
              <w:rPr>
                <w:rStyle w:val="Hyperlink"/>
                <w:noProof/>
              </w:rPr>
              <w:t>REFERENCES</w:t>
            </w:r>
            <w:r>
              <w:rPr>
                <w:noProof/>
                <w:webHidden/>
              </w:rPr>
              <w:tab/>
            </w:r>
            <w:r>
              <w:rPr>
                <w:noProof/>
                <w:webHidden/>
              </w:rPr>
              <w:fldChar w:fldCharType="begin"/>
            </w:r>
            <w:r>
              <w:rPr>
                <w:noProof/>
                <w:webHidden/>
              </w:rPr>
              <w:instrText xml:space="preserve"> PAGEREF _Toc112250978 \h </w:instrText>
            </w:r>
            <w:r>
              <w:rPr>
                <w:noProof/>
                <w:webHidden/>
              </w:rPr>
            </w:r>
            <w:r>
              <w:rPr>
                <w:noProof/>
                <w:webHidden/>
              </w:rPr>
              <w:fldChar w:fldCharType="separate"/>
            </w:r>
            <w:r>
              <w:rPr>
                <w:noProof/>
                <w:webHidden/>
              </w:rPr>
              <w:t>11</w:t>
            </w:r>
            <w:r>
              <w:rPr>
                <w:noProof/>
                <w:webHidden/>
              </w:rPr>
              <w:fldChar w:fldCharType="end"/>
            </w:r>
          </w:hyperlink>
        </w:p>
        <w:p w14:paraId="537CAB1A" w14:textId="77777777" w:rsidR="002E5288" w:rsidRPr="00C44A6D" w:rsidRDefault="002E5288" w:rsidP="002E5288">
          <w:r w:rsidRPr="00C44A6D">
            <w:fldChar w:fldCharType="end"/>
          </w:r>
        </w:p>
      </w:sdtContent>
    </w:sdt>
    <w:p w14:paraId="70BCE660" w14:textId="77777777" w:rsidR="002E5288" w:rsidRPr="00C44A6D" w:rsidRDefault="002E5288" w:rsidP="002E5288">
      <w:pPr>
        <w:spacing w:after="200" w:line="276" w:lineRule="auto"/>
        <w:jc w:val="left"/>
      </w:pPr>
      <w:r w:rsidRPr="00C44A6D">
        <w:br w:type="page"/>
      </w:r>
    </w:p>
    <w:p w14:paraId="19DEDA3A" w14:textId="77777777" w:rsidR="002E5288" w:rsidRPr="00C44A6D" w:rsidRDefault="002E5288" w:rsidP="002E5288">
      <w:pPr>
        <w:pStyle w:val="Heading1"/>
      </w:pPr>
      <w:bookmarkStart w:id="0" w:name="_Toc112250972"/>
      <w:r w:rsidRPr="00C44A6D">
        <w:lastRenderedPageBreak/>
        <w:t>INTRODUCTION</w:t>
      </w:r>
      <w:bookmarkEnd w:id="0"/>
      <w:r w:rsidRPr="00C44A6D">
        <w:t xml:space="preserve"> </w:t>
      </w:r>
    </w:p>
    <w:p w14:paraId="1566A589" w14:textId="77777777" w:rsidR="002E5288" w:rsidRPr="00C44A6D" w:rsidRDefault="002E5288" w:rsidP="002E5288">
      <w:r w:rsidRPr="00C44A6D">
        <w:t xml:space="preserve">The working environment or working schedule that does not include any constraints </w:t>
      </w:r>
      <w:proofErr w:type="gramStart"/>
      <w:r w:rsidRPr="00C44A6D">
        <w:t>similar to</w:t>
      </w:r>
      <w:proofErr w:type="gramEnd"/>
      <w:r w:rsidRPr="00C44A6D">
        <w:t xml:space="preserve"> a traditional work schedule job is referred to as the flexible working arrangement. The practice of remote working started in the year 2019 when the world was suffering from the Covid-19 pandemic (Austin-</w:t>
      </w:r>
      <w:proofErr w:type="spellStart"/>
      <w:r w:rsidRPr="00C44A6D">
        <w:t>Egole</w:t>
      </w:r>
      <w:proofErr w:type="spellEnd"/>
      <w:r w:rsidRPr="00C44A6D">
        <w:t xml:space="preserve"> et al., 2020). The report will be based on the case study of ACAS (Advisory, Conciliation and Arbitration Service) in which half of the employees demanding to allow remote work for a whole week whereas nearly half of them are demanding to work remotely for part of the week. This demand of the employees is making the company adopt flexible working practices. The report will be focused on evaluating the potential impact of flexible working. The role of human resources will be identified in promoting diversity and addressing the concerns of inequality that might arise by adopting flexible working arrangements. </w:t>
      </w:r>
    </w:p>
    <w:p w14:paraId="1DE930AB" w14:textId="77777777" w:rsidR="002E5288" w:rsidRPr="00C44A6D" w:rsidRDefault="002E5288" w:rsidP="002E5288">
      <w:pPr>
        <w:rPr>
          <w:b/>
        </w:rPr>
      </w:pPr>
      <w:r w:rsidRPr="00C44A6D">
        <w:rPr>
          <w:b/>
        </w:rPr>
        <w:t xml:space="preserve">Overview of the company </w:t>
      </w:r>
    </w:p>
    <w:p w14:paraId="15FCD6EE" w14:textId="77777777" w:rsidR="002E5288" w:rsidRPr="00C44A6D" w:rsidRDefault="002E5288" w:rsidP="002E5288">
      <w:r w:rsidRPr="00C44A6D">
        <w:t xml:space="preserve">The company chosen for the report is JD Sports which is a British sports company. The organization is headquartered in England, United Kingdom. The products sold by the company include clothing and sportswear accessories. The company was founded in 1981 and the current executive chairperson of the company is Peter Cowgill. The total revenue generated by the company in the year 2021 was £6,167.3 million. The subsidiaries of JD Sports are </w:t>
      </w:r>
      <w:proofErr w:type="spellStart"/>
      <w:r w:rsidRPr="00C44A6D">
        <w:t>Scotts</w:t>
      </w:r>
      <w:proofErr w:type="spellEnd"/>
      <w:r w:rsidRPr="00C44A6D">
        <w:t xml:space="preserve">, Tiso, Nike Kicks, </w:t>
      </w:r>
      <w:proofErr w:type="spellStart"/>
      <w:r w:rsidRPr="00C44A6D">
        <w:t>Bodytone</w:t>
      </w:r>
      <w:proofErr w:type="spellEnd"/>
      <w:r w:rsidRPr="00C44A6D">
        <w:t xml:space="preserve">, Blacks, and </w:t>
      </w:r>
      <w:proofErr w:type="spellStart"/>
      <w:r w:rsidRPr="00C44A6D">
        <w:t>Footpatrol</w:t>
      </w:r>
      <w:proofErr w:type="spellEnd"/>
      <w:r w:rsidRPr="00C44A6D">
        <w:t xml:space="preserve"> (JD Sports, 2022). </w:t>
      </w:r>
    </w:p>
    <w:p w14:paraId="1FCE34E4" w14:textId="77777777" w:rsidR="002E5288" w:rsidRPr="00C44A6D" w:rsidRDefault="002E5288" w:rsidP="002E5288">
      <w:pPr>
        <w:spacing w:after="200" w:line="276" w:lineRule="auto"/>
        <w:jc w:val="left"/>
      </w:pPr>
      <w:r w:rsidRPr="00C44A6D">
        <w:br w:type="page"/>
      </w:r>
    </w:p>
    <w:p w14:paraId="44CFCCCB" w14:textId="77777777" w:rsidR="002E5288" w:rsidRPr="00C44A6D" w:rsidRDefault="002E5288" w:rsidP="002E5288">
      <w:pPr>
        <w:pStyle w:val="Heading1"/>
      </w:pPr>
      <w:bookmarkStart w:id="1" w:name="_Toc112250973"/>
      <w:r w:rsidRPr="00C44A6D">
        <w:lastRenderedPageBreak/>
        <w:t>TASK</w:t>
      </w:r>
      <w:bookmarkEnd w:id="1"/>
      <w:r w:rsidRPr="00C44A6D">
        <w:t xml:space="preserve"> </w:t>
      </w:r>
    </w:p>
    <w:p w14:paraId="72F069E6" w14:textId="77777777" w:rsidR="002E5288" w:rsidRPr="00C44A6D" w:rsidRDefault="002E5288" w:rsidP="002E5288">
      <w:bookmarkStart w:id="2" w:name="_Toc112250974"/>
      <w:r w:rsidRPr="00C44A6D">
        <w:rPr>
          <w:rStyle w:val="Heading2Char"/>
        </w:rPr>
        <w:t>FLEXIBLE WORKING</w:t>
      </w:r>
      <w:bookmarkEnd w:id="2"/>
      <w:r w:rsidRPr="00C44A6D">
        <w:t xml:space="preserve"> </w:t>
      </w:r>
    </w:p>
    <w:p w14:paraId="0C1B9AD0" w14:textId="77777777" w:rsidR="002E5288" w:rsidRPr="00C44A6D" w:rsidRDefault="002E5288" w:rsidP="002E5288">
      <w:r w:rsidRPr="00C44A6D">
        <w:t xml:space="preserve">Flexible working is referred to as the situation when the employees are satisfied with the way of working at the workplace. Remote working is considered the most flexible work arrangement by </w:t>
      </w:r>
      <w:proofErr w:type="gramStart"/>
      <w:r w:rsidRPr="00C44A6D">
        <w:t>the majority of</w:t>
      </w:r>
      <w:proofErr w:type="gramEnd"/>
      <w:r w:rsidRPr="00C44A6D">
        <w:t xml:space="preserve"> employees as many of them have practised this remote work at the time of the pandemic. Apart from remote working, other types of flexible working include flexitime, shift work, hybrid work, and part-time work (Austin-</w:t>
      </w:r>
      <w:proofErr w:type="spellStart"/>
      <w:r w:rsidRPr="00C44A6D">
        <w:t>Egole</w:t>
      </w:r>
      <w:proofErr w:type="spellEnd"/>
      <w:r w:rsidRPr="00C44A6D">
        <w:t xml:space="preserve"> et al., 2020). All the types of flexible working are explained below: </w:t>
      </w:r>
    </w:p>
    <w:p w14:paraId="1A0ED397" w14:textId="77777777" w:rsidR="002E5288" w:rsidRPr="00C44A6D" w:rsidRDefault="002E5288" w:rsidP="002E5288">
      <w:r w:rsidRPr="00C44A6D">
        <w:t xml:space="preserve">Remote working- Remote working is the arrangement in which employees work remotely for all weeks. They are supposed to visit the workplace in rare cases. The location of the employee is saved by HR and the employee </w:t>
      </w:r>
      <w:proofErr w:type="gramStart"/>
      <w:r w:rsidRPr="00C44A6D">
        <w:t>has to</w:t>
      </w:r>
      <w:proofErr w:type="gramEnd"/>
      <w:r w:rsidRPr="00C44A6D">
        <w:t xml:space="preserve"> check in and check out from the same location. This arrangement was highly practised during a pandemic when people were maintaining social distancing. </w:t>
      </w:r>
    </w:p>
    <w:p w14:paraId="45D7F9E8" w14:textId="77777777" w:rsidR="002E5288" w:rsidRPr="00C44A6D" w:rsidRDefault="002E5288" w:rsidP="002E5288">
      <w:r w:rsidRPr="00C44A6D">
        <w:t xml:space="preserve">Shift work- The shift work arrangement is practised by organizations that require employees to work 24 hours a day. In this arrangement, the company creates different groups of employees and different shift is provided to these employees so that the processes can be run for 24 hours (Chung and Van der Lippe, 2020). </w:t>
      </w:r>
    </w:p>
    <w:p w14:paraId="099B2003" w14:textId="77777777" w:rsidR="002E5288" w:rsidRPr="00C44A6D" w:rsidRDefault="002E5288" w:rsidP="002E5288">
      <w:r w:rsidRPr="00C44A6D">
        <w:t xml:space="preserve">Flex time- Flex time is the flexible time arrangement in which employees are allowed to select their working hours. However, once the shift of 8 hours is selected then the employee cannot frequently change it. This option is provided to the employees so that they can select the working hours according to their suitability. </w:t>
      </w:r>
    </w:p>
    <w:p w14:paraId="1F27C7B1" w14:textId="77777777" w:rsidR="002E5288" w:rsidRPr="00C44A6D" w:rsidRDefault="002E5288" w:rsidP="002E5288">
      <w:r w:rsidRPr="00C44A6D">
        <w:t>Hybrid work- In the hybrid mode of flexible working the employee is supposed to work at the workplace for a half week and in the remaining days, they can work remotely. The remote working days are allotted to the employees by considering different objectives, circumstances, and personal preferences. It is the most trending flexible working arrangement that is preferred by organizations (</w:t>
      </w:r>
      <w:proofErr w:type="spellStart"/>
      <w:r w:rsidRPr="00C44A6D">
        <w:t>Karamanis</w:t>
      </w:r>
      <w:proofErr w:type="spellEnd"/>
      <w:r w:rsidRPr="00C44A6D">
        <w:t xml:space="preserve"> and </w:t>
      </w:r>
      <w:proofErr w:type="spellStart"/>
      <w:r w:rsidRPr="00C44A6D">
        <w:t>Gogos</w:t>
      </w:r>
      <w:proofErr w:type="spellEnd"/>
      <w:r w:rsidRPr="00C44A6D">
        <w:t xml:space="preserve">, 2020). </w:t>
      </w:r>
    </w:p>
    <w:p w14:paraId="54249868" w14:textId="77777777" w:rsidR="002E5288" w:rsidRPr="00C44A6D" w:rsidRDefault="002E5288" w:rsidP="002E5288">
      <w:r w:rsidRPr="00C44A6D">
        <w:t xml:space="preserve">Part-time work- Part-time work employment provides fewer working hours with less pay to the individuals. This arrangement is mostly selected by individuals who are studying or busy preparing for other courses. This arrangement is mostly preferred by individuals who require money to pay for their current courses. A part-time employee can also get involved in </w:t>
      </w:r>
      <w:r w:rsidRPr="00C44A6D">
        <w:lastRenderedPageBreak/>
        <w:t xml:space="preserve">extracurricular activities that will be useful in their future career (Chung and Van der Lippe, 2020). </w:t>
      </w:r>
    </w:p>
    <w:p w14:paraId="1AF7B616" w14:textId="77777777" w:rsidR="002E5288" w:rsidRPr="00C44A6D" w:rsidRDefault="002E5288" w:rsidP="002E5288">
      <w:pPr>
        <w:rPr>
          <w:b/>
        </w:rPr>
      </w:pPr>
      <w:r w:rsidRPr="00C44A6D">
        <w:rPr>
          <w:b/>
        </w:rPr>
        <w:t xml:space="preserve">Advantages and disadvantages of flexible working </w:t>
      </w:r>
    </w:p>
    <w:tbl>
      <w:tblPr>
        <w:tblStyle w:val="TableGrid"/>
        <w:tblW w:w="0" w:type="auto"/>
        <w:tblLook w:val="04A0" w:firstRow="1" w:lastRow="0" w:firstColumn="1" w:lastColumn="0" w:noHBand="0" w:noVBand="1"/>
      </w:tblPr>
      <w:tblGrid>
        <w:gridCol w:w="4492"/>
        <w:gridCol w:w="4524"/>
      </w:tblGrid>
      <w:tr w:rsidR="002E5288" w:rsidRPr="00C44A6D" w14:paraId="708D30D6" w14:textId="77777777" w:rsidTr="003E10A5">
        <w:tc>
          <w:tcPr>
            <w:tcW w:w="4788" w:type="dxa"/>
          </w:tcPr>
          <w:p w14:paraId="2C11177A" w14:textId="77777777" w:rsidR="002E5288" w:rsidRPr="00C44A6D" w:rsidRDefault="002E5288" w:rsidP="003E10A5">
            <w:pPr>
              <w:rPr>
                <w:b/>
              </w:rPr>
            </w:pPr>
            <w:r w:rsidRPr="00C44A6D">
              <w:rPr>
                <w:b/>
              </w:rPr>
              <w:t xml:space="preserve">Advantages </w:t>
            </w:r>
          </w:p>
        </w:tc>
        <w:tc>
          <w:tcPr>
            <w:tcW w:w="4788" w:type="dxa"/>
          </w:tcPr>
          <w:p w14:paraId="26BE609D" w14:textId="77777777" w:rsidR="002E5288" w:rsidRPr="00C44A6D" w:rsidRDefault="002E5288" w:rsidP="003E10A5">
            <w:pPr>
              <w:rPr>
                <w:b/>
              </w:rPr>
            </w:pPr>
            <w:r w:rsidRPr="00C44A6D">
              <w:rPr>
                <w:b/>
              </w:rPr>
              <w:t xml:space="preserve">Disadvantages </w:t>
            </w:r>
          </w:p>
        </w:tc>
      </w:tr>
      <w:tr w:rsidR="002E5288" w:rsidRPr="00C44A6D" w14:paraId="5493D477" w14:textId="77777777" w:rsidTr="003E10A5">
        <w:tc>
          <w:tcPr>
            <w:tcW w:w="4788" w:type="dxa"/>
          </w:tcPr>
          <w:p w14:paraId="73977EB8" w14:textId="77777777" w:rsidR="002E5288" w:rsidRPr="00C44A6D" w:rsidRDefault="002E5288" w:rsidP="002E5288">
            <w:pPr>
              <w:pStyle w:val="ListParagraph"/>
              <w:numPr>
                <w:ilvl w:val="0"/>
                <w:numId w:val="4"/>
              </w:numPr>
            </w:pPr>
            <w:r w:rsidRPr="00C44A6D">
              <w:t xml:space="preserve">A flexible working arrangement boosts the productivity of the employee. </w:t>
            </w:r>
          </w:p>
          <w:p w14:paraId="15E55826" w14:textId="77777777" w:rsidR="002E5288" w:rsidRPr="00C44A6D" w:rsidRDefault="002E5288" w:rsidP="002E5288">
            <w:pPr>
              <w:pStyle w:val="ListParagraph"/>
              <w:numPr>
                <w:ilvl w:val="0"/>
                <w:numId w:val="4"/>
              </w:numPr>
            </w:pPr>
            <w:r w:rsidRPr="00C44A6D">
              <w:t>Stress is reduced because employees are working according to their suitability.</w:t>
            </w:r>
          </w:p>
          <w:p w14:paraId="1A7374A9" w14:textId="77777777" w:rsidR="002E5288" w:rsidRPr="00C44A6D" w:rsidRDefault="002E5288" w:rsidP="002E5288">
            <w:pPr>
              <w:pStyle w:val="ListParagraph"/>
              <w:numPr>
                <w:ilvl w:val="0"/>
                <w:numId w:val="4"/>
              </w:numPr>
            </w:pPr>
            <w:r w:rsidRPr="00C44A6D">
              <w:t xml:space="preserve">Flexible working reduces the journey time of the employee that can be invested in other important activities. </w:t>
            </w:r>
          </w:p>
          <w:p w14:paraId="5A4F3C7A" w14:textId="77777777" w:rsidR="002E5288" w:rsidRPr="00C44A6D" w:rsidRDefault="002E5288" w:rsidP="002E5288">
            <w:pPr>
              <w:pStyle w:val="ListParagraph"/>
              <w:numPr>
                <w:ilvl w:val="0"/>
                <w:numId w:val="4"/>
              </w:numPr>
            </w:pPr>
            <w:r w:rsidRPr="00C44A6D">
              <w:t xml:space="preserve">When the company provides flexible working hours then the recruitment process is also enhanced as most people are expecting flexible working after the Covid-19 pandemic. </w:t>
            </w:r>
          </w:p>
        </w:tc>
        <w:tc>
          <w:tcPr>
            <w:tcW w:w="4788" w:type="dxa"/>
          </w:tcPr>
          <w:p w14:paraId="2CD0004B" w14:textId="77777777" w:rsidR="002E5288" w:rsidRPr="00C44A6D" w:rsidRDefault="002E5288" w:rsidP="002E5288">
            <w:pPr>
              <w:pStyle w:val="ListParagraph"/>
              <w:numPr>
                <w:ilvl w:val="0"/>
                <w:numId w:val="4"/>
              </w:numPr>
            </w:pPr>
            <w:r w:rsidRPr="00C44A6D">
              <w:t xml:space="preserve">The chances of employee isolation are high because they will have to work alone at home. </w:t>
            </w:r>
          </w:p>
          <w:p w14:paraId="42A80D45" w14:textId="77777777" w:rsidR="002E5288" w:rsidRPr="00C44A6D" w:rsidRDefault="002E5288" w:rsidP="002E5288">
            <w:pPr>
              <w:pStyle w:val="ListParagraph"/>
              <w:numPr>
                <w:ilvl w:val="0"/>
                <w:numId w:val="4"/>
              </w:numPr>
            </w:pPr>
            <w:r w:rsidRPr="00C44A6D">
              <w:t xml:space="preserve">The salary of the employee will be affected if the work is not delivered on time during remote working. </w:t>
            </w:r>
          </w:p>
          <w:p w14:paraId="4411E99B" w14:textId="77777777" w:rsidR="002E5288" w:rsidRPr="00C44A6D" w:rsidRDefault="002E5288" w:rsidP="002E5288">
            <w:pPr>
              <w:pStyle w:val="ListParagraph"/>
              <w:numPr>
                <w:ilvl w:val="0"/>
                <w:numId w:val="4"/>
              </w:numPr>
            </w:pPr>
            <w:r w:rsidRPr="00C44A6D">
              <w:t xml:space="preserve">Part-time work arrangement of flexible working might result in a lack of career progression. </w:t>
            </w:r>
          </w:p>
          <w:p w14:paraId="7E3BBB78" w14:textId="77777777" w:rsidR="002E5288" w:rsidRPr="00C44A6D" w:rsidRDefault="002E5288" w:rsidP="002E5288">
            <w:pPr>
              <w:pStyle w:val="ListParagraph"/>
              <w:numPr>
                <w:ilvl w:val="0"/>
                <w:numId w:val="4"/>
              </w:numPr>
            </w:pPr>
            <w:r w:rsidRPr="00C44A6D">
              <w:t xml:space="preserve">Flexible working might create a communication gap among the employees that can increase the number of conflicts. </w:t>
            </w:r>
          </w:p>
        </w:tc>
      </w:tr>
    </w:tbl>
    <w:p w14:paraId="464ACC65" w14:textId="77777777" w:rsidR="002E5288" w:rsidRPr="00C44A6D" w:rsidRDefault="002E5288" w:rsidP="002E5288">
      <w:r w:rsidRPr="00C44A6D">
        <w:t xml:space="preserve">(Source: </w:t>
      </w:r>
      <w:r w:rsidRPr="00C44A6D">
        <w:rPr>
          <w:rFonts w:cs="Arial"/>
          <w:color w:val="222222"/>
          <w:shd w:val="clear" w:color="auto" w:fill="FFFFFF"/>
        </w:rPr>
        <w:t>Ipsen et al., 2021</w:t>
      </w:r>
      <w:r w:rsidRPr="00C44A6D">
        <w:t>)</w:t>
      </w:r>
    </w:p>
    <w:p w14:paraId="3E901F80" w14:textId="77777777" w:rsidR="002E5288" w:rsidRPr="00C44A6D" w:rsidRDefault="002E5288" w:rsidP="002E5288">
      <w:bookmarkStart w:id="3" w:name="_Toc112250975"/>
      <w:r w:rsidRPr="00C44A6D">
        <w:rPr>
          <w:rStyle w:val="Heading2Char"/>
        </w:rPr>
        <w:t>CASE IN FAVOUR OF FLEXIBLE WORKING RELEVANT TO DIVERSITY AND INCLUSION AT WORK</w:t>
      </w:r>
      <w:bookmarkEnd w:id="3"/>
      <w:r w:rsidRPr="00C44A6D">
        <w:t xml:space="preserve"> </w:t>
      </w:r>
    </w:p>
    <w:p w14:paraId="3A153F0D" w14:textId="77777777" w:rsidR="002E5288" w:rsidRPr="00C44A6D" w:rsidRDefault="002E5288" w:rsidP="002E5288">
      <w:r w:rsidRPr="00C44A6D">
        <w:t xml:space="preserve">The practice in which the company makes all the employees feel equally involved in the processes and decision-making regardless of their religion, nationality, race, and background is known as diversity and inclusion in the workplace. The company works on supporting the employees in all areas of the workplace (Forbes et al., 2020). Flexible working also plays a crucial role in the promotion of diversity and inclusion in the workplace. Workplace flexibility allows the employee to decide their working time accordingly so that they can spend quality time with people that matter to them. In this way, flexible working arrangement encourages diversity and inclusion in the workplace (Arora, 2022). </w:t>
      </w:r>
    </w:p>
    <w:p w14:paraId="5C20AF7C" w14:textId="77777777" w:rsidR="002E5288" w:rsidRPr="00C44A6D" w:rsidRDefault="002E5288" w:rsidP="002E5288">
      <w:r w:rsidRPr="00C44A6D">
        <w:lastRenderedPageBreak/>
        <w:t xml:space="preserve">JD sports provide flexible working options to the employees so that they can select the most suitable shift for themselves. JD Sports believe that diverse teams are smarter and perform better as creativity increases. Also, after implementing flexible working arrangements, managers of JD sports observed that number of applicants is drastically increasing. Most of the applicants experienced flexible working at the time of the pandemic when the companies were not allowed to work from the office. After this, practice the demand for remote work has increased and companies are also supporting this because it is positively impacting the performance of employees (Forbes et al., 2020). The </w:t>
      </w:r>
      <w:proofErr w:type="gramStart"/>
      <w:r w:rsidRPr="00C44A6D">
        <w:t>main focus</w:t>
      </w:r>
      <w:proofErr w:type="gramEnd"/>
      <w:r w:rsidRPr="00C44A6D">
        <w:t xml:space="preserve"> of JS Sports is on providing an offer of flexible work to the existing and new employees. There are various policies that are generated by JD Sports </w:t>
      </w:r>
      <w:proofErr w:type="gramStart"/>
      <w:r w:rsidRPr="00C44A6D">
        <w:t>in order to</w:t>
      </w:r>
      <w:proofErr w:type="gramEnd"/>
      <w:r w:rsidRPr="00C44A6D">
        <w:t xml:space="preserve"> implement flexibility in the workplace. One of the flexible working policies generated by JD Sports is additional incentives for working for extra hours. The managers have monitored the productivity of employees before and after the flexible arrangement and it has been recognized that flexible work arrangement has increased the productivity of employees. Workplace flexibility will provide equal opportunities for all the employees and access to the same information (Arora, 2022). JD Sports promote diversity because it is linked with inclusion. Diversity can be created by providing flexible work arrangements to the employees of different categories including older workers, single parents, women, and people with physical disabilities. A flexible working arrangement allows people of different categories to work under the same roof (</w:t>
      </w:r>
      <w:r w:rsidRPr="00C44A6D">
        <w:rPr>
          <w:rFonts w:cs="Arial"/>
          <w:color w:val="222222"/>
          <w:shd w:val="clear" w:color="auto" w:fill="FFFFFF"/>
        </w:rPr>
        <w:t>Ipsen et al., 2021</w:t>
      </w:r>
      <w:r w:rsidRPr="00C44A6D">
        <w:t xml:space="preserve">). </w:t>
      </w:r>
    </w:p>
    <w:p w14:paraId="6CF9191C" w14:textId="77777777" w:rsidR="002E5288" w:rsidRPr="00C44A6D" w:rsidRDefault="002E5288" w:rsidP="002E5288">
      <w:pPr>
        <w:rPr>
          <w:b/>
        </w:rPr>
      </w:pPr>
      <w:r w:rsidRPr="00C44A6D">
        <w:rPr>
          <w:b/>
        </w:rPr>
        <w:t xml:space="preserve">Role of HR in promoting diversity in JD Sports </w:t>
      </w:r>
    </w:p>
    <w:p w14:paraId="2B454B0C" w14:textId="77777777" w:rsidR="002E5288" w:rsidRPr="00C44A6D" w:rsidRDefault="002E5288" w:rsidP="002E5288">
      <w:r w:rsidRPr="00C44A6D">
        <w:t>The key role of HR in JD Sports is leadership and management that develop and empower a diverse culture. The strategy that is used by the HR managers of JD Sports to promote diversity is creating communication channels. Managers believe that if they will stay connected to the employees and listen to them then an inclusive and diverse workplace can be created. The different ways that are used by managers of JD Sports to connect to their employees are focus groups, one-on-one meetings, and employee surveys. It is fact that recognizing the needs of the organization is helpful in promoting inclusion in the workplace. Diversity, Equity, Inclusion (DEI) is the most significant strategy which is used by most organizations with the purpose of increasing their productivity (Ng and Sears, 2020). The different ways used by HR managers to promote diversity are explained below:</w:t>
      </w:r>
    </w:p>
    <w:p w14:paraId="1C5CD936" w14:textId="77777777" w:rsidR="002E5288" w:rsidRPr="00C44A6D" w:rsidRDefault="002E5288" w:rsidP="002E5288">
      <w:r w:rsidRPr="00C44A6D">
        <w:t xml:space="preserve">Rewards and recognition- HR managers of JD Sports work on providing rewards and recognition to the employees who perform best irrespective of their age, class, gender, religion, </w:t>
      </w:r>
      <w:r w:rsidRPr="00C44A6D">
        <w:lastRenderedPageBreak/>
        <w:t>and background. This strategy helps the company to motivate the employees that are performing better. Also, it helps in creating a competitive atmosphere at the workplace due to which other employees get motivated to perform better (</w:t>
      </w:r>
      <w:proofErr w:type="spellStart"/>
      <w:r w:rsidRPr="00C44A6D">
        <w:t>Buengeler</w:t>
      </w:r>
      <w:proofErr w:type="spellEnd"/>
      <w:r w:rsidRPr="00C44A6D">
        <w:t xml:space="preserve"> et al., 2018). </w:t>
      </w:r>
    </w:p>
    <w:p w14:paraId="3105BBE4" w14:textId="77777777" w:rsidR="002E5288" w:rsidRPr="00C44A6D" w:rsidRDefault="002E5288" w:rsidP="002E5288">
      <w:r w:rsidRPr="00C44A6D">
        <w:t>Employee involvement- The strategy of employee involvement is also used by the HR managers of JD Sports to make the employees feel valued and respected. The HR managers of JD Sports involve the employee of the company in the decision-making process that promotes diversity and allow the company collects effective resolutions to the challenges (Ng and Sears, 2020).</w:t>
      </w:r>
    </w:p>
    <w:p w14:paraId="4405FA69" w14:textId="77777777" w:rsidR="002E5288" w:rsidRPr="00C44A6D" w:rsidRDefault="002E5288" w:rsidP="002E5288">
      <w:r w:rsidRPr="00C44A6D">
        <w:t>Flexible working hours- JD Sports uses the strategy of providing flexible working hours to the employees so that they can maintain better work-life balance. The employees of JD Sports are allowed to choose the shift according to their suitability. This increases the overall productivity of the employee and improves diversity. Another benefit of providing a flexible work arrangement is that it is cost-efficient because the journey time of the individual is reduced in the remote working mode of a flexible working arrangement (</w:t>
      </w:r>
      <w:proofErr w:type="spellStart"/>
      <w:r w:rsidRPr="00C44A6D">
        <w:t>Buengeler</w:t>
      </w:r>
      <w:proofErr w:type="spellEnd"/>
      <w:r w:rsidRPr="00C44A6D">
        <w:t xml:space="preserve"> et al., 2018). </w:t>
      </w:r>
    </w:p>
    <w:p w14:paraId="34646D28" w14:textId="77777777" w:rsidR="002E5288" w:rsidRPr="00C44A6D" w:rsidRDefault="002E5288" w:rsidP="002E5288">
      <w:bookmarkStart w:id="4" w:name="_Toc112250976"/>
      <w:r w:rsidRPr="00C44A6D">
        <w:rPr>
          <w:rStyle w:val="Heading2Char"/>
        </w:rPr>
        <w:t>CASE AGAINST FLEXIBLE WORKING RELEVANT TO INEQUALITY IN WORKPLACE</w:t>
      </w:r>
      <w:bookmarkEnd w:id="4"/>
      <w:r w:rsidRPr="00C44A6D">
        <w:t xml:space="preserve"> </w:t>
      </w:r>
    </w:p>
    <w:p w14:paraId="0BBC574C" w14:textId="77777777" w:rsidR="002E5288" w:rsidRPr="00C44A6D" w:rsidRDefault="002E5288" w:rsidP="002E5288">
      <w:r w:rsidRPr="00C44A6D">
        <w:t xml:space="preserve">The unequal treatment of people based on sexuality, gender, race, religion, or appearance is known as occupational inequality. In many organizations, promotion is not provided to women because they are considered less productive than men. Apart from this, equal wages are not provided to the employees who are physically challenged even if the workload is </w:t>
      </w:r>
      <w:proofErr w:type="gramStart"/>
      <w:r w:rsidRPr="00C44A6D">
        <w:t>similar to</w:t>
      </w:r>
      <w:proofErr w:type="gramEnd"/>
      <w:r w:rsidRPr="00C44A6D">
        <w:t xml:space="preserve"> the other employees. Some researchers argue that flexible working arrangements of the companies are resulting in inequality in the workplace. Inequality also includes providing training to only one gender for a specific job role. For example, a women civil engineer will not be provided with the position of project manager in the field because people assume that women cannot easily handle tasks related to fieldwork (Riva and Russo, 2020).</w:t>
      </w:r>
    </w:p>
    <w:p w14:paraId="536DC830" w14:textId="77777777" w:rsidR="002E5288" w:rsidRPr="00C44A6D" w:rsidRDefault="002E5288" w:rsidP="002E5288">
      <w:r w:rsidRPr="00C44A6D">
        <w:t xml:space="preserve">Although, flexible working is considered a productive way of working but various issues are faced by employees regarding inequality. It has been observed that flexible working might lead to harder and longer working for many people. For example, if the company is providing permanent remote working on the demand of employees but some employees do not have that atmosphere at their home due to which they are stretching their shift. In this case, the company will not decrease the workload of those employees. Also, many employees suffer due to power cuts in their areas because of bad climatic conditions (Ewald et al., 2020). This directly impacts the performance of the employees. Therefore, if the company is allowing remote work, then it </w:t>
      </w:r>
      <w:r w:rsidRPr="00C44A6D">
        <w:lastRenderedPageBreak/>
        <w:t xml:space="preserve">should ensure that the employees have the required facilities at their location such as Wi-Fi and a generator. Apart from this, the company demand high productivity from both men and women. This cannot be considered flexible because women </w:t>
      </w:r>
      <w:proofErr w:type="gramStart"/>
      <w:r w:rsidRPr="00C44A6D">
        <w:t>have to</w:t>
      </w:r>
      <w:proofErr w:type="gramEnd"/>
      <w:r w:rsidRPr="00C44A6D">
        <w:t xml:space="preserve"> invest time in childcare, domestic work, and office work as well. So, women cannot get the same atmosphere at home </w:t>
      </w:r>
      <w:proofErr w:type="gramStart"/>
      <w:r w:rsidRPr="00C44A6D">
        <w:t>similar to</w:t>
      </w:r>
      <w:proofErr w:type="gramEnd"/>
      <w:r w:rsidRPr="00C44A6D">
        <w:t xml:space="preserve"> the atmosphere in the office. So, it becomes difficult for women to work remotely. </w:t>
      </w:r>
      <w:proofErr w:type="gramStart"/>
      <w:r w:rsidRPr="00C44A6D">
        <w:t>In order to</w:t>
      </w:r>
      <w:proofErr w:type="gramEnd"/>
      <w:r w:rsidRPr="00C44A6D">
        <w:t xml:space="preserve"> control this issue, the company should release a policy in which remote work will be optional so employees can select the working arrangement as per their satisfaction (Riva and Russo, 2020).</w:t>
      </w:r>
    </w:p>
    <w:p w14:paraId="35A5C184" w14:textId="77777777" w:rsidR="002E5288" w:rsidRPr="00C44A6D" w:rsidRDefault="002E5288" w:rsidP="002E5288">
      <w:pPr>
        <w:rPr>
          <w:b/>
        </w:rPr>
      </w:pPr>
      <w:r w:rsidRPr="00C44A6D">
        <w:rPr>
          <w:b/>
        </w:rPr>
        <w:t xml:space="preserve">Role of HR in identifying the concerns of inequality that might arise from flexible working </w:t>
      </w:r>
    </w:p>
    <w:p w14:paraId="32FDA3E5" w14:textId="77777777" w:rsidR="002E5288" w:rsidRPr="00C44A6D" w:rsidRDefault="002E5288" w:rsidP="002E5288">
      <w:r w:rsidRPr="00C44A6D">
        <w:t>The human resource manager plays a crucial role in identifying the concerns that are faced by employees. This case covers a discussion on the role of HR in identifying concerns of inequality that might arise due to flexible working. There are different ways that can be used by HR to identify the concerns of inequality (</w:t>
      </w:r>
      <w:proofErr w:type="spellStart"/>
      <w:r w:rsidRPr="00C44A6D">
        <w:t>Kniffin</w:t>
      </w:r>
      <w:proofErr w:type="spellEnd"/>
      <w:r w:rsidRPr="00C44A6D">
        <w:t xml:space="preserve"> et al., 2021). These are discussed below:</w:t>
      </w:r>
    </w:p>
    <w:p w14:paraId="478551D9" w14:textId="77777777" w:rsidR="002E5288" w:rsidRPr="00C44A6D" w:rsidRDefault="002E5288" w:rsidP="002E5288">
      <w:r w:rsidRPr="00C44A6D">
        <w:t>Feedback- Human resource manager of the company can collect feedback from the employees that will be helpful in identifying the problems that are faced by the employees. This strategy will help the HR manager in highlighting the issues and finding suitable resolutions for the problems faced by the employees. The most common issue faced by working women is that they have multiple responsibilities that are important to be fulfilled (</w:t>
      </w:r>
      <w:proofErr w:type="spellStart"/>
      <w:r w:rsidRPr="00C44A6D">
        <w:t>Kniffin</w:t>
      </w:r>
      <w:proofErr w:type="spellEnd"/>
      <w:r w:rsidRPr="00C44A6D">
        <w:t xml:space="preserve"> et al., 2021).</w:t>
      </w:r>
    </w:p>
    <w:p w14:paraId="60A1BA83" w14:textId="77777777" w:rsidR="002E5288" w:rsidRPr="00C44A6D" w:rsidRDefault="002E5288" w:rsidP="002E5288">
      <w:r w:rsidRPr="00C44A6D">
        <w:t xml:space="preserve">Interpersonal conversation- HR can also create interpersonal relationships with the employees that will </w:t>
      </w:r>
      <w:proofErr w:type="gramStart"/>
      <w:r w:rsidRPr="00C44A6D">
        <w:t>be helpful in understanding</w:t>
      </w:r>
      <w:proofErr w:type="gramEnd"/>
      <w:r w:rsidRPr="00C44A6D">
        <w:t xml:space="preserve"> their concerns. These conversations will also help the manager in identifying the true reason behind the current performance of the employee. In addition to this, HR managers should conduct group discussions frequently in which employees can discuss the factors that are impacting their performance (</w:t>
      </w:r>
      <w:r w:rsidRPr="00EB0626">
        <w:t>Hassan</w:t>
      </w:r>
      <w:r w:rsidRPr="00C44A6D">
        <w:t>, 20</w:t>
      </w:r>
      <w:r>
        <w:t>16</w:t>
      </w:r>
      <w:r w:rsidRPr="00C44A6D">
        <w:t>).</w:t>
      </w:r>
    </w:p>
    <w:p w14:paraId="377D14C6" w14:textId="77777777" w:rsidR="002E5288" w:rsidRPr="00C44A6D" w:rsidRDefault="002E5288" w:rsidP="002E5288">
      <w:r w:rsidRPr="00C44A6D">
        <w:t>Quality check- The HR managers should monitor the performance of the employees based on the type of task provided to them and the quality of work submitted by them. For example, women who cannot perform the difficult task at home due to additional responsibilities can be provided with comparatively easier work. Apart from this, a scheme can be launched according to which the women with a child can take a required break and continue the work once the child is matured (</w:t>
      </w:r>
      <w:proofErr w:type="spellStart"/>
      <w:r w:rsidRPr="00C44A6D">
        <w:t>Kniffin</w:t>
      </w:r>
      <w:proofErr w:type="spellEnd"/>
      <w:r w:rsidRPr="00C44A6D">
        <w:t xml:space="preserve"> et al., 2021).</w:t>
      </w:r>
    </w:p>
    <w:p w14:paraId="5492B9F5" w14:textId="77777777" w:rsidR="002E5288" w:rsidRPr="00C44A6D" w:rsidRDefault="002E5288" w:rsidP="002E5288">
      <w:r w:rsidRPr="00C44A6D">
        <w:lastRenderedPageBreak/>
        <w:t xml:space="preserve">Laws and policies- HR managers can make an approach to generate a policy for the employees who are disabled or older. In many companies, fewer bonuses are provided to employees that are female, disabled, or older. The HR manager can </w:t>
      </w:r>
      <w:proofErr w:type="gramStart"/>
      <w:r w:rsidRPr="00C44A6D">
        <w:t>take action</w:t>
      </w:r>
      <w:proofErr w:type="gramEnd"/>
      <w:r w:rsidRPr="00C44A6D">
        <w:t xml:space="preserve"> for providing an equal bonus to every employee according to the Payment of Bonus Act (</w:t>
      </w:r>
      <w:r w:rsidRPr="00EB0626">
        <w:t>Hassan</w:t>
      </w:r>
      <w:r w:rsidRPr="00C44A6D">
        <w:t>, 20</w:t>
      </w:r>
      <w:r>
        <w:t>16</w:t>
      </w:r>
      <w:r w:rsidRPr="00C44A6D">
        <w:t xml:space="preserve">). </w:t>
      </w:r>
    </w:p>
    <w:p w14:paraId="1BF4D787" w14:textId="77777777" w:rsidR="002E5288" w:rsidRPr="00C44A6D" w:rsidRDefault="002E5288" w:rsidP="002E5288"/>
    <w:p w14:paraId="1AFD229F" w14:textId="77777777" w:rsidR="002E5288" w:rsidRPr="00C44A6D" w:rsidRDefault="002E5288" w:rsidP="002E5288">
      <w:pPr>
        <w:spacing w:after="200" w:line="276" w:lineRule="auto"/>
        <w:jc w:val="left"/>
      </w:pPr>
      <w:r w:rsidRPr="00C44A6D">
        <w:br w:type="page"/>
      </w:r>
    </w:p>
    <w:p w14:paraId="7C25F9A9" w14:textId="77777777" w:rsidR="002E5288" w:rsidRPr="00C44A6D" w:rsidRDefault="002E5288" w:rsidP="002E5288">
      <w:bookmarkStart w:id="5" w:name="_Toc112250977"/>
      <w:r w:rsidRPr="00C44A6D">
        <w:rPr>
          <w:rStyle w:val="Heading1Char"/>
        </w:rPr>
        <w:lastRenderedPageBreak/>
        <w:t>CONCLUSION</w:t>
      </w:r>
      <w:bookmarkEnd w:id="5"/>
      <w:r w:rsidRPr="00C44A6D">
        <w:t xml:space="preserve"> </w:t>
      </w:r>
    </w:p>
    <w:p w14:paraId="57E7C8AC" w14:textId="77777777" w:rsidR="002E5288" w:rsidRPr="00C44A6D" w:rsidRDefault="002E5288" w:rsidP="002E5288">
      <w:r w:rsidRPr="00C44A6D">
        <w:t xml:space="preserve">The report covers information about the different types of flexible working arrangements that are practised by the organization. This report is performed by focusing on the British retail company named JD Sports. Initially, the details of the company are </w:t>
      </w:r>
      <w:proofErr w:type="gramStart"/>
      <w:r w:rsidRPr="00C44A6D">
        <w:t>provided</w:t>
      </w:r>
      <w:proofErr w:type="gramEnd"/>
      <w:r w:rsidRPr="00C44A6D">
        <w:t xml:space="preserve"> and the meaning of flexible working is explained. In addition to this, the different forms of flexible working are explained that including flexitime, remote work, shift work, hybrid work, and part-time work. The advantages and disadvantages of flexible working arrangements are also identified. The report also covers discussion on two different cases of flexible working which the first case is in the favour of flexible working which is relevant to diversity in the workplace and the other case is against flexible working which is related to inequality in the workplace. In both cases, the role of HR is identified in positively turning the atmosphere of the workplace. </w:t>
      </w:r>
    </w:p>
    <w:p w14:paraId="720A471F" w14:textId="77777777" w:rsidR="002E5288" w:rsidRPr="00C44A6D" w:rsidRDefault="002E5288" w:rsidP="002E5288">
      <w:pPr>
        <w:spacing w:after="200" w:line="276" w:lineRule="auto"/>
        <w:jc w:val="left"/>
      </w:pPr>
      <w:r w:rsidRPr="00C44A6D">
        <w:br w:type="page"/>
      </w:r>
    </w:p>
    <w:p w14:paraId="0F576BE6" w14:textId="77777777" w:rsidR="002E5288" w:rsidRPr="00C44A6D" w:rsidRDefault="002E5288" w:rsidP="002E5288">
      <w:pPr>
        <w:pStyle w:val="Heading1"/>
        <w:rPr>
          <w:rFonts w:ascii="Arial" w:hAnsi="Arial" w:cstheme="minorBidi"/>
          <w:color w:val="auto"/>
          <w:sz w:val="24"/>
          <w:szCs w:val="22"/>
        </w:rPr>
      </w:pPr>
      <w:bookmarkStart w:id="6" w:name="_Toc112250978"/>
      <w:r w:rsidRPr="00C44A6D">
        <w:lastRenderedPageBreak/>
        <w:t>REFERENCES</w:t>
      </w:r>
      <w:bookmarkEnd w:id="6"/>
    </w:p>
    <w:p w14:paraId="27D2FEF1" w14:textId="77777777" w:rsidR="002E5288" w:rsidRPr="00C44A6D" w:rsidRDefault="002E5288" w:rsidP="002E5288">
      <w:pPr>
        <w:rPr>
          <w:rFonts w:cs="Arial"/>
          <w:noProof/>
          <w:szCs w:val="24"/>
          <w:shd w:val="clear" w:color="auto" w:fill="FFFFFF"/>
        </w:rPr>
      </w:pPr>
      <w:r w:rsidRPr="00C44A6D">
        <w:rPr>
          <w:rFonts w:cs="Arial"/>
          <w:noProof/>
          <w:szCs w:val="24"/>
          <w:shd w:val="clear" w:color="auto" w:fill="FFFFFF"/>
        </w:rPr>
        <w:t>Arora, R. (2022). Relationship Between Flexible Work Arrangements, Well-Being, and Performance of Employees During the COVID-19 Pandemic. </w:t>
      </w:r>
      <w:r w:rsidRPr="00C44A6D">
        <w:rPr>
          <w:rFonts w:cs="Arial"/>
          <w:i/>
          <w:iCs/>
          <w:noProof/>
          <w:szCs w:val="24"/>
          <w:shd w:val="clear" w:color="auto" w:fill="FFFFFF"/>
        </w:rPr>
        <w:t>Prabandhan: Indian Journal of Management</w:t>
      </w:r>
      <w:r w:rsidRPr="00C44A6D">
        <w:rPr>
          <w:rFonts w:cs="Arial"/>
          <w:noProof/>
          <w:szCs w:val="24"/>
          <w:shd w:val="clear" w:color="auto" w:fill="FFFFFF"/>
        </w:rPr>
        <w:t>, </w:t>
      </w:r>
      <w:r w:rsidRPr="00C44A6D">
        <w:rPr>
          <w:rFonts w:cs="Arial"/>
          <w:i/>
          <w:iCs/>
          <w:noProof/>
          <w:szCs w:val="24"/>
          <w:shd w:val="clear" w:color="auto" w:fill="FFFFFF"/>
        </w:rPr>
        <w:t>15</w:t>
      </w:r>
      <w:r w:rsidRPr="00C44A6D">
        <w:rPr>
          <w:rFonts w:cs="Arial"/>
          <w:noProof/>
          <w:szCs w:val="24"/>
          <w:shd w:val="clear" w:color="auto" w:fill="FFFFFF"/>
        </w:rPr>
        <w:t>(2), pp.8-23.</w:t>
      </w:r>
    </w:p>
    <w:p w14:paraId="648B39B7" w14:textId="77777777" w:rsidR="002E5288" w:rsidRPr="00C44A6D" w:rsidRDefault="002E5288" w:rsidP="002E5288">
      <w:pPr>
        <w:rPr>
          <w:rFonts w:cs="Arial"/>
          <w:noProof/>
          <w:szCs w:val="24"/>
          <w:shd w:val="clear" w:color="auto" w:fill="FFFFFF"/>
        </w:rPr>
      </w:pPr>
      <w:r w:rsidRPr="00C44A6D">
        <w:rPr>
          <w:rFonts w:cs="Arial"/>
          <w:noProof/>
          <w:szCs w:val="24"/>
          <w:shd w:val="clear" w:color="auto" w:fill="FFFFFF"/>
        </w:rPr>
        <w:t>Austin-Egole, I.S., Iheriohanma, E.B.J. and Nwokorie, C. (2020). Flexible working arrangements and organizational performance: An overview. </w:t>
      </w:r>
      <w:r w:rsidRPr="00C44A6D">
        <w:rPr>
          <w:rFonts w:cs="Arial"/>
          <w:i/>
          <w:iCs/>
          <w:noProof/>
          <w:szCs w:val="24"/>
          <w:shd w:val="clear" w:color="auto" w:fill="FFFFFF"/>
        </w:rPr>
        <w:t>IOSR Journal of Humanities and Social Science (IOSR-JHSS)</w:t>
      </w:r>
      <w:r w:rsidRPr="00C44A6D">
        <w:rPr>
          <w:rFonts w:cs="Arial"/>
          <w:noProof/>
          <w:szCs w:val="24"/>
          <w:shd w:val="clear" w:color="auto" w:fill="FFFFFF"/>
        </w:rPr>
        <w:t>, </w:t>
      </w:r>
      <w:r w:rsidRPr="00C44A6D">
        <w:rPr>
          <w:rFonts w:cs="Arial"/>
          <w:i/>
          <w:iCs/>
          <w:noProof/>
          <w:szCs w:val="24"/>
          <w:shd w:val="clear" w:color="auto" w:fill="FFFFFF"/>
        </w:rPr>
        <w:t>25</w:t>
      </w:r>
      <w:r w:rsidRPr="00C44A6D">
        <w:rPr>
          <w:rFonts w:cs="Arial"/>
          <w:noProof/>
          <w:szCs w:val="24"/>
          <w:shd w:val="clear" w:color="auto" w:fill="FFFFFF"/>
        </w:rPr>
        <w:t>(5), pp.50-59.</w:t>
      </w:r>
    </w:p>
    <w:p w14:paraId="4C321D56" w14:textId="77777777" w:rsidR="002E5288" w:rsidRPr="00C44A6D" w:rsidRDefault="002E5288" w:rsidP="002E5288">
      <w:pPr>
        <w:rPr>
          <w:rFonts w:cs="Arial"/>
          <w:noProof/>
          <w:szCs w:val="24"/>
          <w:shd w:val="clear" w:color="auto" w:fill="FFFFFF"/>
        </w:rPr>
      </w:pPr>
      <w:r w:rsidRPr="00C44A6D">
        <w:rPr>
          <w:rFonts w:cs="Arial"/>
          <w:noProof/>
          <w:szCs w:val="24"/>
          <w:shd w:val="clear" w:color="auto" w:fill="FFFFFF"/>
        </w:rPr>
        <w:t>Buengeler, C., Leroy, H. and De Stobbeleir, K. (2018). How leaders shape the impact of HR's diversity practices on employee inclusion. </w:t>
      </w:r>
      <w:r w:rsidRPr="00C44A6D">
        <w:rPr>
          <w:rFonts w:cs="Arial"/>
          <w:i/>
          <w:iCs/>
          <w:noProof/>
          <w:szCs w:val="24"/>
          <w:shd w:val="clear" w:color="auto" w:fill="FFFFFF"/>
        </w:rPr>
        <w:t>Human Resource Management Review</w:t>
      </w:r>
      <w:r w:rsidRPr="00C44A6D">
        <w:rPr>
          <w:rFonts w:cs="Arial"/>
          <w:noProof/>
          <w:szCs w:val="24"/>
          <w:shd w:val="clear" w:color="auto" w:fill="FFFFFF"/>
        </w:rPr>
        <w:t>, </w:t>
      </w:r>
      <w:r w:rsidRPr="00C44A6D">
        <w:rPr>
          <w:rFonts w:cs="Arial"/>
          <w:i/>
          <w:iCs/>
          <w:noProof/>
          <w:szCs w:val="24"/>
          <w:shd w:val="clear" w:color="auto" w:fill="FFFFFF"/>
        </w:rPr>
        <w:t>28</w:t>
      </w:r>
      <w:r w:rsidRPr="00C44A6D">
        <w:rPr>
          <w:rFonts w:cs="Arial"/>
          <w:noProof/>
          <w:szCs w:val="24"/>
          <w:shd w:val="clear" w:color="auto" w:fill="FFFFFF"/>
        </w:rPr>
        <w:t>(3), pp.289-303.</w:t>
      </w:r>
    </w:p>
    <w:p w14:paraId="399C4FBF" w14:textId="77777777" w:rsidR="002E5288" w:rsidRPr="00C44A6D" w:rsidRDefault="002E5288" w:rsidP="002E5288">
      <w:pPr>
        <w:rPr>
          <w:rFonts w:cs="Arial"/>
          <w:noProof/>
          <w:szCs w:val="24"/>
          <w:shd w:val="clear" w:color="auto" w:fill="FFFFFF"/>
        </w:rPr>
      </w:pPr>
      <w:r w:rsidRPr="00C44A6D">
        <w:rPr>
          <w:rFonts w:cs="Arial"/>
          <w:noProof/>
          <w:szCs w:val="24"/>
          <w:shd w:val="clear" w:color="auto" w:fill="FFFFFF"/>
        </w:rPr>
        <w:t>Chung, H. and Van der Lippe, T. (2020). Flexible working, work–life balance, and gender equality: Introduction. </w:t>
      </w:r>
      <w:r w:rsidRPr="00C44A6D">
        <w:rPr>
          <w:rFonts w:cs="Arial"/>
          <w:i/>
          <w:iCs/>
          <w:noProof/>
          <w:szCs w:val="24"/>
          <w:shd w:val="clear" w:color="auto" w:fill="FFFFFF"/>
        </w:rPr>
        <w:t>Social Indicators Research</w:t>
      </w:r>
      <w:r w:rsidRPr="00C44A6D">
        <w:rPr>
          <w:rFonts w:cs="Arial"/>
          <w:noProof/>
          <w:szCs w:val="24"/>
          <w:shd w:val="clear" w:color="auto" w:fill="FFFFFF"/>
        </w:rPr>
        <w:t>, </w:t>
      </w:r>
      <w:r w:rsidRPr="00C44A6D">
        <w:rPr>
          <w:rFonts w:cs="Arial"/>
          <w:i/>
          <w:iCs/>
          <w:noProof/>
          <w:szCs w:val="24"/>
          <w:shd w:val="clear" w:color="auto" w:fill="FFFFFF"/>
        </w:rPr>
        <w:t>151</w:t>
      </w:r>
      <w:r w:rsidRPr="00C44A6D">
        <w:rPr>
          <w:rFonts w:cs="Arial"/>
          <w:noProof/>
          <w:szCs w:val="24"/>
          <w:shd w:val="clear" w:color="auto" w:fill="FFFFFF"/>
        </w:rPr>
        <w:t>(2), pp.365-381.</w:t>
      </w:r>
    </w:p>
    <w:p w14:paraId="3CAC349E" w14:textId="77777777" w:rsidR="002E5288" w:rsidRPr="00C44A6D" w:rsidRDefault="002E5288" w:rsidP="002E5288">
      <w:pPr>
        <w:rPr>
          <w:rFonts w:cs="Arial"/>
          <w:noProof/>
          <w:szCs w:val="24"/>
          <w:shd w:val="clear" w:color="auto" w:fill="FFFFFF"/>
        </w:rPr>
      </w:pPr>
      <w:r w:rsidRPr="00C44A6D">
        <w:rPr>
          <w:rFonts w:cs="Arial"/>
          <w:noProof/>
          <w:szCs w:val="24"/>
          <w:shd w:val="clear" w:color="auto" w:fill="FFFFFF"/>
        </w:rPr>
        <w:t>Ewald, A., Gilbert, E. and Huppatz, K. (2020). Fathering and flexible working arrangements: A systematic interdisciplinary review. </w:t>
      </w:r>
      <w:r w:rsidRPr="00C44A6D">
        <w:rPr>
          <w:rFonts w:cs="Arial"/>
          <w:i/>
          <w:iCs/>
          <w:noProof/>
          <w:szCs w:val="24"/>
          <w:shd w:val="clear" w:color="auto" w:fill="FFFFFF"/>
        </w:rPr>
        <w:t>Journal of Family Theory &amp; Review</w:t>
      </w:r>
      <w:r w:rsidRPr="00C44A6D">
        <w:rPr>
          <w:rFonts w:cs="Arial"/>
          <w:noProof/>
          <w:szCs w:val="24"/>
          <w:shd w:val="clear" w:color="auto" w:fill="FFFFFF"/>
        </w:rPr>
        <w:t>, </w:t>
      </w:r>
      <w:r w:rsidRPr="00C44A6D">
        <w:rPr>
          <w:rFonts w:cs="Arial"/>
          <w:i/>
          <w:iCs/>
          <w:noProof/>
          <w:szCs w:val="24"/>
          <w:shd w:val="clear" w:color="auto" w:fill="FFFFFF"/>
        </w:rPr>
        <w:t>12</w:t>
      </w:r>
      <w:r w:rsidRPr="00C44A6D">
        <w:rPr>
          <w:rFonts w:cs="Arial"/>
          <w:noProof/>
          <w:szCs w:val="24"/>
          <w:shd w:val="clear" w:color="auto" w:fill="FFFFFF"/>
        </w:rPr>
        <w:t>(1), pp.27-40.</w:t>
      </w:r>
    </w:p>
    <w:p w14:paraId="356B7042" w14:textId="77777777" w:rsidR="002E5288" w:rsidRPr="00C44A6D" w:rsidRDefault="002E5288" w:rsidP="002E5288">
      <w:pPr>
        <w:rPr>
          <w:rFonts w:cs="Arial"/>
          <w:noProof/>
          <w:szCs w:val="24"/>
          <w:shd w:val="clear" w:color="auto" w:fill="FFFFFF"/>
        </w:rPr>
      </w:pPr>
      <w:r w:rsidRPr="00C44A6D">
        <w:rPr>
          <w:rFonts w:cs="Arial"/>
          <w:noProof/>
          <w:szCs w:val="24"/>
          <w:shd w:val="clear" w:color="auto" w:fill="FFFFFF"/>
        </w:rPr>
        <w:t>Forbes, S., Birkett, H., Evans, L., Chung, H. and Whiteman, J. (2020). Managing employees during the COVID-19 pandemic: Flexible working and the future of work.</w:t>
      </w:r>
    </w:p>
    <w:p w14:paraId="75BE6C2A" w14:textId="77777777" w:rsidR="002E5288" w:rsidRPr="00C44A6D" w:rsidRDefault="002E5288" w:rsidP="002E5288">
      <w:pPr>
        <w:rPr>
          <w:rFonts w:cs="Arial"/>
          <w:noProof/>
          <w:szCs w:val="24"/>
          <w:shd w:val="clear" w:color="auto" w:fill="FFFFFF"/>
        </w:rPr>
      </w:pPr>
      <w:r w:rsidRPr="00EB0626">
        <w:rPr>
          <w:rFonts w:cs="Arial"/>
          <w:noProof/>
          <w:szCs w:val="24"/>
          <w:shd w:val="clear" w:color="auto" w:fill="FFFFFF"/>
        </w:rPr>
        <w:t>Hassan, S., 2016. Impact of HRM practices on employee’s performance. </w:t>
      </w:r>
      <w:r w:rsidRPr="00EB0626">
        <w:rPr>
          <w:rFonts w:cs="Arial"/>
          <w:i/>
          <w:iCs/>
          <w:noProof/>
          <w:szCs w:val="24"/>
          <w:shd w:val="clear" w:color="auto" w:fill="FFFFFF"/>
        </w:rPr>
        <w:t>International Journal of Academic Research in Accounting, Finance and Management Sciences</w:t>
      </w:r>
      <w:r w:rsidRPr="00EB0626">
        <w:rPr>
          <w:rFonts w:cs="Arial"/>
          <w:noProof/>
          <w:szCs w:val="24"/>
          <w:shd w:val="clear" w:color="auto" w:fill="FFFFFF"/>
        </w:rPr>
        <w:t>, </w:t>
      </w:r>
      <w:r w:rsidRPr="00EB0626">
        <w:rPr>
          <w:rFonts w:cs="Arial"/>
          <w:i/>
          <w:iCs/>
          <w:noProof/>
          <w:szCs w:val="24"/>
          <w:shd w:val="clear" w:color="auto" w:fill="FFFFFF"/>
        </w:rPr>
        <w:t>6</w:t>
      </w:r>
      <w:r w:rsidRPr="00EB0626">
        <w:rPr>
          <w:rFonts w:cs="Arial"/>
          <w:noProof/>
          <w:szCs w:val="24"/>
          <w:shd w:val="clear" w:color="auto" w:fill="FFFFFF"/>
        </w:rPr>
        <w:t>(1), pp.15-22.</w:t>
      </w:r>
    </w:p>
    <w:p w14:paraId="25487F72" w14:textId="77777777" w:rsidR="002E5288" w:rsidRPr="00C44A6D" w:rsidRDefault="002E5288" w:rsidP="002E5288">
      <w:pPr>
        <w:rPr>
          <w:rFonts w:cs="Arial"/>
          <w:noProof/>
          <w:szCs w:val="24"/>
          <w:shd w:val="clear" w:color="auto" w:fill="FFFFFF"/>
        </w:rPr>
      </w:pPr>
      <w:r w:rsidRPr="00C44A6D">
        <w:rPr>
          <w:rFonts w:cs="Arial"/>
          <w:noProof/>
          <w:szCs w:val="24"/>
          <w:shd w:val="clear" w:color="auto" w:fill="FFFFFF"/>
        </w:rPr>
        <w:t>Ipsen, C., van Veldhoven, M., Kirchner, K. and Hansen, J.P. (2021). Six key advantages and disadvantages of working from home in Europe during COVID-19. </w:t>
      </w:r>
      <w:r w:rsidRPr="00C44A6D">
        <w:rPr>
          <w:rFonts w:cs="Arial"/>
          <w:i/>
          <w:iCs/>
          <w:noProof/>
          <w:szCs w:val="24"/>
          <w:shd w:val="clear" w:color="auto" w:fill="FFFFFF"/>
        </w:rPr>
        <w:t>International Journal of Environmental Research and Public Health</w:t>
      </w:r>
      <w:r w:rsidRPr="00C44A6D">
        <w:rPr>
          <w:rFonts w:cs="Arial"/>
          <w:noProof/>
          <w:szCs w:val="24"/>
          <w:shd w:val="clear" w:color="auto" w:fill="FFFFFF"/>
        </w:rPr>
        <w:t>, </w:t>
      </w:r>
      <w:r w:rsidRPr="00C44A6D">
        <w:rPr>
          <w:rFonts w:cs="Arial"/>
          <w:i/>
          <w:iCs/>
          <w:noProof/>
          <w:szCs w:val="24"/>
          <w:shd w:val="clear" w:color="auto" w:fill="FFFFFF"/>
        </w:rPr>
        <w:t>18</w:t>
      </w:r>
      <w:r w:rsidRPr="00C44A6D">
        <w:rPr>
          <w:rFonts w:cs="Arial"/>
          <w:noProof/>
          <w:szCs w:val="24"/>
          <w:shd w:val="clear" w:color="auto" w:fill="FFFFFF"/>
        </w:rPr>
        <w:t>(4), p.1826.</w:t>
      </w:r>
    </w:p>
    <w:p w14:paraId="694DF960" w14:textId="77777777" w:rsidR="002E5288" w:rsidRPr="00C44A6D" w:rsidRDefault="002E5288" w:rsidP="002E5288">
      <w:pPr>
        <w:rPr>
          <w:rFonts w:cs="Arial"/>
          <w:noProof/>
          <w:szCs w:val="24"/>
        </w:rPr>
      </w:pPr>
      <w:r w:rsidRPr="00C44A6D">
        <w:rPr>
          <w:rFonts w:cs="Arial"/>
          <w:noProof/>
          <w:szCs w:val="24"/>
        </w:rPr>
        <w:t xml:space="preserve">JD Sports. (2022). About Us. [Online]. Available At: </w:t>
      </w:r>
      <w:hyperlink r:id="rId9" w:history="1">
        <w:r w:rsidRPr="00C44A6D">
          <w:rPr>
            <w:rStyle w:val="Hyperlink"/>
            <w:rFonts w:cs="Arial"/>
            <w:noProof/>
            <w:szCs w:val="24"/>
          </w:rPr>
          <w:t>https://www.jdsports.my/customer-service/about-us/</w:t>
        </w:r>
      </w:hyperlink>
      <w:r w:rsidRPr="00C44A6D">
        <w:rPr>
          <w:rFonts w:cs="Arial"/>
          <w:noProof/>
          <w:szCs w:val="24"/>
        </w:rPr>
        <w:t xml:space="preserve">  [Last Accessed 10 July 2022].</w:t>
      </w:r>
    </w:p>
    <w:p w14:paraId="6F64C438" w14:textId="77777777" w:rsidR="002E5288" w:rsidRPr="00C44A6D" w:rsidRDefault="002E5288" w:rsidP="002E5288">
      <w:pPr>
        <w:rPr>
          <w:rFonts w:cs="Arial"/>
          <w:noProof/>
          <w:szCs w:val="24"/>
          <w:shd w:val="clear" w:color="auto" w:fill="FFFFFF"/>
        </w:rPr>
      </w:pPr>
      <w:r w:rsidRPr="00C44A6D">
        <w:rPr>
          <w:rFonts w:cs="Arial"/>
          <w:noProof/>
          <w:szCs w:val="24"/>
          <w:shd w:val="clear" w:color="auto" w:fill="FFFFFF"/>
        </w:rPr>
        <w:t>Karamanis, K. and Gogos, C. (2020). The impact of flexible working at firm level. Evidence from Greek labor market. </w:t>
      </w:r>
      <w:r w:rsidRPr="00C44A6D">
        <w:rPr>
          <w:rFonts w:cs="Arial"/>
          <w:i/>
          <w:iCs/>
          <w:noProof/>
          <w:szCs w:val="24"/>
          <w:shd w:val="clear" w:color="auto" w:fill="FFFFFF"/>
        </w:rPr>
        <w:t>Journal of International Studies</w:t>
      </w:r>
      <w:r w:rsidRPr="00C44A6D">
        <w:rPr>
          <w:rFonts w:cs="Arial"/>
          <w:noProof/>
          <w:szCs w:val="24"/>
          <w:shd w:val="clear" w:color="auto" w:fill="FFFFFF"/>
        </w:rPr>
        <w:t>, </w:t>
      </w:r>
      <w:r w:rsidRPr="00C44A6D">
        <w:rPr>
          <w:rFonts w:cs="Arial"/>
          <w:i/>
          <w:iCs/>
          <w:noProof/>
          <w:szCs w:val="24"/>
          <w:shd w:val="clear" w:color="auto" w:fill="FFFFFF"/>
        </w:rPr>
        <w:t>13</w:t>
      </w:r>
      <w:r w:rsidRPr="00C44A6D">
        <w:rPr>
          <w:rFonts w:cs="Arial"/>
          <w:noProof/>
          <w:szCs w:val="24"/>
          <w:shd w:val="clear" w:color="auto" w:fill="FFFFFF"/>
        </w:rPr>
        <w:t>(2).</w:t>
      </w:r>
    </w:p>
    <w:p w14:paraId="07C88B36" w14:textId="77777777" w:rsidR="002E5288" w:rsidRDefault="002E5288" w:rsidP="002E5288">
      <w:pPr>
        <w:rPr>
          <w:rFonts w:cs="Arial"/>
          <w:noProof/>
          <w:szCs w:val="24"/>
          <w:shd w:val="clear" w:color="auto" w:fill="FFFFFF"/>
        </w:rPr>
      </w:pPr>
      <w:r w:rsidRPr="00C44A6D">
        <w:rPr>
          <w:rFonts w:cs="Arial"/>
          <w:noProof/>
          <w:szCs w:val="24"/>
          <w:shd w:val="clear" w:color="auto" w:fill="FFFFFF"/>
        </w:rPr>
        <w:t>Kniffin, K.M., Narayanan, J., Anseel, F., Antonakis, J., Ashford, S.P., Bakker, A.B., Bamberger, P., Bapuji, H., Bhave, D.P., Choi, V.K. and Creary, S.J. (2021). COVID-19 and the workplace: Implications, issues, and insights for future research and action. </w:t>
      </w:r>
      <w:r w:rsidRPr="00C44A6D">
        <w:rPr>
          <w:rFonts w:cs="Arial"/>
          <w:i/>
          <w:iCs/>
          <w:noProof/>
          <w:szCs w:val="24"/>
          <w:shd w:val="clear" w:color="auto" w:fill="FFFFFF"/>
        </w:rPr>
        <w:t>American Psychologist</w:t>
      </w:r>
      <w:r w:rsidRPr="00C44A6D">
        <w:rPr>
          <w:rFonts w:cs="Arial"/>
          <w:noProof/>
          <w:szCs w:val="24"/>
          <w:shd w:val="clear" w:color="auto" w:fill="FFFFFF"/>
        </w:rPr>
        <w:t>, </w:t>
      </w:r>
      <w:r w:rsidRPr="00C44A6D">
        <w:rPr>
          <w:rFonts w:cs="Arial"/>
          <w:i/>
          <w:iCs/>
          <w:noProof/>
          <w:szCs w:val="24"/>
          <w:shd w:val="clear" w:color="auto" w:fill="FFFFFF"/>
        </w:rPr>
        <w:t>76</w:t>
      </w:r>
      <w:r w:rsidRPr="00C44A6D">
        <w:rPr>
          <w:rFonts w:cs="Arial"/>
          <w:noProof/>
          <w:szCs w:val="24"/>
          <w:shd w:val="clear" w:color="auto" w:fill="FFFFFF"/>
        </w:rPr>
        <w:t>(1), p.63.</w:t>
      </w:r>
    </w:p>
    <w:p w14:paraId="33915BA1" w14:textId="77777777" w:rsidR="002E5288" w:rsidRPr="00C44A6D" w:rsidRDefault="002E5288" w:rsidP="002E5288">
      <w:pPr>
        <w:rPr>
          <w:rFonts w:cs="Arial"/>
          <w:noProof/>
          <w:szCs w:val="24"/>
          <w:shd w:val="clear" w:color="auto" w:fill="FFFFFF"/>
        </w:rPr>
      </w:pPr>
      <w:r w:rsidRPr="00C44A6D">
        <w:rPr>
          <w:rFonts w:cs="Arial"/>
          <w:noProof/>
          <w:szCs w:val="24"/>
          <w:shd w:val="clear" w:color="auto" w:fill="FFFFFF"/>
        </w:rPr>
        <w:lastRenderedPageBreak/>
        <w:t>Ng, E.S. and Sears, G.J. (2020). Walking the talk on diversity: CEO beliefs, moral values, and the implementation of workplace diversity practices. </w:t>
      </w:r>
      <w:r w:rsidRPr="00C44A6D">
        <w:rPr>
          <w:rFonts w:cs="Arial"/>
          <w:i/>
          <w:iCs/>
          <w:noProof/>
          <w:szCs w:val="24"/>
          <w:shd w:val="clear" w:color="auto" w:fill="FFFFFF"/>
        </w:rPr>
        <w:t>Journal of Business Ethics</w:t>
      </w:r>
      <w:r w:rsidRPr="00C44A6D">
        <w:rPr>
          <w:rFonts w:cs="Arial"/>
          <w:noProof/>
          <w:szCs w:val="24"/>
          <w:shd w:val="clear" w:color="auto" w:fill="FFFFFF"/>
        </w:rPr>
        <w:t>, </w:t>
      </w:r>
      <w:r w:rsidRPr="00C44A6D">
        <w:rPr>
          <w:rFonts w:cs="Arial"/>
          <w:i/>
          <w:iCs/>
          <w:noProof/>
          <w:szCs w:val="24"/>
          <w:shd w:val="clear" w:color="auto" w:fill="FFFFFF"/>
        </w:rPr>
        <w:t>164</w:t>
      </w:r>
      <w:r w:rsidRPr="00C44A6D">
        <w:rPr>
          <w:rFonts w:cs="Arial"/>
          <w:noProof/>
          <w:szCs w:val="24"/>
          <w:shd w:val="clear" w:color="auto" w:fill="FFFFFF"/>
        </w:rPr>
        <w:t>(3), pp.437-450.</w:t>
      </w:r>
    </w:p>
    <w:p w14:paraId="6A74EE20" w14:textId="77777777" w:rsidR="002E5288" w:rsidRPr="00C44A6D" w:rsidRDefault="002E5288" w:rsidP="002E5288">
      <w:pPr>
        <w:rPr>
          <w:rFonts w:cs="Arial"/>
          <w:noProof/>
          <w:szCs w:val="24"/>
          <w:shd w:val="clear" w:color="auto" w:fill="FFFFFF"/>
        </w:rPr>
      </w:pPr>
      <w:r w:rsidRPr="00C44A6D">
        <w:rPr>
          <w:rFonts w:cs="Arial"/>
          <w:noProof/>
          <w:szCs w:val="24"/>
          <w:shd w:val="clear" w:color="auto" w:fill="FFFFFF"/>
        </w:rPr>
        <w:t>Riva, E. and Russo, M. (2020). Flexible working and skill-biased inequality: Causes and consequences. In </w:t>
      </w:r>
      <w:r w:rsidRPr="00C44A6D">
        <w:rPr>
          <w:rFonts w:cs="Arial"/>
          <w:i/>
          <w:iCs/>
          <w:noProof/>
          <w:szCs w:val="24"/>
          <w:shd w:val="clear" w:color="auto" w:fill="FFFFFF"/>
        </w:rPr>
        <w:t>Flexible Work</w:t>
      </w:r>
      <w:r w:rsidRPr="00C44A6D">
        <w:rPr>
          <w:rFonts w:cs="Arial"/>
          <w:noProof/>
          <w:szCs w:val="24"/>
          <w:shd w:val="clear" w:color="auto" w:fill="FFFFFF"/>
        </w:rPr>
        <w:t> (pp. 145-158). Routledge.</w:t>
      </w:r>
    </w:p>
    <w:p w14:paraId="54464272" w14:textId="77777777" w:rsidR="002E5288" w:rsidRDefault="002E5288">
      <w:pPr>
        <w:spacing w:line="259" w:lineRule="auto"/>
        <w:jc w:val="left"/>
        <w:rPr>
          <w:rFonts w:ascii="Cambria" w:eastAsiaTheme="majorEastAsia" w:hAnsi="Cambria" w:cstheme="majorBidi"/>
          <w:color w:val="2E74B5" w:themeColor="accent1" w:themeShade="BF"/>
          <w:sz w:val="32"/>
          <w:szCs w:val="32"/>
          <w:lang w:val="en-US"/>
        </w:rPr>
      </w:pPr>
    </w:p>
    <w:sectPr w:rsidR="002E5288" w:rsidSect="00E73E4F">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040005" w14:textId="77777777" w:rsidR="00994C8A" w:rsidRDefault="00994C8A" w:rsidP="0097404A">
      <w:pPr>
        <w:spacing w:after="0" w:line="240" w:lineRule="auto"/>
      </w:pPr>
      <w:r>
        <w:separator/>
      </w:r>
    </w:p>
  </w:endnote>
  <w:endnote w:type="continuationSeparator" w:id="0">
    <w:p w14:paraId="5099A98B" w14:textId="77777777" w:rsidR="00994C8A" w:rsidRDefault="00994C8A" w:rsidP="009740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B52691" w14:textId="77777777" w:rsidR="00994C8A" w:rsidRDefault="00994C8A" w:rsidP="0097404A">
      <w:pPr>
        <w:spacing w:after="0" w:line="240" w:lineRule="auto"/>
      </w:pPr>
      <w:r>
        <w:separator/>
      </w:r>
    </w:p>
  </w:footnote>
  <w:footnote w:type="continuationSeparator" w:id="0">
    <w:p w14:paraId="386253A5" w14:textId="77777777" w:rsidR="00994C8A" w:rsidRDefault="00994C8A" w:rsidP="009740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757AE9"/>
    <w:multiLevelType w:val="hybridMultilevel"/>
    <w:tmpl w:val="EB7A6892"/>
    <w:lvl w:ilvl="0" w:tplc="119842A0">
      <w:start w:val="1"/>
      <w:numFmt w:val="bullet"/>
      <w:lvlText w:val=""/>
      <w:lvlJc w:val="left"/>
      <w:pPr>
        <w:ind w:left="720" w:hanging="360"/>
      </w:pPr>
      <w:rPr>
        <w:rFonts w:ascii="Symbol" w:hAnsi="Symbol" w:hint="default"/>
      </w:rPr>
    </w:lvl>
    <w:lvl w:ilvl="1" w:tplc="5892522E" w:tentative="1">
      <w:start w:val="1"/>
      <w:numFmt w:val="bullet"/>
      <w:lvlText w:val="o"/>
      <w:lvlJc w:val="left"/>
      <w:pPr>
        <w:ind w:left="1440" w:hanging="360"/>
      </w:pPr>
      <w:rPr>
        <w:rFonts w:ascii="Courier New" w:hAnsi="Courier New" w:cs="Courier New" w:hint="default"/>
      </w:rPr>
    </w:lvl>
    <w:lvl w:ilvl="2" w:tplc="0B367B60" w:tentative="1">
      <w:start w:val="1"/>
      <w:numFmt w:val="bullet"/>
      <w:lvlText w:val=""/>
      <w:lvlJc w:val="left"/>
      <w:pPr>
        <w:ind w:left="2160" w:hanging="360"/>
      </w:pPr>
      <w:rPr>
        <w:rFonts w:ascii="Wingdings" w:hAnsi="Wingdings" w:hint="default"/>
      </w:rPr>
    </w:lvl>
    <w:lvl w:ilvl="3" w:tplc="983CE1E8" w:tentative="1">
      <w:start w:val="1"/>
      <w:numFmt w:val="bullet"/>
      <w:lvlText w:val=""/>
      <w:lvlJc w:val="left"/>
      <w:pPr>
        <w:ind w:left="2880" w:hanging="360"/>
      </w:pPr>
      <w:rPr>
        <w:rFonts w:ascii="Symbol" w:hAnsi="Symbol" w:hint="default"/>
      </w:rPr>
    </w:lvl>
    <w:lvl w:ilvl="4" w:tplc="1BC0E374" w:tentative="1">
      <w:start w:val="1"/>
      <w:numFmt w:val="bullet"/>
      <w:lvlText w:val="o"/>
      <w:lvlJc w:val="left"/>
      <w:pPr>
        <w:ind w:left="3600" w:hanging="360"/>
      </w:pPr>
      <w:rPr>
        <w:rFonts w:ascii="Courier New" w:hAnsi="Courier New" w:cs="Courier New" w:hint="default"/>
      </w:rPr>
    </w:lvl>
    <w:lvl w:ilvl="5" w:tplc="7E502F40" w:tentative="1">
      <w:start w:val="1"/>
      <w:numFmt w:val="bullet"/>
      <w:lvlText w:val=""/>
      <w:lvlJc w:val="left"/>
      <w:pPr>
        <w:ind w:left="4320" w:hanging="360"/>
      </w:pPr>
      <w:rPr>
        <w:rFonts w:ascii="Wingdings" w:hAnsi="Wingdings" w:hint="default"/>
      </w:rPr>
    </w:lvl>
    <w:lvl w:ilvl="6" w:tplc="F70899EA" w:tentative="1">
      <w:start w:val="1"/>
      <w:numFmt w:val="bullet"/>
      <w:lvlText w:val=""/>
      <w:lvlJc w:val="left"/>
      <w:pPr>
        <w:ind w:left="5040" w:hanging="360"/>
      </w:pPr>
      <w:rPr>
        <w:rFonts w:ascii="Symbol" w:hAnsi="Symbol" w:hint="default"/>
      </w:rPr>
    </w:lvl>
    <w:lvl w:ilvl="7" w:tplc="50CCFFDC" w:tentative="1">
      <w:start w:val="1"/>
      <w:numFmt w:val="bullet"/>
      <w:lvlText w:val="o"/>
      <w:lvlJc w:val="left"/>
      <w:pPr>
        <w:ind w:left="5760" w:hanging="360"/>
      </w:pPr>
      <w:rPr>
        <w:rFonts w:ascii="Courier New" w:hAnsi="Courier New" w:cs="Courier New" w:hint="default"/>
      </w:rPr>
    </w:lvl>
    <w:lvl w:ilvl="8" w:tplc="1E1C8DC0" w:tentative="1">
      <w:start w:val="1"/>
      <w:numFmt w:val="bullet"/>
      <w:lvlText w:val=""/>
      <w:lvlJc w:val="left"/>
      <w:pPr>
        <w:ind w:left="6480" w:hanging="360"/>
      </w:pPr>
      <w:rPr>
        <w:rFonts w:ascii="Wingdings" w:hAnsi="Wingdings" w:hint="default"/>
      </w:rPr>
    </w:lvl>
  </w:abstractNum>
  <w:abstractNum w:abstractNumId="1" w15:restartNumberingAfterBreak="0">
    <w:nsid w:val="73221D31"/>
    <w:multiLevelType w:val="hybridMultilevel"/>
    <w:tmpl w:val="316423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7C8029F"/>
    <w:multiLevelType w:val="multilevel"/>
    <w:tmpl w:val="7D18909E"/>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3" w15:restartNumberingAfterBreak="0">
    <w:nsid w:val="7C89692F"/>
    <w:multiLevelType w:val="hybridMultilevel"/>
    <w:tmpl w:val="1F1273B2"/>
    <w:lvl w:ilvl="0" w:tplc="BBFADBFC">
      <w:start w:val="1"/>
      <w:numFmt w:val="decimal"/>
      <w:lvlText w:val="%1."/>
      <w:lvlJc w:val="left"/>
      <w:pPr>
        <w:ind w:left="720" w:hanging="360"/>
      </w:pPr>
    </w:lvl>
    <w:lvl w:ilvl="1" w:tplc="13CE3152" w:tentative="1">
      <w:start w:val="1"/>
      <w:numFmt w:val="lowerLetter"/>
      <w:lvlText w:val="%2."/>
      <w:lvlJc w:val="left"/>
      <w:pPr>
        <w:ind w:left="1440" w:hanging="360"/>
      </w:pPr>
    </w:lvl>
    <w:lvl w:ilvl="2" w:tplc="71FEA418" w:tentative="1">
      <w:start w:val="1"/>
      <w:numFmt w:val="lowerRoman"/>
      <w:lvlText w:val="%3."/>
      <w:lvlJc w:val="right"/>
      <w:pPr>
        <w:ind w:left="2160" w:hanging="180"/>
      </w:pPr>
    </w:lvl>
    <w:lvl w:ilvl="3" w:tplc="963C0FB2" w:tentative="1">
      <w:start w:val="1"/>
      <w:numFmt w:val="decimal"/>
      <w:lvlText w:val="%4."/>
      <w:lvlJc w:val="left"/>
      <w:pPr>
        <w:ind w:left="2880" w:hanging="360"/>
      </w:pPr>
    </w:lvl>
    <w:lvl w:ilvl="4" w:tplc="5DA4C376" w:tentative="1">
      <w:start w:val="1"/>
      <w:numFmt w:val="lowerLetter"/>
      <w:lvlText w:val="%5."/>
      <w:lvlJc w:val="left"/>
      <w:pPr>
        <w:ind w:left="3600" w:hanging="360"/>
      </w:pPr>
    </w:lvl>
    <w:lvl w:ilvl="5" w:tplc="FC305788" w:tentative="1">
      <w:start w:val="1"/>
      <w:numFmt w:val="lowerRoman"/>
      <w:lvlText w:val="%6."/>
      <w:lvlJc w:val="right"/>
      <w:pPr>
        <w:ind w:left="4320" w:hanging="180"/>
      </w:pPr>
    </w:lvl>
    <w:lvl w:ilvl="6" w:tplc="5D3C2DD6" w:tentative="1">
      <w:start w:val="1"/>
      <w:numFmt w:val="decimal"/>
      <w:lvlText w:val="%7."/>
      <w:lvlJc w:val="left"/>
      <w:pPr>
        <w:ind w:left="5040" w:hanging="360"/>
      </w:pPr>
    </w:lvl>
    <w:lvl w:ilvl="7" w:tplc="CA8A9F9E" w:tentative="1">
      <w:start w:val="1"/>
      <w:numFmt w:val="lowerLetter"/>
      <w:lvlText w:val="%8."/>
      <w:lvlJc w:val="left"/>
      <w:pPr>
        <w:ind w:left="5760" w:hanging="360"/>
      </w:pPr>
    </w:lvl>
    <w:lvl w:ilvl="8" w:tplc="03B8F54C" w:tentative="1">
      <w:start w:val="1"/>
      <w:numFmt w:val="lowerRoman"/>
      <w:lvlText w:val="%9."/>
      <w:lvlJc w:val="right"/>
      <w:pPr>
        <w:ind w:left="6480" w:hanging="180"/>
      </w:pPr>
    </w:lvl>
  </w:abstractNum>
  <w:num w:numId="1" w16cid:durableId="2076731722">
    <w:abstractNumId w:val="3"/>
  </w:num>
  <w:num w:numId="2" w16cid:durableId="164976566">
    <w:abstractNumId w:val="2"/>
  </w:num>
  <w:num w:numId="3" w16cid:durableId="1755857107">
    <w:abstractNumId w:val="1"/>
  </w:num>
  <w:num w:numId="4" w16cid:durableId="9648886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EwMjEwNLcwNDAwtzBT0lEKTi0uzszPAykwqwUAnKUonywAAAA="/>
  </w:docVars>
  <w:rsids>
    <w:rsidRoot w:val="00AB4B6C"/>
    <w:rsid w:val="000024AD"/>
    <w:rsid w:val="0005700F"/>
    <w:rsid w:val="000E08BD"/>
    <w:rsid w:val="001210F8"/>
    <w:rsid w:val="00132CB1"/>
    <w:rsid w:val="001674AE"/>
    <w:rsid w:val="001708B4"/>
    <w:rsid w:val="001B3801"/>
    <w:rsid w:val="001D69E1"/>
    <w:rsid w:val="00270184"/>
    <w:rsid w:val="00271BA7"/>
    <w:rsid w:val="002E5288"/>
    <w:rsid w:val="00307B8D"/>
    <w:rsid w:val="00360377"/>
    <w:rsid w:val="003777B6"/>
    <w:rsid w:val="00390247"/>
    <w:rsid w:val="003E0719"/>
    <w:rsid w:val="00406E06"/>
    <w:rsid w:val="004628FD"/>
    <w:rsid w:val="004D0A55"/>
    <w:rsid w:val="004E2A0E"/>
    <w:rsid w:val="005241DF"/>
    <w:rsid w:val="0057621E"/>
    <w:rsid w:val="005840D0"/>
    <w:rsid w:val="006235A9"/>
    <w:rsid w:val="0062745A"/>
    <w:rsid w:val="0072233A"/>
    <w:rsid w:val="0076664A"/>
    <w:rsid w:val="00786CB2"/>
    <w:rsid w:val="007D1258"/>
    <w:rsid w:val="007D4707"/>
    <w:rsid w:val="0080112C"/>
    <w:rsid w:val="00813A2B"/>
    <w:rsid w:val="008742FB"/>
    <w:rsid w:val="00890920"/>
    <w:rsid w:val="00911F95"/>
    <w:rsid w:val="00920E3E"/>
    <w:rsid w:val="0097404A"/>
    <w:rsid w:val="009751AB"/>
    <w:rsid w:val="00994C8A"/>
    <w:rsid w:val="009C504C"/>
    <w:rsid w:val="00AA0B82"/>
    <w:rsid w:val="00AB4B6C"/>
    <w:rsid w:val="00AD48A7"/>
    <w:rsid w:val="00AE04F9"/>
    <w:rsid w:val="00AE0CA2"/>
    <w:rsid w:val="00AF6AE5"/>
    <w:rsid w:val="00B23F18"/>
    <w:rsid w:val="00B53E0F"/>
    <w:rsid w:val="00BD675A"/>
    <w:rsid w:val="00C6177C"/>
    <w:rsid w:val="00D327EB"/>
    <w:rsid w:val="00D545CC"/>
    <w:rsid w:val="00D56CF9"/>
    <w:rsid w:val="00D804DF"/>
    <w:rsid w:val="00D97AA8"/>
    <w:rsid w:val="00DA5D98"/>
    <w:rsid w:val="00DC1236"/>
    <w:rsid w:val="00E12291"/>
    <w:rsid w:val="00E73E4F"/>
    <w:rsid w:val="00E74B33"/>
    <w:rsid w:val="00E7773B"/>
    <w:rsid w:val="00E777E2"/>
    <w:rsid w:val="00EB2B3C"/>
    <w:rsid w:val="00EC1D25"/>
    <w:rsid w:val="00EE17DE"/>
    <w:rsid w:val="00FE0BB2"/>
    <w:rsid w:val="00FF05C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34C4A"/>
  <w15:chartTrackingRefBased/>
  <w15:docId w15:val="{27442200-98F3-4494-A454-8AE32C010F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24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90247"/>
    <w:pPr>
      <w:keepNext/>
      <w:keepLines/>
      <w:spacing w:before="240" w:after="0"/>
      <w:outlineLvl w:val="0"/>
    </w:pPr>
    <w:rPr>
      <w:rFonts w:ascii="Cambria" w:eastAsiaTheme="majorEastAsia" w:hAnsi="Cambr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90247"/>
    <w:pPr>
      <w:keepNext/>
      <w:keepLines/>
      <w:spacing w:before="40" w:after="0"/>
      <w:outlineLvl w:val="1"/>
    </w:pPr>
    <w:rPr>
      <w:rFonts w:ascii="Cambria" w:eastAsiaTheme="majorEastAsia" w:hAnsi="Cambria"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90247"/>
    <w:pPr>
      <w:spacing w:after="0"/>
      <w:contextualSpacing/>
      <w:jc w:val="center"/>
    </w:pPr>
    <w:rPr>
      <w:rFonts w:asciiTheme="majorHAnsi" w:eastAsiaTheme="majorEastAsia" w:hAnsiTheme="majorHAnsi" w:cstheme="majorBidi"/>
      <w:b/>
      <w:color w:val="1F3864" w:themeColor="accent5" w:themeShade="80"/>
      <w:spacing w:val="-10"/>
      <w:kern w:val="28"/>
      <w:sz w:val="56"/>
      <w:szCs w:val="56"/>
    </w:rPr>
  </w:style>
  <w:style w:type="character" w:customStyle="1" w:styleId="TitleChar">
    <w:name w:val="Title Char"/>
    <w:basedOn w:val="DefaultParagraphFont"/>
    <w:link w:val="Title"/>
    <w:uiPriority w:val="10"/>
    <w:rsid w:val="00390247"/>
    <w:rPr>
      <w:rFonts w:asciiTheme="majorHAnsi" w:eastAsiaTheme="majorEastAsia" w:hAnsiTheme="majorHAnsi" w:cstheme="majorBidi"/>
      <w:b/>
      <w:color w:val="1F3864" w:themeColor="accent5" w:themeShade="80"/>
      <w:spacing w:val="-10"/>
      <w:kern w:val="28"/>
      <w:sz w:val="56"/>
      <w:szCs w:val="56"/>
    </w:rPr>
  </w:style>
  <w:style w:type="character" w:customStyle="1" w:styleId="Heading2Char">
    <w:name w:val="Heading 2 Char"/>
    <w:basedOn w:val="DefaultParagraphFont"/>
    <w:link w:val="Heading2"/>
    <w:uiPriority w:val="9"/>
    <w:rsid w:val="00390247"/>
    <w:rPr>
      <w:rFonts w:ascii="Cambria" w:eastAsiaTheme="majorEastAsia" w:hAnsi="Cambria" w:cstheme="majorBidi"/>
      <w:color w:val="2E74B5" w:themeColor="accent1" w:themeShade="BF"/>
      <w:sz w:val="26"/>
      <w:szCs w:val="26"/>
    </w:rPr>
  </w:style>
  <w:style w:type="character" w:customStyle="1" w:styleId="Heading1Char">
    <w:name w:val="Heading 1 Char"/>
    <w:basedOn w:val="DefaultParagraphFont"/>
    <w:link w:val="Heading1"/>
    <w:uiPriority w:val="9"/>
    <w:rsid w:val="00390247"/>
    <w:rPr>
      <w:rFonts w:ascii="Cambria" w:eastAsiaTheme="majorEastAsia" w:hAnsi="Cambria" w:cstheme="majorBidi"/>
      <w:color w:val="2E74B5" w:themeColor="accent1" w:themeShade="BF"/>
      <w:sz w:val="32"/>
      <w:szCs w:val="32"/>
    </w:rPr>
  </w:style>
  <w:style w:type="table" w:styleId="TableGrid">
    <w:name w:val="Table Grid"/>
    <w:basedOn w:val="TableNormal"/>
    <w:uiPriority w:val="59"/>
    <w:rsid w:val="00AB4B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E17DE"/>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EE17DE"/>
    <w:pPr>
      <w:spacing w:after="100"/>
    </w:pPr>
  </w:style>
  <w:style w:type="paragraph" w:styleId="TOC2">
    <w:name w:val="toc 2"/>
    <w:basedOn w:val="Normal"/>
    <w:next w:val="Normal"/>
    <w:autoRedefine/>
    <w:uiPriority w:val="39"/>
    <w:unhideWhenUsed/>
    <w:rsid w:val="00EE17DE"/>
    <w:pPr>
      <w:spacing w:after="100"/>
      <w:ind w:left="240"/>
    </w:pPr>
  </w:style>
  <w:style w:type="character" w:styleId="Hyperlink">
    <w:name w:val="Hyperlink"/>
    <w:basedOn w:val="DefaultParagraphFont"/>
    <w:uiPriority w:val="99"/>
    <w:unhideWhenUsed/>
    <w:rsid w:val="00EE17DE"/>
    <w:rPr>
      <w:color w:val="0563C1" w:themeColor="hyperlink"/>
      <w:u w:val="single"/>
    </w:rPr>
  </w:style>
  <w:style w:type="paragraph" w:styleId="ListParagraph">
    <w:name w:val="List Paragraph"/>
    <w:basedOn w:val="Normal"/>
    <w:uiPriority w:val="34"/>
    <w:qFormat/>
    <w:rsid w:val="003E0719"/>
    <w:pPr>
      <w:ind w:left="720"/>
      <w:contextualSpacing/>
    </w:pPr>
  </w:style>
  <w:style w:type="paragraph" w:styleId="IntenseQuote">
    <w:name w:val="Intense Quote"/>
    <w:basedOn w:val="Normal"/>
    <w:next w:val="Normal"/>
    <w:link w:val="IntenseQuoteChar"/>
    <w:uiPriority w:val="30"/>
    <w:qFormat/>
    <w:rsid w:val="00E73E4F"/>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E73E4F"/>
    <w:rPr>
      <w:rFonts w:ascii="Times New Roman" w:hAnsi="Times New Roman"/>
      <w:i/>
      <w:iCs/>
      <w:color w:val="5B9BD5" w:themeColor="accent1"/>
      <w:sz w:val="24"/>
      <w:lang w:val="en-GB"/>
    </w:rPr>
  </w:style>
  <w:style w:type="paragraph" w:styleId="Header">
    <w:name w:val="header"/>
    <w:basedOn w:val="Normal"/>
    <w:link w:val="HeaderChar"/>
    <w:uiPriority w:val="99"/>
    <w:unhideWhenUsed/>
    <w:rsid w:val="009740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404A"/>
    <w:rPr>
      <w:rFonts w:ascii="Times New Roman" w:hAnsi="Times New Roman"/>
      <w:sz w:val="24"/>
      <w:lang w:val="en-GB"/>
    </w:rPr>
  </w:style>
  <w:style w:type="paragraph" w:styleId="Footer">
    <w:name w:val="footer"/>
    <w:basedOn w:val="Normal"/>
    <w:link w:val="FooterChar"/>
    <w:uiPriority w:val="99"/>
    <w:unhideWhenUsed/>
    <w:rsid w:val="009740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404A"/>
    <w:rPr>
      <w:rFonts w:ascii="Times New Roman" w:hAnsi="Times New Roman"/>
      <w:sz w:val="24"/>
      <w:lang w:val="en-GB"/>
    </w:rPr>
  </w:style>
  <w:style w:type="paragraph" w:styleId="NormalWeb">
    <w:name w:val="Normal (Web)"/>
    <w:basedOn w:val="Normal"/>
    <w:uiPriority w:val="99"/>
    <w:unhideWhenUsed/>
    <w:rsid w:val="00813A2B"/>
    <w:pPr>
      <w:spacing w:before="100" w:beforeAutospacing="1" w:after="100" w:afterAutospacing="1" w:line="240" w:lineRule="auto"/>
      <w:jc w:val="left"/>
    </w:pPr>
    <w:rPr>
      <w:rFonts w:ascii="Tahoma" w:eastAsia="Times New Roman" w:hAnsi="Tahoma" w:cs="Tahoma"/>
      <w:szCs w:val="24"/>
      <w:lang w:val="en-US" w:bidi="th-TH"/>
    </w:rPr>
  </w:style>
  <w:style w:type="character" w:styleId="FollowedHyperlink">
    <w:name w:val="FollowedHyperlink"/>
    <w:basedOn w:val="DefaultParagraphFont"/>
    <w:uiPriority w:val="99"/>
    <w:semiHidden/>
    <w:unhideWhenUsed/>
    <w:rsid w:val="00813A2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583646">
      <w:bodyDiv w:val="1"/>
      <w:marLeft w:val="0"/>
      <w:marRight w:val="0"/>
      <w:marTop w:val="0"/>
      <w:marBottom w:val="0"/>
      <w:divBdr>
        <w:top w:val="none" w:sz="0" w:space="0" w:color="auto"/>
        <w:left w:val="none" w:sz="0" w:space="0" w:color="auto"/>
        <w:bottom w:val="none" w:sz="0" w:space="0" w:color="auto"/>
        <w:right w:val="none" w:sz="0" w:space="0" w:color="auto"/>
      </w:divBdr>
      <w:divsChild>
        <w:div w:id="1146973579">
          <w:marLeft w:val="0"/>
          <w:marRight w:val="0"/>
          <w:marTop w:val="0"/>
          <w:marBottom w:val="0"/>
          <w:divBdr>
            <w:top w:val="none" w:sz="0" w:space="0" w:color="auto"/>
            <w:left w:val="none" w:sz="0" w:space="0" w:color="auto"/>
            <w:bottom w:val="none" w:sz="0" w:space="0" w:color="auto"/>
            <w:right w:val="none" w:sz="0" w:space="0" w:color="auto"/>
          </w:divBdr>
          <w:divsChild>
            <w:div w:id="871184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jdsports.my/customer-service/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547B1D-E308-4441-9A87-8FFD7588AE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2761</Words>
  <Characters>15741</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RIYA</dc:creator>
  <cp:lastModifiedBy>Seba Frasinescu</cp:lastModifiedBy>
  <cp:revision>2</cp:revision>
  <dcterms:created xsi:type="dcterms:W3CDTF">2022-09-02T22:47:00Z</dcterms:created>
  <dcterms:modified xsi:type="dcterms:W3CDTF">2022-09-02T22:47:00Z</dcterms:modified>
</cp:coreProperties>
</file>