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left="0" w:leftChars="0" w:firstLine="0" w:firstLineChars="0"/>
        <w:jc w:val="center"/>
        <w:rPr>
          <w:rFonts w:hint="eastAsia"/>
          <w:b/>
          <w:bCs/>
          <w:highlight w:val="none"/>
          <w:lang w:val="en-US" w:eastAsia="zh-CN"/>
        </w:rPr>
      </w:pPr>
      <w:r>
        <w:rPr>
          <w:rFonts w:hint="eastAsia" w:ascii="Times New Roman" w:hAnsi="Times New Roman"/>
          <w:b/>
          <w:bCs/>
          <w:i/>
          <w:iCs/>
          <w:caps w:val="0"/>
          <w:sz w:val="44"/>
          <w:szCs w:val="44"/>
          <w:highlight w:val="none"/>
          <w:lang w:val="en-US" w:eastAsia="zh-CN"/>
        </w:rPr>
        <w:t>The analysis and research on BYD's differentiated competition strategy selection</w:t>
      </w:r>
    </w:p>
    <w:p>
      <w:pPr>
        <w:jc w:val="both"/>
        <w:rPr>
          <w:rFonts w:hint="eastAsia" w:ascii="Times New Roman" w:hAnsi="Times New Roman"/>
          <w:caps w:val="0"/>
          <w:highlight w:val="none"/>
          <w:lang w:val="en-US" w:eastAsia="zh-CN"/>
        </w:rPr>
      </w:pPr>
      <w:r>
        <w:rPr>
          <w:highlight w:val="none"/>
        </w:rPr>
        <w:drawing>
          <wp:anchor distT="0" distB="0" distL="114300" distR="114300" simplePos="0" relativeHeight="251659264" behindDoc="1" locked="0" layoutInCell="1" allowOverlap="1">
            <wp:simplePos x="0" y="0"/>
            <wp:positionH relativeFrom="column">
              <wp:posOffset>1054100</wp:posOffset>
            </wp:positionH>
            <wp:positionV relativeFrom="paragraph">
              <wp:posOffset>168910</wp:posOffset>
            </wp:positionV>
            <wp:extent cx="3187700" cy="3534410"/>
            <wp:effectExtent l="0" t="0" r="0" b="0"/>
            <wp:wrapTight wrapText="bothSides">
              <wp:wrapPolygon>
                <wp:start x="0" y="0"/>
                <wp:lineTo x="0" y="21538"/>
                <wp:lineTo x="21428" y="21538"/>
                <wp:lineTo x="21428" y="0"/>
                <wp:lineTo x="0" y="0"/>
              </wp:wrapPolygon>
            </wp:wrapTight>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8"/>
                    <a:stretch>
                      <a:fillRect/>
                    </a:stretch>
                  </pic:blipFill>
                  <pic:spPr>
                    <a:xfrm>
                      <a:off x="0" y="0"/>
                      <a:ext cx="3187700" cy="3534410"/>
                    </a:xfrm>
                    <a:prstGeom prst="rect">
                      <a:avLst/>
                    </a:prstGeom>
                    <a:noFill/>
                    <a:ln>
                      <a:noFill/>
                    </a:ln>
                  </pic:spPr>
                </pic:pic>
              </a:graphicData>
            </a:graphic>
          </wp:anchor>
        </w:drawing>
      </w:r>
    </w:p>
    <w:p>
      <w:pPr>
        <w:jc w:val="both"/>
        <w:rPr>
          <w:rFonts w:hint="eastAsia" w:ascii="Times New Roman" w:hAnsi="Times New Roman"/>
          <w:caps w:val="0"/>
          <w:highlight w:val="none"/>
          <w:lang w:val="en-US" w:eastAsia="zh-CN"/>
        </w:rPr>
      </w:pPr>
    </w:p>
    <w:p>
      <w:pPr>
        <w:jc w:val="both"/>
        <w:rPr>
          <w:rFonts w:hint="default" w:ascii="Times New Roman" w:hAnsi="Times New Roman"/>
          <w:caps w:val="0"/>
          <w:highlight w:val="none"/>
          <w:lang w:val="en-US" w:eastAsia="zh-CN"/>
        </w:rPr>
      </w:pPr>
    </w:p>
    <w:p>
      <w:pPr>
        <w:pStyle w:val="2"/>
        <w:bidi w:val="0"/>
        <w:jc w:val="both"/>
        <w:outlineLvl w:val="9"/>
        <w:rPr>
          <w:rFonts w:hint="default" w:ascii="Times New Roman" w:hAnsi="Times New Roman"/>
          <w:caps w:val="0"/>
          <w:highlight w:val="none"/>
          <w:lang w:val="en-US" w:eastAsia="zh-CN"/>
        </w:rPr>
      </w:pPr>
      <w:r>
        <w:rPr>
          <w:rFonts w:hint="eastAsia" w:ascii="Times New Roman" w:hAnsi="Times New Roman"/>
          <w:caps w:val="0"/>
          <w:highlight w:val="none"/>
          <w:lang w:val="en-US" w:eastAsia="zh-CN"/>
        </w:rPr>
        <w:t xml:space="preserve"> </w:t>
      </w:r>
    </w:p>
    <w:p>
      <w:pPr>
        <w:jc w:val="both"/>
        <w:rPr>
          <w:rFonts w:hint="eastAsia" w:ascii="Times New Roman" w:hAnsi="Times New Roman"/>
          <w:caps w:val="0"/>
          <w:highlight w:val="none"/>
          <w:lang w:val="en-US" w:eastAsia="zh-CN"/>
        </w:rPr>
      </w:pPr>
    </w:p>
    <w:p>
      <w:pPr>
        <w:jc w:val="both"/>
        <w:rPr>
          <w:rFonts w:hint="eastAsia" w:ascii="Times New Roman" w:hAnsi="Times New Roman"/>
          <w:b/>
          <w:bCs/>
          <w:caps w:val="0"/>
          <w:highlight w:val="none"/>
          <w:lang w:val="en-US" w:eastAsia="zh-CN"/>
        </w:rPr>
      </w:pPr>
    </w:p>
    <w:p>
      <w:pPr>
        <w:jc w:val="both"/>
        <w:rPr>
          <w:rFonts w:hint="eastAsia" w:ascii="Times New Roman" w:hAnsi="Times New Roman"/>
          <w:b/>
          <w:bCs/>
          <w:caps w:val="0"/>
          <w:highlight w:val="none"/>
          <w:lang w:val="en-US" w:eastAsia="zh-CN"/>
        </w:rPr>
      </w:pPr>
    </w:p>
    <w:p>
      <w:pPr>
        <w:jc w:val="both"/>
        <w:rPr>
          <w:rFonts w:hint="eastAsia" w:ascii="Times New Roman" w:hAnsi="Times New Roman"/>
          <w:b/>
          <w:bCs/>
          <w:caps w:val="0"/>
          <w:highlight w:val="none"/>
          <w:lang w:val="en-US" w:eastAsia="zh-CN"/>
        </w:rPr>
      </w:pPr>
    </w:p>
    <w:p>
      <w:pPr>
        <w:jc w:val="both"/>
        <w:rPr>
          <w:rFonts w:hint="eastAsia" w:ascii="Times New Roman" w:hAnsi="Times New Roman"/>
          <w:b/>
          <w:bCs/>
          <w:caps w:val="0"/>
          <w:highlight w:val="none"/>
          <w:lang w:val="en-US" w:eastAsia="zh-CN"/>
        </w:rPr>
      </w:pPr>
    </w:p>
    <w:p>
      <w:pPr>
        <w:ind w:left="0" w:leftChars="0" w:firstLine="0" w:firstLineChars="0"/>
        <w:jc w:val="both"/>
        <w:rPr>
          <w:rFonts w:hint="eastAsia" w:ascii="Times New Roman" w:hAnsi="Times New Roman"/>
          <w:b/>
          <w:bCs/>
          <w:caps w:val="0"/>
          <w:highlight w:val="none"/>
          <w:lang w:val="en-US" w:eastAsia="zh-CN"/>
        </w:rPr>
      </w:pPr>
    </w:p>
    <w:p>
      <w:pPr>
        <w:ind w:left="0" w:leftChars="0" w:firstLine="0" w:firstLineChars="0"/>
        <w:jc w:val="center"/>
        <w:rPr>
          <w:rFonts w:hint="default" w:ascii="Times New Roman" w:hAnsi="Times New Roman"/>
          <w:b/>
          <w:bCs/>
          <w:caps w:val="0"/>
          <w:sz w:val="44"/>
          <w:szCs w:val="44"/>
          <w:highlight w:val="none"/>
          <w:lang w:val="en-US" w:eastAsia="zh-CN"/>
        </w:rPr>
      </w:pPr>
      <w:r>
        <w:rPr>
          <w:rFonts w:hint="eastAsia"/>
          <w:b/>
          <w:bCs/>
          <w:caps w:val="0"/>
          <w:sz w:val="44"/>
          <w:szCs w:val="44"/>
          <w:highlight w:val="none"/>
          <w:lang w:val="en-US" w:eastAsia="zh-CN"/>
        </w:rPr>
        <w:t>December ,2022</w:t>
      </w:r>
    </w:p>
    <w:p>
      <w:pPr>
        <w:ind w:left="0" w:leftChars="0" w:firstLine="0" w:firstLineChars="0"/>
        <w:jc w:val="both"/>
        <w:rPr>
          <w:rFonts w:hint="eastAsia" w:ascii="Times New Roman" w:hAnsi="Times New Roman"/>
          <w:b/>
          <w:bCs/>
          <w:caps w:val="0"/>
          <w:highlight w:val="none"/>
          <w:lang w:val="en-US" w:eastAsia="zh-CN"/>
        </w:rPr>
      </w:pPr>
    </w:p>
    <w:p>
      <w:pPr>
        <w:jc w:val="both"/>
        <w:rPr>
          <w:rFonts w:hint="eastAsia" w:ascii="Times New Roman" w:hAnsi="Times New Roman"/>
          <w:b/>
          <w:bCs/>
          <w:caps w:val="0"/>
          <w:sz w:val="24"/>
          <w:szCs w:val="24"/>
          <w:highlight w:val="none"/>
          <w:lang w:val="en-US" w:eastAsia="zh-CN"/>
        </w:rPr>
      </w:pPr>
    </w:p>
    <w:p>
      <w:pPr>
        <w:ind w:left="0" w:leftChars="0" w:firstLine="0" w:firstLineChars="0"/>
        <w:jc w:val="both"/>
        <w:rPr>
          <w:rFonts w:hint="eastAsia"/>
          <w:b/>
          <w:bCs/>
          <w:caps w:val="0"/>
          <w:sz w:val="24"/>
          <w:szCs w:val="24"/>
          <w:highlight w:val="none"/>
          <w:lang w:val="en-US" w:eastAsia="zh-CN"/>
        </w:rPr>
      </w:pPr>
      <w:r>
        <w:rPr>
          <w:rFonts w:hint="eastAsia"/>
          <w:b/>
          <w:bCs/>
          <w:caps w:val="0"/>
          <w:sz w:val="24"/>
          <w:szCs w:val="24"/>
          <w:highlight w:val="none"/>
          <w:lang w:val="en-US" w:eastAsia="zh-CN"/>
        </w:rPr>
        <w:t xml:space="preserve">MOODLE NAME:         Zihe Liu;2203396 </w:t>
      </w:r>
    </w:p>
    <w:p>
      <w:pPr>
        <w:jc w:val="both"/>
        <w:rPr>
          <w:rFonts w:hint="eastAsia"/>
          <w:b/>
          <w:bCs/>
          <w:caps w:val="0"/>
          <w:sz w:val="24"/>
          <w:szCs w:val="24"/>
          <w:highlight w:val="none"/>
          <w:lang w:val="en-US" w:eastAsia="zh-CN"/>
        </w:rPr>
      </w:pPr>
    </w:p>
    <w:p>
      <w:pPr>
        <w:ind w:left="0" w:leftChars="0" w:firstLine="0" w:firstLineChars="0"/>
        <w:jc w:val="both"/>
        <w:rPr>
          <w:rFonts w:hint="default"/>
          <w:b/>
          <w:bCs/>
          <w:caps w:val="0"/>
          <w:sz w:val="24"/>
          <w:szCs w:val="24"/>
          <w:highlight w:val="none"/>
          <w:lang w:val="en-US" w:eastAsia="zh-CN"/>
        </w:rPr>
      </w:pPr>
      <w:r>
        <w:rPr>
          <w:rFonts w:hint="eastAsia"/>
          <w:b/>
          <w:bCs/>
          <w:caps w:val="0"/>
          <w:sz w:val="24"/>
          <w:szCs w:val="24"/>
          <w:highlight w:val="none"/>
          <w:lang w:val="en-US" w:eastAsia="zh-CN"/>
        </w:rPr>
        <w:t>NAME:                  刘子赫（Liu Zihe）</w:t>
      </w:r>
    </w:p>
    <w:p>
      <w:pPr>
        <w:jc w:val="both"/>
        <w:rPr>
          <w:rFonts w:hint="eastAsia" w:ascii="Times New Roman" w:hAnsi="Times New Roman"/>
          <w:b/>
          <w:bCs/>
          <w:caps w:val="0"/>
          <w:sz w:val="24"/>
          <w:szCs w:val="24"/>
          <w:highlight w:val="none"/>
          <w:lang w:val="en-US" w:eastAsia="zh-CN"/>
        </w:rPr>
      </w:pPr>
    </w:p>
    <w:p>
      <w:pPr>
        <w:ind w:left="0" w:leftChars="0" w:firstLine="0" w:firstLineChars="0"/>
        <w:jc w:val="both"/>
        <w:outlineLvl w:val="0"/>
        <w:rPr>
          <w:rFonts w:hint="default" w:ascii="Times New Roman" w:hAnsi="Times New Roman"/>
          <w:b/>
          <w:bCs/>
          <w:caps w:val="0"/>
          <w:sz w:val="24"/>
          <w:szCs w:val="24"/>
          <w:highlight w:val="none"/>
          <w:lang w:val="en-US" w:eastAsia="zh-CN"/>
        </w:rPr>
      </w:pPr>
      <w:bookmarkStart w:id="0" w:name="_Toc30351"/>
      <w:bookmarkStart w:id="1" w:name="_Toc6765"/>
      <w:bookmarkStart w:id="2" w:name="_Toc10837"/>
      <w:bookmarkStart w:id="3" w:name="_Toc23163"/>
      <w:bookmarkStart w:id="4" w:name="_Toc27312"/>
      <w:r>
        <w:rPr>
          <w:rFonts w:hint="eastAsia"/>
          <w:b/>
          <w:bCs/>
          <w:caps w:val="0"/>
          <w:sz w:val="24"/>
          <w:szCs w:val="24"/>
          <w:highlight w:val="none"/>
          <w:lang w:val="en-US" w:eastAsia="zh-CN"/>
        </w:rPr>
        <w:t>STUDENT NUMBER：    2203396</w:t>
      </w:r>
      <w:bookmarkEnd w:id="0"/>
      <w:bookmarkEnd w:id="1"/>
      <w:bookmarkEnd w:id="2"/>
      <w:bookmarkEnd w:id="3"/>
      <w:bookmarkEnd w:id="4"/>
      <w:r>
        <w:rPr>
          <w:rFonts w:hint="eastAsia"/>
          <w:b/>
          <w:bCs/>
          <w:caps w:val="0"/>
          <w:sz w:val="24"/>
          <w:szCs w:val="24"/>
          <w:highlight w:val="none"/>
          <w:lang w:val="en-US" w:eastAsia="zh-CN"/>
        </w:rPr>
        <w:t xml:space="preserve"> </w:t>
      </w:r>
    </w:p>
    <w:p>
      <w:pPr>
        <w:jc w:val="both"/>
        <w:rPr>
          <w:rFonts w:hint="eastAsia" w:ascii="Times New Roman" w:hAnsi="Times New Roman"/>
          <w:b/>
          <w:bCs/>
          <w:caps w:val="0"/>
          <w:highlight w:val="none"/>
          <w:lang w:val="en-US" w:eastAsia="zh-CN"/>
        </w:rPr>
      </w:pPr>
    </w:p>
    <w:p>
      <w:pPr>
        <w:pStyle w:val="9"/>
        <w:tabs>
          <w:tab w:val="right" w:leader="dot" w:pos="8306"/>
        </w:tabs>
        <w:ind w:left="0" w:leftChars="0" w:firstLine="0" w:firstLineChars="0"/>
        <w:rPr>
          <w:highlight w:val="none"/>
        </w:rPr>
        <w:sectPr>
          <w:pgSz w:w="11906" w:h="16838"/>
          <w:pgMar w:top="1440" w:right="1800" w:bottom="1440" w:left="1800" w:header="851" w:footer="992" w:gutter="0"/>
          <w:pgBorders>
            <w:top w:val="none" w:sz="0" w:space="0"/>
            <w:left w:val="none" w:sz="0" w:space="0"/>
            <w:bottom w:val="none" w:sz="0" w:space="0"/>
            <w:right w:val="none" w:sz="0" w:space="0"/>
          </w:pgBorders>
          <w:cols w:space="425" w:num="1"/>
          <w:docGrid w:type="lines" w:linePitch="312" w:charSpace="0"/>
        </w:sectPr>
      </w:pPr>
    </w:p>
    <w:sdt>
      <w:sdtPr>
        <w:rPr>
          <w:rFonts w:ascii="宋体" w:hAnsi="宋体" w:eastAsia="宋体" w:cs="Times New Roman"/>
          <w:kern w:val="2"/>
          <w:sz w:val="21"/>
          <w:highlight w:val="none"/>
        </w:rPr>
        <w:id w:val="147464902"/>
        <w15:color w:val="DBDBDB"/>
        <w:docPartObj>
          <w:docPartGallery w:val="Table of Contents"/>
          <w:docPartUnique/>
        </w:docPartObj>
      </w:sdtPr>
      <w:sdtEndPr>
        <w:rPr>
          <w:rFonts w:ascii="宋体" w:hAnsi="宋体" w:eastAsia="宋体" w:cs="Times New Roman"/>
          <w:kern w:val="2"/>
          <w:sz w:val="21"/>
          <w:highlight w:val="none"/>
        </w:rPr>
      </w:sdtEndPr>
      <w:sdtContent>
        <w:p>
          <w:pPr>
            <w:pStyle w:val="9"/>
            <w:keepNext w:val="0"/>
            <w:keepLines w:val="0"/>
            <w:pageBreakBefore w:val="0"/>
            <w:widowControl/>
            <w:tabs>
              <w:tab w:val="right" w:leader="dot" w:pos="8306"/>
            </w:tabs>
            <w:kinsoku/>
            <w:wordWrap/>
            <w:overflowPunct/>
            <w:topLinePunct w:val="0"/>
            <w:autoSpaceDE/>
            <w:autoSpaceDN/>
            <w:bidi w:val="0"/>
            <w:adjustRightInd/>
            <w:snapToGrid/>
            <w:ind w:firstLine="0" w:firstLineChars="0"/>
            <w:jc w:val="center"/>
            <w:textAlignment w:val="auto"/>
            <w:rPr>
              <w:rFonts w:hint="eastAsia"/>
              <w:b/>
              <w:bCs/>
              <w:sz w:val="28"/>
              <w:szCs w:val="28"/>
              <w:highlight w:val="none"/>
            </w:rPr>
          </w:pPr>
          <w:r>
            <w:rPr>
              <w:rFonts w:hint="eastAsia"/>
              <w:b/>
              <w:bCs/>
              <w:sz w:val="28"/>
              <w:szCs w:val="28"/>
              <w:highlight w:val="none"/>
            </w:rPr>
            <w:t>Table of Contents</w:t>
          </w:r>
        </w:p>
        <w:p>
          <w:pPr>
            <w:spacing w:before="0" w:beforeLines="0" w:after="0" w:afterLines="0" w:line="240" w:lineRule="auto"/>
            <w:ind w:left="0" w:leftChars="0" w:right="0" w:rightChars="0" w:firstLine="0" w:firstLineChars="0"/>
            <w:jc w:val="center"/>
            <w:rPr>
              <w:highlight w:val="none"/>
            </w:rPr>
          </w:pPr>
        </w:p>
        <w:p>
          <w:pPr>
            <w:pStyle w:val="9"/>
            <w:keepNext w:val="0"/>
            <w:keepLines w:val="0"/>
            <w:pageBreakBefore w:val="0"/>
            <w:widowControl/>
            <w:tabs>
              <w:tab w:val="right" w:leader="dot" w:pos="8306"/>
            </w:tabs>
            <w:kinsoku/>
            <w:wordWrap/>
            <w:overflowPunct/>
            <w:topLinePunct w:val="0"/>
            <w:autoSpaceDE/>
            <w:autoSpaceDN/>
            <w:bidi w:val="0"/>
            <w:adjustRightInd/>
            <w:snapToGrid/>
            <w:spacing w:line="240" w:lineRule="auto"/>
            <w:textAlignment w:val="auto"/>
            <w:rPr>
              <w:rFonts w:hint="default" w:ascii="Times New Roman" w:hAnsi="Times New Roman" w:cs="Times New Roman"/>
              <w:highlight w:val="none"/>
            </w:rPr>
          </w:pPr>
          <w:r>
            <w:rPr>
              <w:rFonts w:hint="default" w:ascii="Times New Roman" w:hAnsi="Times New Roman" w:cs="Times New Roman"/>
              <w:sz w:val="24"/>
              <w:szCs w:val="24"/>
              <w:highlight w:val="none"/>
            </w:rPr>
            <w:fldChar w:fldCharType="begin"/>
          </w:r>
          <w:r>
            <w:rPr>
              <w:rFonts w:hint="default" w:ascii="Times New Roman" w:hAnsi="Times New Roman" w:cs="Times New Roman"/>
              <w:sz w:val="24"/>
              <w:szCs w:val="24"/>
              <w:highlight w:val="none"/>
            </w:rPr>
            <w:instrText xml:space="preserve">TOC \o "1-3" \h \u </w:instrText>
          </w:r>
          <w:r>
            <w:rPr>
              <w:rFonts w:hint="default" w:ascii="Times New Roman" w:hAnsi="Times New Roman" w:cs="Times New Roman"/>
              <w:sz w:val="24"/>
              <w:szCs w:val="24"/>
              <w:highlight w:val="none"/>
            </w:rPr>
            <w:fldChar w:fldCharType="separate"/>
          </w:r>
          <w:r>
            <w:rPr>
              <w:rFonts w:hint="default" w:ascii="Times New Roman" w:hAnsi="Times New Roman" w:cs="Times New Roman"/>
              <w:szCs w:val="24"/>
              <w:highlight w:val="none"/>
            </w:rPr>
            <w:fldChar w:fldCharType="begin"/>
          </w:r>
          <w:r>
            <w:rPr>
              <w:rFonts w:hint="default" w:ascii="Times New Roman" w:hAnsi="Times New Roman" w:cs="Times New Roman"/>
              <w:szCs w:val="24"/>
              <w:highlight w:val="none"/>
            </w:rPr>
            <w:instrText xml:space="preserve"> HYPERLINK \l _Toc10709 </w:instrText>
          </w:r>
          <w:r>
            <w:rPr>
              <w:rFonts w:hint="default" w:ascii="Times New Roman" w:hAnsi="Times New Roman" w:cs="Times New Roman"/>
              <w:szCs w:val="24"/>
              <w:highlight w:val="none"/>
            </w:rPr>
            <w:fldChar w:fldCharType="separate"/>
          </w:r>
          <w:r>
            <w:rPr>
              <w:rFonts w:hint="default" w:ascii="Times New Roman" w:hAnsi="Times New Roman" w:cs="Times New Roman"/>
              <w:highlight w:val="none"/>
              <w:lang w:val="en-US" w:eastAsia="zh-CN"/>
            </w:rPr>
            <w:t>1.Introduction</w:t>
          </w:r>
          <w:r>
            <w:rPr>
              <w:rFonts w:hint="default" w:ascii="Times New Roman" w:hAnsi="Times New Roman" w:cs="Times New Roman"/>
              <w:highlight w:val="none"/>
            </w:rPr>
            <w:tab/>
          </w:r>
          <w:r>
            <w:rPr>
              <w:rFonts w:hint="default" w:ascii="Times New Roman" w:hAnsi="Times New Roman" w:cs="Times New Roman"/>
              <w:highlight w:val="none"/>
            </w:rPr>
            <w:fldChar w:fldCharType="begin"/>
          </w:r>
          <w:r>
            <w:rPr>
              <w:rFonts w:hint="default" w:ascii="Times New Roman" w:hAnsi="Times New Roman" w:cs="Times New Roman"/>
              <w:highlight w:val="none"/>
            </w:rPr>
            <w:instrText xml:space="preserve"> PAGEREF _Toc10709 \h </w:instrText>
          </w:r>
          <w:r>
            <w:rPr>
              <w:rFonts w:hint="default" w:ascii="Times New Roman" w:hAnsi="Times New Roman" w:cs="Times New Roman"/>
              <w:highlight w:val="none"/>
            </w:rPr>
            <w:fldChar w:fldCharType="separate"/>
          </w:r>
          <w:r>
            <w:rPr>
              <w:rFonts w:hint="default" w:ascii="Times New Roman" w:hAnsi="Times New Roman" w:cs="Times New Roman"/>
              <w:highlight w:val="none"/>
            </w:rPr>
            <w:t>1</w:t>
          </w:r>
          <w:r>
            <w:rPr>
              <w:rFonts w:hint="default" w:ascii="Times New Roman" w:hAnsi="Times New Roman" w:cs="Times New Roman"/>
              <w:highlight w:val="none"/>
            </w:rPr>
            <w:fldChar w:fldCharType="end"/>
          </w:r>
          <w:r>
            <w:rPr>
              <w:rFonts w:hint="default" w:ascii="Times New Roman" w:hAnsi="Times New Roman" w:cs="Times New Roman"/>
              <w:szCs w:val="24"/>
              <w:highlight w:val="none"/>
            </w:rPr>
            <w:fldChar w:fldCharType="end"/>
          </w:r>
        </w:p>
        <w:p>
          <w:pPr>
            <w:pStyle w:val="6"/>
            <w:keepNext w:val="0"/>
            <w:keepLines w:val="0"/>
            <w:pageBreakBefore w:val="0"/>
            <w:widowControl/>
            <w:tabs>
              <w:tab w:val="right" w:leader="dot" w:pos="8306"/>
            </w:tabs>
            <w:kinsoku/>
            <w:wordWrap/>
            <w:overflowPunct/>
            <w:topLinePunct w:val="0"/>
            <w:autoSpaceDE/>
            <w:autoSpaceDN/>
            <w:bidi w:val="0"/>
            <w:adjustRightInd/>
            <w:snapToGrid/>
            <w:spacing w:line="240" w:lineRule="auto"/>
            <w:textAlignment w:val="auto"/>
            <w:rPr>
              <w:rFonts w:hint="default" w:ascii="Times New Roman" w:hAnsi="Times New Roman" w:cs="Times New Roman"/>
              <w:highlight w:val="none"/>
            </w:rPr>
          </w:pPr>
          <w:r>
            <w:rPr>
              <w:rFonts w:hint="default" w:ascii="Times New Roman" w:hAnsi="Times New Roman" w:cs="Times New Roman"/>
              <w:szCs w:val="24"/>
              <w:highlight w:val="none"/>
            </w:rPr>
            <w:fldChar w:fldCharType="begin"/>
          </w:r>
          <w:r>
            <w:rPr>
              <w:rFonts w:hint="default" w:ascii="Times New Roman" w:hAnsi="Times New Roman" w:cs="Times New Roman"/>
              <w:szCs w:val="24"/>
              <w:highlight w:val="none"/>
            </w:rPr>
            <w:instrText xml:space="preserve"> HYPERLINK \l _Toc28920 </w:instrText>
          </w:r>
          <w:r>
            <w:rPr>
              <w:rFonts w:hint="default" w:ascii="Times New Roman" w:hAnsi="Times New Roman" w:cs="Times New Roman"/>
              <w:szCs w:val="24"/>
              <w:highlight w:val="none"/>
            </w:rPr>
            <w:fldChar w:fldCharType="separate"/>
          </w:r>
          <w:r>
            <w:rPr>
              <w:rFonts w:hint="default" w:ascii="Times New Roman" w:hAnsi="Times New Roman" w:cs="Times New Roman"/>
              <w:szCs w:val="24"/>
              <w:highlight w:val="none"/>
              <w:lang w:val="en-US" w:eastAsia="zh-CN"/>
            </w:rPr>
            <w:t>Table 1-1 BYD basic information</w:t>
          </w:r>
          <w:r>
            <w:rPr>
              <w:rFonts w:hint="default" w:ascii="Times New Roman" w:hAnsi="Times New Roman" w:cs="Times New Roman"/>
              <w:highlight w:val="none"/>
            </w:rPr>
            <w:tab/>
          </w:r>
          <w:r>
            <w:rPr>
              <w:rFonts w:hint="default" w:ascii="Times New Roman" w:hAnsi="Times New Roman" w:cs="Times New Roman"/>
              <w:highlight w:val="none"/>
            </w:rPr>
            <w:fldChar w:fldCharType="begin"/>
          </w:r>
          <w:r>
            <w:rPr>
              <w:rFonts w:hint="default" w:ascii="Times New Roman" w:hAnsi="Times New Roman" w:cs="Times New Roman"/>
              <w:highlight w:val="none"/>
            </w:rPr>
            <w:instrText xml:space="preserve"> PAGEREF _Toc28920 \h </w:instrText>
          </w:r>
          <w:r>
            <w:rPr>
              <w:rFonts w:hint="default" w:ascii="Times New Roman" w:hAnsi="Times New Roman" w:cs="Times New Roman"/>
              <w:highlight w:val="none"/>
            </w:rPr>
            <w:fldChar w:fldCharType="separate"/>
          </w:r>
          <w:r>
            <w:rPr>
              <w:rFonts w:hint="default" w:ascii="Times New Roman" w:hAnsi="Times New Roman" w:cs="Times New Roman"/>
              <w:highlight w:val="none"/>
            </w:rPr>
            <w:t>2</w:t>
          </w:r>
          <w:r>
            <w:rPr>
              <w:rFonts w:hint="default" w:ascii="Times New Roman" w:hAnsi="Times New Roman" w:cs="Times New Roman"/>
              <w:highlight w:val="none"/>
            </w:rPr>
            <w:fldChar w:fldCharType="end"/>
          </w:r>
          <w:r>
            <w:rPr>
              <w:rFonts w:hint="default" w:ascii="Times New Roman" w:hAnsi="Times New Roman" w:cs="Times New Roman"/>
              <w:szCs w:val="24"/>
              <w:highlight w:val="none"/>
            </w:rPr>
            <w:fldChar w:fldCharType="end"/>
          </w:r>
        </w:p>
        <w:p>
          <w:pPr>
            <w:pStyle w:val="9"/>
            <w:keepNext w:val="0"/>
            <w:keepLines w:val="0"/>
            <w:pageBreakBefore w:val="0"/>
            <w:widowControl/>
            <w:tabs>
              <w:tab w:val="right" w:leader="dot" w:pos="8306"/>
            </w:tabs>
            <w:kinsoku/>
            <w:wordWrap/>
            <w:overflowPunct/>
            <w:topLinePunct w:val="0"/>
            <w:autoSpaceDE/>
            <w:autoSpaceDN/>
            <w:bidi w:val="0"/>
            <w:adjustRightInd/>
            <w:snapToGrid/>
            <w:spacing w:line="240" w:lineRule="auto"/>
            <w:textAlignment w:val="auto"/>
            <w:rPr>
              <w:rFonts w:hint="default" w:ascii="Times New Roman" w:hAnsi="Times New Roman" w:cs="Times New Roman"/>
              <w:highlight w:val="none"/>
            </w:rPr>
          </w:pPr>
          <w:r>
            <w:rPr>
              <w:rFonts w:hint="default" w:ascii="Times New Roman" w:hAnsi="Times New Roman" w:cs="Times New Roman"/>
              <w:szCs w:val="24"/>
              <w:highlight w:val="none"/>
            </w:rPr>
            <w:fldChar w:fldCharType="begin"/>
          </w:r>
          <w:r>
            <w:rPr>
              <w:rFonts w:hint="default" w:ascii="Times New Roman" w:hAnsi="Times New Roman" w:cs="Times New Roman"/>
              <w:szCs w:val="24"/>
              <w:highlight w:val="none"/>
            </w:rPr>
            <w:instrText xml:space="preserve"> HYPERLINK \l _Toc17289 </w:instrText>
          </w:r>
          <w:r>
            <w:rPr>
              <w:rFonts w:hint="default" w:ascii="Times New Roman" w:hAnsi="Times New Roman" w:cs="Times New Roman"/>
              <w:szCs w:val="24"/>
              <w:highlight w:val="none"/>
            </w:rPr>
            <w:fldChar w:fldCharType="separate"/>
          </w:r>
          <w:r>
            <w:rPr>
              <w:rFonts w:hint="default" w:ascii="Times New Roman" w:hAnsi="Times New Roman" w:cs="Times New Roman"/>
              <w:highlight w:val="none"/>
              <w:lang w:val="en-US" w:eastAsia="zh-CN"/>
            </w:rPr>
            <w:t>2. An examination of the macroscopic environment utilising the PEST model</w:t>
          </w:r>
          <w:r>
            <w:rPr>
              <w:rFonts w:hint="default" w:ascii="Times New Roman" w:hAnsi="Times New Roman" w:cs="Times New Roman"/>
              <w:highlight w:val="none"/>
            </w:rPr>
            <w:tab/>
          </w:r>
          <w:r>
            <w:rPr>
              <w:rFonts w:hint="default" w:ascii="Times New Roman" w:hAnsi="Times New Roman" w:cs="Times New Roman"/>
              <w:highlight w:val="none"/>
            </w:rPr>
            <w:fldChar w:fldCharType="begin"/>
          </w:r>
          <w:r>
            <w:rPr>
              <w:rFonts w:hint="default" w:ascii="Times New Roman" w:hAnsi="Times New Roman" w:cs="Times New Roman"/>
              <w:highlight w:val="none"/>
            </w:rPr>
            <w:instrText xml:space="preserve"> PAGEREF _Toc17289 \h </w:instrText>
          </w:r>
          <w:r>
            <w:rPr>
              <w:rFonts w:hint="default" w:ascii="Times New Roman" w:hAnsi="Times New Roman" w:cs="Times New Roman"/>
              <w:highlight w:val="none"/>
            </w:rPr>
            <w:fldChar w:fldCharType="separate"/>
          </w:r>
          <w:r>
            <w:rPr>
              <w:rFonts w:hint="default" w:ascii="Times New Roman" w:hAnsi="Times New Roman" w:cs="Times New Roman"/>
              <w:highlight w:val="none"/>
            </w:rPr>
            <w:t>3</w:t>
          </w:r>
          <w:r>
            <w:rPr>
              <w:rFonts w:hint="default" w:ascii="Times New Roman" w:hAnsi="Times New Roman" w:cs="Times New Roman"/>
              <w:highlight w:val="none"/>
            </w:rPr>
            <w:fldChar w:fldCharType="end"/>
          </w:r>
          <w:r>
            <w:rPr>
              <w:rFonts w:hint="default" w:ascii="Times New Roman" w:hAnsi="Times New Roman" w:cs="Times New Roman"/>
              <w:szCs w:val="24"/>
              <w:highlight w:val="none"/>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240" w:lineRule="auto"/>
            <w:textAlignment w:val="auto"/>
            <w:rPr>
              <w:rFonts w:hint="default" w:ascii="Times New Roman" w:hAnsi="Times New Roman" w:cs="Times New Roman"/>
              <w:highlight w:val="none"/>
            </w:rPr>
          </w:pPr>
          <w:r>
            <w:rPr>
              <w:rFonts w:hint="default" w:ascii="Times New Roman" w:hAnsi="Times New Roman" w:cs="Times New Roman"/>
              <w:szCs w:val="24"/>
              <w:highlight w:val="none"/>
            </w:rPr>
            <w:fldChar w:fldCharType="begin"/>
          </w:r>
          <w:r>
            <w:rPr>
              <w:rFonts w:hint="default" w:ascii="Times New Roman" w:hAnsi="Times New Roman" w:cs="Times New Roman"/>
              <w:szCs w:val="24"/>
              <w:highlight w:val="none"/>
            </w:rPr>
            <w:instrText xml:space="preserve"> HYPERLINK \l _Toc29398 </w:instrText>
          </w:r>
          <w:r>
            <w:rPr>
              <w:rFonts w:hint="default" w:ascii="Times New Roman" w:hAnsi="Times New Roman" w:cs="Times New Roman"/>
              <w:szCs w:val="24"/>
              <w:highlight w:val="none"/>
            </w:rPr>
            <w:fldChar w:fldCharType="separate"/>
          </w:r>
          <w:r>
            <w:rPr>
              <w:rFonts w:hint="default" w:ascii="Times New Roman" w:hAnsi="Times New Roman" w:cs="Times New Roman"/>
              <w:highlight w:val="none"/>
              <w:lang w:val="en-US" w:eastAsia="zh-CN"/>
            </w:rPr>
            <w:t>2.1.Political environment</w:t>
          </w:r>
          <w:r>
            <w:rPr>
              <w:rFonts w:hint="default" w:ascii="Times New Roman" w:hAnsi="Times New Roman" w:cs="Times New Roman"/>
              <w:highlight w:val="none"/>
            </w:rPr>
            <w:tab/>
          </w:r>
          <w:r>
            <w:rPr>
              <w:rFonts w:hint="default" w:ascii="Times New Roman" w:hAnsi="Times New Roman" w:cs="Times New Roman"/>
              <w:highlight w:val="none"/>
            </w:rPr>
            <w:fldChar w:fldCharType="begin"/>
          </w:r>
          <w:r>
            <w:rPr>
              <w:rFonts w:hint="default" w:ascii="Times New Roman" w:hAnsi="Times New Roman" w:cs="Times New Roman"/>
              <w:highlight w:val="none"/>
            </w:rPr>
            <w:instrText xml:space="preserve"> PAGEREF _Toc29398 \h </w:instrText>
          </w:r>
          <w:r>
            <w:rPr>
              <w:rFonts w:hint="default" w:ascii="Times New Roman" w:hAnsi="Times New Roman" w:cs="Times New Roman"/>
              <w:highlight w:val="none"/>
            </w:rPr>
            <w:fldChar w:fldCharType="separate"/>
          </w:r>
          <w:r>
            <w:rPr>
              <w:rFonts w:hint="default" w:ascii="Times New Roman" w:hAnsi="Times New Roman" w:cs="Times New Roman"/>
              <w:highlight w:val="none"/>
            </w:rPr>
            <w:t>3</w:t>
          </w:r>
          <w:r>
            <w:rPr>
              <w:rFonts w:hint="default" w:ascii="Times New Roman" w:hAnsi="Times New Roman" w:cs="Times New Roman"/>
              <w:highlight w:val="none"/>
            </w:rPr>
            <w:fldChar w:fldCharType="end"/>
          </w:r>
          <w:r>
            <w:rPr>
              <w:rFonts w:hint="default" w:ascii="Times New Roman" w:hAnsi="Times New Roman" w:cs="Times New Roman"/>
              <w:szCs w:val="24"/>
              <w:highlight w:val="none"/>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240" w:lineRule="auto"/>
            <w:textAlignment w:val="auto"/>
            <w:rPr>
              <w:rFonts w:hint="default" w:ascii="Times New Roman" w:hAnsi="Times New Roman" w:cs="Times New Roman"/>
              <w:highlight w:val="none"/>
            </w:rPr>
          </w:pPr>
          <w:r>
            <w:rPr>
              <w:rFonts w:hint="default" w:ascii="Times New Roman" w:hAnsi="Times New Roman" w:cs="Times New Roman"/>
              <w:szCs w:val="24"/>
              <w:highlight w:val="none"/>
            </w:rPr>
            <w:fldChar w:fldCharType="begin"/>
          </w:r>
          <w:r>
            <w:rPr>
              <w:rFonts w:hint="default" w:ascii="Times New Roman" w:hAnsi="Times New Roman" w:cs="Times New Roman"/>
              <w:szCs w:val="24"/>
              <w:highlight w:val="none"/>
            </w:rPr>
            <w:instrText xml:space="preserve"> HYPERLINK \l _Toc21282 </w:instrText>
          </w:r>
          <w:r>
            <w:rPr>
              <w:rFonts w:hint="default" w:ascii="Times New Roman" w:hAnsi="Times New Roman" w:cs="Times New Roman"/>
              <w:szCs w:val="24"/>
              <w:highlight w:val="none"/>
            </w:rPr>
            <w:fldChar w:fldCharType="separate"/>
          </w:r>
          <w:r>
            <w:rPr>
              <w:rFonts w:hint="default" w:ascii="Times New Roman" w:hAnsi="Times New Roman" w:cs="Times New Roman"/>
              <w:highlight w:val="none"/>
              <w:lang w:val="en-US" w:eastAsia="zh-CN"/>
            </w:rPr>
            <w:t>2.2 Economic environment</w:t>
          </w:r>
          <w:r>
            <w:rPr>
              <w:rFonts w:hint="default" w:ascii="Times New Roman" w:hAnsi="Times New Roman" w:cs="Times New Roman"/>
              <w:highlight w:val="none"/>
            </w:rPr>
            <w:tab/>
          </w:r>
          <w:r>
            <w:rPr>
              <w:rFonts w:hint="default" w:ascii="Times New Roman" w:hAnsi="Times New Roman" w:cs="Times New Roman"/>
              <w:highlight w:val="none"/>
            </w:rPr>
            <w:fldChar w:fldCharType="begin"/>
          </w:r>
          <w:r>
            <w:rPr>
              <w:rFonts w:hint="default" w:ascii="Times New Roman" w:hAnsi="Times New Roman" w:cs="Times New Roman"/>
              <w:highlight w:val="none"/>
            </w:rPr>
            <w:instrText xml:space="preserve"> PAGEREF _Toc21282 \h </w:instrText>
          </w:r>
          <w:r>
            <w:rPr>
              <w:rFonts w:hint="default" w:ascii="Times New Roman" w:hAnsi="Times New Roman" w:cs="Times New Roman"/>
              <w:highlight w:val="none"/>
            </w:rPr>
            <w:fldChar w:fldCharType="separate"/>
          </w:r>
          <w:r>
            <w:rPr>
              <w:rFonts w:hint="default" w:ascii="Times New Roman" w:hAnsi="Times New Roman" w:cs="Times New Roman"/>
              <w:highlight w:val="none"/>
            </w:rPr>
            <w:t>4</w:t>
          </w:r>
          <w:r>
            <w:rPr>
              <w:rFonts w:hint="default" w:ascii="Times New Roman" w:hAnsi="Times New Roman" w:cs="Times New Roman"/>
              <w:highlight w:val="none"/>
            </w:rPr>
            <w:fldChar w:fldCharType="end"/>
          </w:r>
          <w:r>
            <w:rPr>
              <w:rFonts w:hint="default" w:ascii="Times New Roman" w:hAnsi="Times New Roman" w:cs="Times New Roman"/>
              <w:szCs w:val="24"/>
              <w:highlight w:val="none"/>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240" w:lineRule="auto"/>
            <w:textAlignment w:val="auto"/>
            <w:rPr>
              <w:rFonts w:hint="default" w:ascii="Times New Roman" w:hAnsi="Times New Roman" w:cs="Times New Roman"/>
              <w:highlight w:val="none"/>
            </w:rPr>
          </w:pPr>
          <w:r>
            <w:rPr>
              <w:rFonts w:hint="default" w:ascii="Times New Roman" w:hAnsi="Times New Roman" w:cs="Times New Roman"/>
              <w:szCs w:val="24"/>
              <w:highlight w:val="none"/>
            </w:rPr>
            <w:fldChar w:fldCharType="begin"/>
          </w:r>
          <w:r>
            <w:rPr>
              <w:rFonts w:hint="default" w:ascii="Times New Roman" w:hAnsi="Times New Roman" w:cs="Times New Roman"/>
              <w:szCs w:val="24"/>
              <w:highlight w:val="none"/>
            </w:rPr>
            <w:instrText xml:space="preserve"> HYPERLINK \l _Toc32277 </w:instrText>
          </w:r>
          <w:r>
            <w:rPr>
              <w:rFonts w:hint="default" w:ascii="Times New Roman" w:hAnsi="Times New Roman" w:cs="Times New Roman"/>
              <w:szCs w:val="24"/>
              <w:highlight w:val="none"/>
            </w:rPr>
            <w:fldChar w:fldCharType="separate"/>
          </w:r>
          <w:r>
            <w:rPr>
              <w:rFonts w:hint="default" w:ascii="Times New Roman" w:hAnsi="Times New Roman" w:cs="Times New Roman"/>
              <w:highlight w:val="none"/>
              <w:lang w:val="en-US" w:eastAsia="zh-CN"/>
            </w:rPr>
            <w:t>2.3.Social environment</w:t>
          </w:r>
          <w:r>
            <w:rPr>
              <w:rFonts w:hint="default" w:ascii="Times New Roman" w:hAnsi="Times New Roman" w:cs="Times New Roman"/>
              <w:highlight w:val="none"/>
            </w:rPr>
            <w:tab/>
          </w:r>
          <w:r>
            <w:rPr>
              <w:rFonts w:hint="default" w:ascii="Times New Roman" w:hAnsi="Times New Roman" w:cs="Times New Roman"/>
              <w:highlight w:val="none"/>
            </w:rPr>
            <w:fldChar w:fldCharType="begin"/>
          </w:r>
          <w:r>
            <w:rPr>
              <w:rFonts w:hint="default" w:ascii="Times New Roman" w:hAnsi="Times New Roman" w:cs="Times New Roman"/>
              <w:highlight w:val="none"/>
            </w:rPr>
            <w:instrText xml:space="preserve"> PAGEREF _Toc32277 \h </w:instrText>
          </w:r>
          <w:r>
            <w:rPr>
              <w:rFonts w:hint="default" w:ascii="Times New Roman" w:hAnsi="Times New Roman" w:cs="Times New Roman"/>
              <w:highlight w:val="none"/>
            </w:rPr>
            <w:fldChar w:fldCharType="separate"/>
          </w:r>
          <w:r>
            <w:rPr>
              <w:rFonts w:hint="default" w:ascii="Times New Roman" w:hAnsi="Times New Roman" w:cs="Times New Roman"/>
              <w:highlight w:val="none"/>
            </w:rPr>
            <w:t>4</w:t>
          </w:r>
          <w:r>
            <w:rPr>
              <w:rFonts w:hint="default" w:ascii="Times New Roman" w:hAnsi="Times New Roman" w:cs="Times New Roman"/>
              <w:highlight w:val="none"/>
            </w:rPr>
            <w:fldChar w:fldCharType="end"/>
          </w:r>
          <w:r>
            <w:rPr>
              <w:rFonts w:hint="default" w:ascii="Times New Roman" w:hAnsi="Times New Roman" w:cs="Times New Roman"/>
              <w:szCs w:val="24"/>
              <w:highlight w:val="none"/>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240" w:lineRule="auto"/>
            <w:textAlignment w:val="auto"/>
            <w:rPr>
              <w:rFonts w:hint="default" w:ascii="Times New Roman" w:hAnsi="Times New Roman" w:cs="Times New Roman"/>
              <w:highlight w:val="none"/>
            </w:rPr>
          </w:pPr>
          <w:r>
            <w:rPr>
              <w:rFonts w:hint="default" w:ascii="Times New Roman" w:hAnsi="Times New Roman" w:cs="Times New Roman"/>
              <w:szCs w:val="24"/>
              <w:highlight w:val="none"/>
            </w:rPr>
            <w:fldChar w:fldCharType="begin"/>
          </w:r>
          <w:r>
            <w:rPr>
              <w:rFonts w:hint="default" w:ascii="Times New Roman" w:hAnsi="Times New Roman" w:cs="Times New Roman"/>
              <w:szCs w:val="24"/>
              <w:highlight w:val="none"/>
            </w:rPr>
            <w:instrText xml:space="preserve"> HYPERLINK \l _Toc5735 </w:instrText>
          </w:r>
          <w:r>
            <w:rPr>
              <w:rFonts w:hint="default" w:ascii="Times New Roman" w:hAnsi="Times New Roman" w:cs="Times New Roman"/>
              <w:szCs w:val="24"/>
              <w:highlight w:val="none"/>
            </w:rPr>
            <w:fldChar w:fldCharType="separate"/>
          </w:r>
          <w:r>
            <w:rPr>
              <w:rFonts w:hint="default" w:ascii="Times New Roman" w:hAnsi="Times New Roman" w:cs="Times New Roman"/>
              <w:highlight w:val="none"/>
              <w:lang w:val="en-US" w:eastAsia="zh-CN"/>
            </w:rPr>
            <w:t>2.4.Technical environment</w:t>
          </w:r>
          <w:r>
            <w:rPr>
              <w:rFonts w:hint="default" w:ascii="Times New Roman" w:hAnsi="Times New Roman" w:cs="Times New Roman"/>
              <w:highlight w:val="none"/>
            </w:rPr>
            <w:tab/>
          </w:r>
          <w:r>
            <w:rPr>
              <w:rFonts w:hint="default" w:ascii="Times New Roman" w:hAnsi="Times New Roman" w:cs="Times New Roman"/>
              <w:highlight w:val="none"/>
            </w:rPr>
            <w:fldChar w:fldCharType="begin"/>
          </w:r>
          <w:r>
            <w:rPr>
              <w:rFonts w:hint="default" w:ascii="Times New Roman" w:hAnsi="Times New Roman" w:cs="Times New Roman"/>
              <w:highlight w:val="none"/>
            </w:rPr>
            <w:instrText xml:space="preserve"> PAGEREF _Toc5735 \h </w:instrText>
          </w:r>
          <w:r>
            <w:rPr>
              <w:rFonts w:hint="default" w:ascii="Times New Roman" w:hAnsi="Times New Roman" w:cs="Times New Roman"/>
              <w:highlight w:val="none"/>
            </w:rPr>
            <w:fldChar w:fldCharType="separate"/>
          </w:r>
          <w:r>
            <w:rPr>
              <w:rFonts w:hint="default" w:ascii="Times New Roman" w:hAnsi="Times New Roman" w:cs="Times New Roman"/>
              <w:highlight w:val="none"/>
            </w:rPr>
            <w:t>6</w:t>
          </w:r>
          <w:r>
            <w:rPr>
              <w:rFonts w:hint="default" w:ascii="Times New Roman" w:hAnsi="Times New Roman" w:cs="Times New Roman"/>
              <w:highlight w:val="none"/>
            </w:rPr>
            <w:fldChar w:fldCharType="end"/>
          </w:r>
          <w:r>
            <w:rPr>
              <w:rFonts w:hint="default" w:ascii="Times New Roman" w:hAnsi="Times New Roman" w:cs="Times New Roman"/>
              <w:szCs w:val="24"/>
              <w:highlight w:val="none"/>
            </w:rPr>
            <w:fldChar w:fldCharType="end"/>
          </w:r>
        </w:p>
        <w:p>
          <w:pPr>
            <w:pStyle w:val="9"/>
            <w:keepNext w:val="0"/>
            <w:keepLines w:val="0"/>
            <w:pageBreakBefore w:val="0"/>
            <w:widowControl/>
            <w:tabs>
              <w:tab w:val="right" w:leader="dot" w:pos="8306"/>
            </w:tabs>
            <w:kinsoku/>
            <w:wordWrap/>
            <w:overflowPunct/>
            <w:topLinePunct w:val="0"/>
            <w:autoSpaceDE/>
            <w:autoSpaceDN/>
            <w:bidi w:val="0"/>
            <w:adjustRightInd/>
            <w:snapToGrid/>
            <w:spacing w:line="240" w:lineRule="auto"/>
            <w:textAlignment w:val="auto"/>
            <w:rPr>
              <w:rFonts w:hint="default" w:ascii="Times New Roman" w:hAnsi="Times New Roman" w:cs="Times New Roman"/>
              <w:highlight w:val="none"/>
            </w:rPr>
          </w:pPr>
          <w:r>
            <w:rPr>
              <w:rFonts w:hint="default" w:ascii="Times New Roman" w:hAnsi="Times New Roman" w:cs="Times New Roman"/>
              <w:szCs w:val="24"/>
              <w:highlight w:val="none"/>
            </w:rPr>
            <w:fldChar w:fldCharType="begin"/>
          </w:r>
          <w:r>
            <w:rPr>
              <w:rFonts w:hint="default" w:ascii="Times New Roman" w:hAnsi="Times New Roman" w:cs="Times New Roman"/>
              <w:szCs w:val="24"/>
              <w:highlight w:val="none"/>
            </w:rPr>
            <w:instrText xml:space="preserve"> HYPERLINK \l _Toc19426 </w:instrText>
          </w:r>
          <w:r>
            <w:rPr>
              <w:rFonts w:hint="default" w:ascii="Times New Roman" w:hAnsi="Times New Roman" w:cs="Times New Roman"/>
              <w:szCs w:val="24"/>
              <w:highlight w:val="none"/>
            </w:rPr>
            <w:fldChar w:fldCharType="separate"/>
          </w:r>
          <w:r>
            <w:rPr>
              <w:rFonts w:hint="default" w:ascii="Times New Roman" w:hAnsi="Times New Roman" w:cs="Times New Roman"/>
              <w:highlight w:val="none"/>
              <w:lang w:val="en-US" w:eastAsia="zh-CN"/>
            </w:rPr>
            <w:t>3. Industry environment analysis based on the Porter's five-force model</w:t>
          </w:r>
          <w:r>
            <w:rPr>
              <w:rFonts w:hint="default" w:ascii="Times New Roman" w:hAnsi="Times New Roman" w:cs="Times New Roman"/>
              <w:highlight w:val="none"/>
            </w:rPr>
            <w:tab/>
          </w:r>
          <w:r>
            <w:rPr>
              <w:rFonts w:hint="default" w:ascii="Times New Roman" w:hAnsi="Times New Roman" w:cs="Times New Roman"/>
              <w:highlight w:val="none"/>
            </w:rPr>
            <w:fldChar w:fldCharType="begin"/>
          </w:r>
          <w:r>
            <w:rPr>
              <w:rFonts w:hint="default" w:ascii="Times New Roman" w:hAnsi="Times New Roman" w:cs="Times New Roman"/>
              <w:highlight w:val="none"/>
            </w:rPr>
            <w:instrText xml:space="preserve"> PAGEREF _Toc19426 \h </w:instrText>
          </w:r>
          <w:r>
            <w:rPr>
              <w:rFonts w:hint="default" w:ascii="Times New Roman" w:hAnsi="Times New Roman" w:cs="Times New Roman"/>
              <w:highlight w:val="none"/>
            </w:rPr>
            <w:fldChar w:fldCharType="separate"/>
          </w:r>
          <w:r>
            <w:rPr>
              <w:rFonts w:hint="default" w:ascii="Times New Roman" w:hAnsi="Times New Roman" w:cs="Times New Roman"/>
              <w:highlight w:val="none"/>
            </w:rPr>
            <w:t>8</w:t>
          </w:r>
          <w:r>
            <w:rPr>
              <w:rFonts w:hint="default" w:ascii="Times New Roman" w:hAnsi="Times New Roman" w:cs="Times New Roman"/>
              <w:highlight w:val="none"/>
            </w:rPr>
            <w:fldChar w:fldCharType="end"/>
          </w:r>
          <w:r>
            <w:rPr>
              <w:rFonts w:hint="default" w:ascii="Times New Roman" w:hAnsi="Times New Roman" w:cs="Times New Roman"/>
              <w:szCs w:val="24"/>
              <w:highlight w:val="none"/>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240" w:lineRule="auto"/>
            <w:textAlignment w:val="auto"/>
            <w:rPr>
              <w:rFonts w:hint="default" w:ascii="Times New Roman" w:hAnsi="Times New Roman" w:cs="Times New Roman"/>
              <w:highlight w:val="none"/>
            </w:rPr>
          </w:pPr>
          <w:r>
            <w:rPr>
              <w:rFonts w:hint="default" w:ascii="Times New Roman" w:hAnsi="Times New Roman" w:cs="Times New Roman"/>
              <w:szCs w:val="24"/>
              <w:highlight w:val="none"/>
            </w:rPr>
            <w:fldChar w:fldCharType="begin"/>
          </w:r>
          <w:r>
            <w:rPr>
              <w:rFonts w:hint="default" w:ascii="Times New Roman" w:hAnsi="Times New Roman" w:cs="Times New Roman"/>
              <w:szCs w:val="24"/>
              <w:highlight w:val="none"/>
            </w:rPr>
            <w:instrText xml:space="preserve"> HYPERLINK \l _Toc4680 </w:instrText>
          </w:r>
          <w:r>
            <w:rPr>
              <w:rFonts w:hint="default" w:ascii="Times New Roman" w:hAnsi="Times New Roman" w:cs="Times New Roman"/>
              <w:szCs w:val="24"/>
              <w:highlight w:val="none"/>
            </w:rPr>
            <w:fldChar w:fldCharType="separate"/>
          </w:r>
          <w:r>
            <w:rPr>
              <w:rFonts w:hint="default" w:ascii="Times New Roman" w:hAnsi="Times New Roman" w:cs="Times New Roman"/>
              <w:highlight w:val="none"/>
              <w:lang w:val="en-US" w:eastAsia="zh-CN"/>
            </w:rPr>
            <w:t>3.1.Supplier's bargaining power</w:t>
          </w:r>
          <w:r>
            <w:rPr>
              <w:rFonts w:hint="default" w:ascii="Times New Roman" w:hAnsi="Times New Roman" w:cs="Times New Roman"/>
              <w:highlight w:val="none"/>
            </w:rPr>
            <w:tab/>
          </w:r>
          <w:r>
            <w:rPr>
              <w:rFonts w:hint="default" w:ascii="Times New Roman" w:hAnsi="Times New Roman" w:cs="Times New Roman"/>
              <w:highlight w:val="none"/>
            </w:rPr>
            <w:fldChar w:fldCharType="begin"/>
          </w:r>
          <w:r>
            <w:rPr>
              <w:rFonts w:hint="default" w:ascii="Times New Roman" w:hAnsi="Times New Roman" w:cs="Times New Roman"/>
              <w:highlight w:val="none"/>
            </w:rPr>
            <w:instrText xml:space="preserve"> PAGEREF _Toc4680 \h </w:instrText>
          </w:r>
          <w:r>
            <w:rPr>
              <w:rFonts w:hint="default" w:ascii="Times New Roman" w:hAnsi="Times New Roman" w:cs="Times New Roman"/>
              <w:highlight w:val="none"/>
            </w:rPr>
            <w:fldChar w:fldCharType="separate"/>
          </w:r>
          <w:r>
            <w:rPr>
              <w:rFonts w:hint="default" w:ascii="Times New Roman" w:hAnsi="Times New Roman" w:cs="Times New Roman"/>
              <w:highlight w:val="none"/>
            </w:rPr>
            <w:t>8</w:t>
          </w:r>
          <w:r>
            <w:rPr>
              <w:rFonts w:hint="default" w:ascii="Times New Roman" w:hAnsi="Times New Roman" w:cs="Times New Roman"/>
              <w:highlight w:val="none"/>
            </w:rPr>
            <w:fldChar w:fldCharType="end"/>
          </w:r>
          <w:r>
            <w:rPr>
              <w:rFonts w:hint="default" w:ascii="Times New Roman" w:hAnsi="Times New Roman" w:cs="Times New Roman"/>
              <w:szCs w:val="24"/>
              <w:highlight w:val="none"/>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240" w:lineRule="auto"/>
            <w:textAlignment w:val="auto"/>
            <w:rPr>
              <w:rFonts w:hint="default" w:ascii="Times New Roman" w:hAnsi="Times New Roman" w:cs="Times New Roman"/>
              <w:highlight w:val="none"/>
            </w:rPr>
          </w:pPr>
          <w:r>
            <w:rPr>
              <w:rFonts w:hint="default" w:ascii="Times New Roman" w:hAnsi="Times New Roman" w:cs="Times New Roman"/>
              <w:szCs w:val="24"/>
              <w:highlight w:val="none"/>
            </w:rPr>
            <w:fldChar w:fldCharType="begin"/>
          </w:r>
          <w:r>
            <w:rPr>
              <w:rFonts w:hint="default" w:ascii="Times New Roman" w:hAnsi="Times New Roman" w:cs="Times New Roman"/>
              <w:szCs w:val="24"/>
              <w:highlight w:val="none"/>
            </w:rPr>
            <w:instrText xml:space="preserve"> HYPERLINK \l _Toc9216 </w:instrText>
          </w:r>
          <w:r>
            <w:rPr>
              <w:rFonts w:hint="default" w:ascii="Times New Roman" w:hAnsi="Times New Roman" w:cs="Times New Roman"/>
              <w:szCs w:val="24"/>
              <w:highlight w:val="none"/>
            </w:rPr>
            <w:fldChar w:fldCharType="separate"/>
          </w:r>
          <w:r>
            <w:rPr>
              <w:rFonts w:hint="default" w:ascii="Times New Roman" w:hAnsi="Times New Roman" w:cs="Times New Roman"/>
              <w:highlight w:val="none"/>
              <w:lang w:val="en-US" w:eastAsia="zh-CN"/>
            </w:rPr>
            <w:t>3.2.The bargaining power of the purchaser</w:t>
          </w:r>
          <w:r>
            <w:rPr>
              <w:rFonts w:hint="default" w:ascii="Times New Roman" w:hAnsi="Times New Roman" w:cs="Times New Roman"/>
              <w:highlight w:val="none"/>
            </w:rPr>
            <w:tab/>
          </w:r>
          <w:r>
            <w:rPr>
              <w:rFonts w:hint="default" w:ascii="Times New Roman" w:hAnsi="Times New Roman" w:cs="Times New Roman"/>
              <w:highlight w:val="none"/>
            </w:rPr>
            <w:fldChar w:fldCharType="begin"/>
          </w:r>
          <w:r>
            <w:rPr>
              <w:rFonts w:hint="default" w:ascii="Times New Roman" w:hAnsi="Times New Roman" w:cs="Times New Roman"/>
              <w:highlight w:val="none"/>
            </w:rPr>
            <w:instrText xml:space="preserve"> PAGEREF _Toc9216 \h </w:instrText>
          </w:r>
          <w:r>
            <w:rPr>
              <w:rFonts w:hint="default" w:ascii="Times New Roman" w:hAnsi="Times New Roman" w:cs="Times New Roman"/>
              <w:highlight w:val="none"/>
            </w:rPr>
            <w:fldChar w:fldCharType="separate"/>
          </w:r>
          <w:r>
            <w:rPr>
              <w:rFonts w:hint="default" w:ascii="Times New Roman" w:hAnsi="Times New Roman" w:cs="Times New Roman"/>
              <w:highlight w:val="none"/>
            </w:rPr>
            <w:t>9</w:t>
          </w:r>
          <w:r>
            <w:rPr>
              <w:rFonts w:hint="default" w:ascii="Times New Roman" w:hAnsi="Times New Roman" w:cs="Times New Roman"/>
              <w:highlight w:val="none"/>
            </w:rPr>
            <w:fldChar w:fldCharType="end"/>
          </w:r>
          <w:r>
            <w:rPr>
              <w:rFonts w:hint="default" w:ascii="Times New Roman" w:hAnsi="Times New Roman" w:cs="Times New Roman"/>
              <w:szCs w:val="24"/>
              <w:highlight w:val="none"/>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240" w:lineRule="auto"/>
            <w:textAlignment w:val="auto"/>
            <w:rPr>
              <w:rFonts w:hint="default" w:ascii="Times New Roman" w:hAnsi="Times New Roman" w:cs="Times New Roman"/>
              <w:highlight w:val="none"/>
            </w:rPr>
          </w:pPr>
          <w:r>
            <w:rPr>
              <w:rFonts w:hint="default" w:ascii="Times New Roman" w:hAnsi="Times New Roman" w:cs="Times New Roman"/>
              <w:szCs w:val="24"/>
              <w:highlight w:val="none"/>
            </w:rPr>
            <w:fldChar w:fldCharType="begin"/>
          </w:r>
          <w:r>
            <w:rPr>
              <w:rFonts w:hint="default" w:ascii="Times New Roman" w:hAnsi="Times New Roman" w:cs="Times New Roman"/>
              <w:szCs w:val="24"/>
              <w:highlight w:val="none"/>
            </w:rPr>
            <w:instrText xml:space="preserve"> HYPERLINK \l _Toc13262 </w:instrText>
          </w:r>
          <w:r>
            <w:rPr>
              <w:rFonts w:hint="default" w:ascii="Times New Roman" w:hAnsi="Times New Roman" w:cs="Times New Roman"/>
              <w:szCs w:val="24"/>
              <w:highlight w:val="none"/>
            </w:rPr>
            <w:fldChar w:fldCharType="separate"/>
          </w:r>
          <w:r>
            <w:rPr>
              <w:rFonts w:hint="default" w:ascii="Times New Roman" w:hAnsi="Times New Roman" w:cs="Times New Roman"/>
              <w:highlight w:val="none"/>
              <w:lang w:val="en-US" w:eastAsia="zh-CN"/>
            </w:rPr>
            <w:t>3.3.Threats of new entrants</w:t>
          </w:r>
          <w:r>
            <w:rPr>
              <w:rFonts w:hint="default" w:ascii="Times New Roman" w:hAnsi="Times New Roman" w:cs="Times New Roman"/>
              <w:highlight w:val="none"/>
            </w:rPr>
            <w:tab/>
          </w:r>
          <w:r>
            <w:rPr>
              <w:rFonts w:hint="default" w:ascii="Times New Roman" w:hAnsi="Times New Roman" w:cs="Times New Roman"/>
              <w:highlight w:val="none"/>
            </w:rPr>
            <w:fldChar w:fldCharType="begin"/>
          </w:r>
          <w:r>
            <w:rPr>
              <w:rFonts w:hint="default" w:ascii="Times New Roman" w:hAnsi="Times New Roman" w:cs="Times New Roman"/>
              <w:highlight w:val="none"/>
            </w:rPr>
            <w:instrText xml:space="preserve"> PAGEREF _Toc13262 \h </w:instrText>
          </w:r>
          <w:r>
            <w:rPr>
              <w:rFonts w:hint="default" w:ascii="Times New Roman" w:hAnsi="Times New Roman" w:cs="Times New Roman"/>
              <w:highlight w:val="none"/>
            </w:rPr>
            <w:fldChar w:fldCharType="separate"/>
          </w:r>
          <w:r>
            <w:rPr>
              <w:rFonts w:hint="default" w:ascii="Times New Roman" w:hAnsi="Times New Roman" w:cs="Times New Roman"/>
              <w:highlight w:val="none"/>
            </w:rPr>
            <w:t>9</w:t>
          </w:r>
          <w:r>
            <w:rPr>
              <w:rFonts w:hint="default" w:ascii="Times New Roman" w:hAnsi="Times New Roman" w:cs="Times New Roman"/>
              <w:highlight w:val="none"/>
            </w:rPr>
            <w:fldChar w:fldCharType="end"/>
          </w:r>
          <w:r>
            <w:rPr>
              <w:rFonts w:hint="default" w:ascii="Times New Roman" w:hAnsi="Times New Roman" w:cs="Times New Roman"/>
              <w:szCs w:val="24"/>
              <w:highlight w:val="none"/>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240" w:lineRule="auto"/>
            <w:textAlignment w:val="auto"/>
            <w:rPr>
              <w:rFonts w:hint="default" w:ascii="Times New Roman" w:hAnsi="Times New Roman" w:cs="Times New Roman"/>
              <w:highlight w:val="none"/>
            </w:rPr>
          </w:pPr>
          <w:r>
            <w:rPr>
              <w:rFonts w:hint="default" w:ascii="Times New Roman" w:hAnsi="Times New Roman" w:cs="Times New Roman"/>
              <w:szCs w:val="24"/>
              <w:highlight w:val="none"/>
            </w:rPr>
            <w:fldChar w:fldCharType="begin"/>
          </w:r>
          <w:r>
            <w:rPr>
              <w:rFonts w:hint="default" w:ascii="Times New Roman" w:hAnsi="Times New Roman" w:cs="Times New Roman"/>
              <w:szCs w:val="24"/>
              <w:highlight w:val="none"/>
            </w:rPr>
            <w:instrText xml:space="preserve"> HYPERLINK \l _Toc6773 </w:instrText>
          </w:r>
          <w:r>
            <w:rPr>
              <w:rFonts w:hint="default" w:ascii="Times New Roman" w:hAnsi="Times New Roman" w:cs="Times New Roman"/>
              <w:szCs w:val="24"/>
              <w:highlight w:val="none"/>
            </w:rPr>
            <w:fldChar w:fldCharType="separate"/>
          </w:r>
          <w:r>
            <w:rPr>
              <w:rFonts w:hint="default" w:ascii="Times New Roman" w:hAnsi="Times New Roman" w:cs="Times New Roman"/>
              <w:highlight w:val="none"/>
              <w:lang w:val="en-US" w:eastAsia="zh-CN"/>
            </w:rPr>
            <w:t>3.4.Threats of alternatives</w:t>
          </w:r>
          <w:r>
            <w:rPr>
              <w:rFonts w:hint="default" w:ascii="Times New Roman" w:hAnsi="Times New Roman" w:cs="Times New Roman"/>
              <w:highlight w:val="none"/>
            </w:rPr>
            <w:tab/>
          </w:r>
          <w:r>
            <w:rPr>
              <w:rFonts w:hint="default" w:ascii="Times New Roman" w:hAnsi="Times New Roman" w:cs="Times New Roman"/>
              <w:highlight w:val="none"/>
            </w:rPr>
            <w:fldChar w:fldCharType="begin"/>
          </w:r>
          <w:r>
            <w:rPr>
              <w:rFonts w:hint="default" w:ascii="Times New Roman" w:hAnsi="Times New Roman" w:cs="Times New Roman"/>
              <w:highlight w:val="none"/>
            </w:rPr>
            <w:instrText xml:space="preserve"> PAGEREF _Toc6773 \h </w:instrText>
          </w:r>
          <w:r>
            <w:rPr>
              <w:rFonts w:hint="default" w:ascii="Times New Roman" w:hAnsi="Times New Roman" w:cs="Times New Roman"/>
              <w:highlight w:val="none"/>
            </w:rPr>
            <w:fldChar w:fldCharType="separate"/>
          </w:r>
          <w:r>
            <w:rPr>
              <w:rFonts w:hint="default" w:ascii="Times New Roman" w:hAnsi="Times New Roman" w:cs="Times New Roman"/>
              <w:highlight w:val="none"/>
            </w:rPr>
            <w:t>10</w:t>
          </w:r>
          <w:r>
            <w:rPr>
              <w:rFonts w:hint="default" w:ascii="Times New Roman" w:hAnsi="Times New Roman" w:cs="Times New Roman"/>
              <w:highlight w:val="none"/>
            </w:rPr>
            <w:fldChar w:fldCharType="end"/>
          </w:r>
          <w:r>
            <w:rPr>
              <w:rFonts w:hint="default" w:ascii="Times New Roman" w:hAnsi="Times New Roman" w:cs="Times New Roman"/>
              <w:szCs w:val="24"/>
              <w:highlight w:val="none"/>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240" w:lineRule="auto"/>
            <w:textAlignment w:val="auto"/>
            <w:rPr>
              <w:rFonts w:hint="default" w:ascii="Times New Roman" w:hAnsi="Times New Roman" w:cs="Times New Roman"/>
              <w:highlight w:val="none"/>
            </w:rPr>
          </w:pPr>
          <w:r>
            <w:rPr>
              <w:rFonts w:hint="default" w:ascii="Times New Roman" w:hAnsi="Times New Roman" w:cs="Times New Roman"/>
              <w:szCs w:val="24"/>
              <w:highlight w:val="none"/>
            </w:rPr>
            <w:fldChar w:fldCharType="begin"/>
          </w:r>
          <w:r>
            <w:rPr>
              <w:rFonts w:hint="default" w:ascii="Times New Roman" w:hAnsi="Times New Roman" w:cs="Times New Roman"/>
              <w:szCs w:val="24"/>
              <w:highlight w:val="none"/>
            </w:rPr>
            <w:instrText xml:space="preserve"> HYPERLINK \l _Toc13688 </w:instrText>
          </w:r>
          <w:r>
            <w:rPr>
              <w:rFonts w:hint="default" w:ascii="Times New Roman" w:hAnsi="Times New Roman" w:cs="Times New Roman"/>
              <w:szCs w:val="24"/>
              <w:highlight w:val="none"/>
            </w:rPr>
            <w:fldChar w:fldCharType="separate"/>
          </w:r>
          <w:r>
            <w:rPr>
              <w:rFonts w:hint="default" w:ascii="Times New Roman" w:hAnsi="Times New Roman" w:cs="Times New Roman"/>
              <w:highlight w:val="none"/>
              <w:lang w:val="en-US" w:eastAsia="zh-CN"/>
            </w:rPr>
            <w:t>3.5 Degree of competition of its competitors</w:t>
          </w:r>
          <w:r>
            <w:rPr>
              <w:rFonts w:hint="default" w:ascii="Times New Roman" w:hAnsi="Times New Roman" w:cs="Times New Roman"/>
              <w:highlight w:val="none"/>
            </w:rPr>
            <w:tab/>
          </w:r>
          <w:r>
            <w:rPr>
              <w:rFonts w:hint="default" w:ascii="Times New Roman" w:hAnsi="Times New Roman" w:cs="Times New Roman"/>
              <w:highlight w:val="none"/>
            </w:rPr>
            <w:fldChar w:fldCharType="begin"/>
          </w:r>
          <w:r>
            <w:rPr>
              <w:rFonts w:hint="default" w:ascii="Times New Roman" w:hAnsi="Times New Roman" w:cs="Times New Roman"/>
              <w:highlight w:val="none"/>
            </w:rPr>
            <w:instrText xml:space="preserve"> PAGEREF _Toc13688 \h </w:instrText>
          </w:r>
          <w:r>
            <w:rPr>
              <w:rFonts w:hint="default" w:ascii="Times New Roman" w:hAnsi="Times New Roman" w:cs="Times New Roman"/>
              <w:highlight w:val="none"/>
            </w:rPr>
            <w:fldChar w:fldCharType="separate"/>
          </w:r>
          <w:r>
            <w:rPr>
              <w:rFonts w:hint="default" w:ascii="Times New Roman" w:hAnsi="Times New Roman" w:cs="Times New Roman"/>
              <w:highlight w:val="none"/>
            </w:rPr>
            <w:t>11</w:t>
          </w:r>
          <w:r>
            <w:rPr>
              <w:rFonts w:hint="default" w:ascii="Times New Roman" w:hAnsi="Times New Roman" w:cs="Times New Roman"/>
              <w:highlight w:val="none"/>
            </w:rPr>
            <w:fldChar w:fldCharType="end"/>
          </w:r>
          <w:r>
            <w:rPr>
              <w:rFonts w:hint="default" w:ascii="Times New Roman" w:hAnsi="Times New Roman" w:cs="Times New Roman"/>
              <w:szCs w:val="24"/>
              <w:highlight w:val="none"/>
            </w:rPr>
            <w:fldChar w:fldCharType="end"/>
          </w:r>
        </w:p>
        <w:p>
          <w:pPr>
            <w:pStyle w:val="9"/>
            <w:keepNext w:val="0"/>
            <w:keepLines w:val="0"/>
            <w:pageBreakBefore w:val="0"/>
            <w:widowControl/>
            <w:tabs>
              <w:tab w:val="right" w:leader="dot" w:pos="8306"/>
            </w:tabs>
            <w:kinsoku/>
            <w:wordWrap/>
            <w:overflowPunct/>
            <w:topLinePunct w:val="0"/>
            <w:autoSpaceDE/>
            <w:autoSpaceDN/>
            <w:bidi w:val="0"/>
            <w:adjustRightInd/>
            <w:snapToGrid/>
            <w:spacing w:line="240" w:lineRule="auto"/>
            <w:textAlignment w:val="auto"/>
            <w:rPr>
              <w:rFonts w:hint="default" w:ascii="Times New Roman" w:hAnsi="Times New Roman" w:cs="Times New Roman"/>
              <w:highlight w:val="none"/>
            </w:rPr>
          </w:pPr>
          <w:r>
            <w:rPr>
              <w:rFonts w:hint="default" w:ascii="Times New Roman" w:hAnsi="Times New Roman" w:cs="Times New Roman"/>
              <w:szCs w:val="24"/>
              <w:highlight w:val="none"/>
            </w:rPr>
            <w:fldChar w:fldCharType="begin"/>
          </w:r>
          <w:r>
            <w:rPr>
              <w:rFonts w:hint="default" w:ascii="Times New Roman" w:hAnsi="Times New Roman" w:cs="Times New Roman"/>
              <w:szCs w:val="24"/>
              <w:highlight w:val="none"/>
            </w:rPr>
            <w:instrText xml:space="preserve"> HYPERLINK \l _Toc1015 </w:instrText>
          </w:r>
          <w:r>
            <w:rPr>
              <w:rFonts w:hint="default" w:ascii="Times New Roman" w:hAnsi="Times New Roman" w:cs="Times New Roman"/>
              <w:szCs w:val="24"/>
              <w:highlight w:val="none"/>
            </w:rPr>
            <w:fldChar w:fldCharType="separate"/>
          </w:r>
          <w:r>
            <w:rPr>
              <w:rFonts w:hint="default" w:ascii="Times New Roman" w:hAnsi="Times New Roman" w:cs="Times New Roman"/>
              <w:highlight w:val="none"/>
              <w:lang w:val="en-US" w:eastAsia="zh-CN"/>
            </w:rPr>
            <w:t xml:space="preserve">4.Internal enterprise analysis based on </w:t>
          </w:r>
          <w:bookmarkStart w:id="55" w:name="_GoBack"/>
          <w:bookmarkEnd w:id="55"/>
          <w:r>
            <w:rPr>
              <w:rFonts w:hint="default" w:ascii="Times New Roman" w:hAnsi="Times New Roman" w:cs="Times New Roman"/>
              <w:highlight w:val="none"/>
              <w:lang w:val="en-US" w:eastAsia="zh-CN"/>
            </w:rPr>
            <w:t>the SWOT model</w:t>
          </w:r>
          <w:r>
            <w:rPr>
              <w:rFonts w:hint="default" w:ascii="Times New Roman" w:hAnsi="Times New Roman" w:cs="Times New Roman"/>
              <w:highlight w:val="none"/>
            </w:rPr>
            <w:tab/>
          </w:r>
          <w:r>
            <w:rPr>
              <w:rFonts w:hint="default" w:ascii="Times New Roman" w:hAnsi="Times New Roman" w:cs="Times New Roman"/>
              <w:highlight w:val="none"/>
            </w:rPr>
            <w:fldChar w:fldCharType="begin"/>
          </w:r>
          <w:r>
            <w:rPr>
              <w:rFonts w:hint="default" w:ascii="Times New Roman" w:hAnsi="Times New Roman" w:cs="Times New Roman"/>
              <w:highlight w:val="none"/>
            </w:rPr>
            <w:instrText xml:space="preserve"> PAGEREF _Toc1015 \h </w:instrText>
          </w:r>
          <w:r>
            <w:rPr>
              <w:rFonts w:hint="default" w:ascii="Times New Roman" w:hAnsi="Times New Roman" w:cs="Times New Roman"/>
              <w:highlight w:val="none"/>
            </w:rPr>
            <w:fldChar w:fldCharType="separate"/>
          </w:r>
          <w:r>
            <w:rPr>
              <w:rFonts w:hint="default" w:ascii="Times New Roman" w:hAnsi="Times New Roman" w:cs="Times New Roman"/>
              <w:highlight w:val="none"/>
            </w:rPr>
            <w:t>12</w:t>
          </w:r>
          <w:r>
            <w:rPr>
              <w:rFonts w:hint="default" w:ascii="Times New Roman" w:hAnsi="Times New Roman" w:cs="Times New Roman"/>
              <w:highlight w:val="none"/>
            </w:rPr>
            <w:fldChar w:fldCharType="end"/>
          </w:r>
          <w:r>
            <w:rPr>
              <w:rFonts w:hint="default" w:ascii="Times New Roman" w:hAnsi="Times New Roman" w:cs="Times New Roman"/>
              <w:szCs w:val="24"/>
              <w:highlight w:val="none"/>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240" w:lineRule="auto"/>
            <w:textAlignment w:val="auto"/>
            <w:rPr>
              <w:rFonts w:hint="default" w:ascii="Times New Roman" w:hAnsi="Times New Roman" w:cs="Times New Roman"/>
              <w:highlight w:val="none"/>
            </w:rPr>
          </w:pPr>
          <w:r>
            <w:rPr>
              <w:rFonts w:hint="default" w:ascii="Times New Roman" w:hAnsi="Times New Roman" w:cs="Times New Roman"/>
              <w:szCs w:val="24"/>
              <w:highlight w:val="none"/>
            </w:rPr>
            <w:fldChar w:fldCharType="begin"/>
          </w:r>
          <w:r>
            <w:rPr>
              <w:rFonts w:hint="default" w:ascii="Times New Roman" w:hAnsi="Times New Roman" w:cs="Times New Roman"/>
              <w:szCs w:val="24"/>
              <w:highlight w:val="none"/>
            </w:rPr>
            <w:instrText xml:space="preserve"> HYPERLINK \l _Toc21652 </w:instrText>
          </w:r>
          <w:r>
            <w:rPr>
              <w:rFonts w:hint="default" w:ascii="Times New Roman" w:hAnsi="Times New Roman" w:cs="Times New Roman"/>
              <w:szCs w:val="24"/>
              <w:highlight w:val="none"/>
            </w:rPr>
            <w:fldChar w:fldCharType="separate"/>
          </w:r>
          <w:r>
            <w:rPr>
              <w:rFonts w:hint="default" w:ascii="Times New Roman" w:hAnsi="Times New Roman" w:cs="Times New Roman"/>
              <w:highlight w:val="none"/>
              <w:lang w:val="en-US" w:eastAsia="zh-CN"/>
            </w:rPr>
            <w:t>4.1.Advantage S</w:t>
          </w:r>
          <w:r>
            <w:rPr>
              <w:rFonts w:hint="default" w:ascii="Times New Roman" w:hAnsi="Times New Roman" w:cs="Times New Roman"/>
              <w:highlight w:val="none"/>
            </w:rPr>
            <w:tab/>
          </w:r>
          <w:r>
            <w:rPr>
              <w:rFonts w:hint="default" w:ascii="Times New Roman" w:hAnsi="Times New Roman" w:cs="Times New Roman"/>
              <w:highlight w:val="none"/>
            </w:rPr>
            <w:fldChar w:fldCharType="begin"/>
          </w:r>
          <w:r>
            <w:rPr>
              <w:rFonts w:hint="default" w:ascii="Times New Roman" w:hAnsi="Times New Roman" w:cs="Times New Roman"/>
              <w:highlight w:val="none"/>
            </w:rPr>
            <w:instrText xml:space="preserve"> PAGEREF _Toc21652 \h </w:instrText>
          </w:r>
          <w:r>
            <w:rPr>
              <w:rFonts w:hint="default" w:ascii="Times New Roman" w:hAnsi="Times New Roman" w:cs="Times New Roman"/>
              <w:highlight w:val="none"/>
            </w:rPr>
            <w:fldChar w:fldCharType="separate"/>
          </w:r>
          <w:r>
            <w:rPr>
              <w:rFonts w:hint="default" w:ascii="Times New Roman" w:hAnsi="Times New Roman" w:cs="Times New Roman"/>
              <w:highlight w:val="none"/>
            </w:rPr>
            <w:t>12</w:t>
          </w:r>
          <w:r>
            <w:rPr>
              <w:rFonts w:hint="default" w:ascii="Times New Roman" w:hAnsi="Times New Roman" w:cs="Times New Roman"/>
              <w:highlight w:val="none"/>
            </w:rPr>
            <w:fldChar w:fldCharType="end"/>
          </w:r>
          <w:r>
            <w:rPr>
              <w:rFonts w:hint="default" w:ascii="Times New Roman" w:hAnsi="Times New Roman" w:cs="Times New Roman"/>
              <w:szCs w:val="24"/>
              <w:highlight w:val="none"/>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240" w:lineRule="auto"/>
            <w:textAlignment w:val="auto"/>
            <w:rPr>
              <w:rFonts w:hint="default" w:ascii="Times New Roman" w:hAnsi="Times New Roman" w:cs="Times New Roman"/>
              <w:highlight w:val="none"/>
            </w:rPr>
          </w:pPr>
          <w:r>
            <w:rPr>
              <w:rFonts w:hint="default" w:ascii="Times New Roman" w:hAnsi="Times New Roman" w:cs="Times New Roman"/>
              <w:szCs w:val="24"/>
              <w:highlight w:val="none"/>
            </w:rPr>
            <w:fldChar w:fldCharType="begin"/>
          </w:r>
          <w:r>
            <w:rPr>
              <w:rFonts w:hint="default" w:ascii="Times New Roman" w:hAnsi="Times New Roman" w:cs="Times New Roman"/>
              <w:szCs w:val="24"/>
              <w:highlight w:val="none"/>
            </w:rPr>
            <w:instrText xml:space="preserve"> HYPERLINK \l _Toc7772 </w:instrText>
          </w:r>
          <w:r>
            <w:rPr>
              <w:rFonts w:hint="default" w:ascii="Times New Roman" w:hAnsi="Times New Roman" w:cs="Times New Roman"/>
              <w:szCs w:val="24"/>
              <w:highlight w:val="none"/>
            </w:rPr>
            <w:fldChar w:fldCharType="separate"/>
          </w:r>
          <w:r>
            <w:rPr>
              <w:rFonts w:hint="default" w:ascii="Times New Roman" w:hAnsi="Times New Roman" w:cs="Times New Roman"/>
              <w:highlight w:val="none"/>
              <w:lang w:val="en-US" w:eastAsia="zh-CN"/>
            </w:rPr>
            <w:t>4.2 Disstrength W</w:t>
          </w:r>
          <w:r>
            <w:rPr>
              <w:rFonts w:hint="default" w:ascii="Times New Roman" w:hAnsi="Times New Roman" w:cs="Times New Roman"/>
              <w:highlight w:val="none"/>
            </w:rPr>
            <w:tab/>
          </w:r>
          <w:r>
            <w:rPr>
              <w:rFonts w:hint="default" w:ascii="Times New Roman" w:hAnsi="Times New Roman" w:cs="Times New Roman"/>
              <w:highlight w:val="none"/>
            </w:rPr>
            <w:fldChar w:fldCharType="begin"/>
          </w:r>
          <w:r>
            <w:rPr>
              <w:rFonts w:hint="default" w:ascii="Times New Roman" w:hAnsi="Times New Roman" w:cs="Times New Roman"/>
              <w:highlight w:val="none"/>
            </w:rPr>
            <w:instrText xml:space="preserve"> PAGEREF _Toc7772 \h </w:instrText>
          </w:r>
          <w:r>
            <w:rPr>
              <w:rFonts w:hint="default" w:ascii="Times New Roman" w:hAnsi="Times New Roman" w:cs="Times New Roman"/>
              <w:highlight w:val="none"/>
            </w:rPr>
            <w:fldChar w:fldCharType="separate"/>
          </w:r>
          <w:r>
            <w:rPr>
              <w:rFonts w:hint="default" w:ascii="Times New Roman" w:hAnsi="Times New Roman" w:cs="Times New Roman"/>
              <w:highlight w:val="none"/>
            </w:rPr>
            <w:t>12</w:t>
          </w:r>
          <w:r>
            <w:rPr>
              <w:rFonts w:hint="default" w:ascii="Times New Roman" w:hAnsi="Times New Roman" w:cs="Times New Roman"/>
              <w:highlight w:val="none"/>
            </w:rPr>
            <w:fldChar w:fldCharType="end"/>
          </w:r>
          <w:r>
            <w:rPr>
              <w:rFonts w:hint="default" w:ascii="Times New Roman" w:hAnsi="Times New Roman" w:cs="Times New Roman"/>
              <w:szCs w:val="24"/>
              <w:highlight w:val="none"/>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240" w:lineRule="auto"/>
            <w:textAlignment w:val="auto"/>
            <w:rPr>
              <w:rFonts w:hint="default" w:ascii="Times New Roman" w:hAnsi="Times New Roman" w:cs="Times New Roman"/>
              <w:highlight w:val="none"/>
            </w:rPr>
          </w:pPr>
          <w:r>
            <w:rPr>
              <w:rFonts w:hint="default" w:ascii="Times New Roman" w:hAnsi="Times New Roman" w:cs="Times New Roman"/>
              <w:szCs w:val="24"/>
              <w:highlight w:val="none"/>
            </w:rPr>
            <w:fldChar w:fldCharType="begin"/>
          </w:r>
          <w:r>
            <w:rPr>
              <w:rFonts w:hint="default" w:ascii="Times New Roman" w:hAnsi="Times New Roman" w:cs="Times New Roman"/>
              <w:szCs w:val="24"/>
              <w:highlight w:val="none"/>
            </w:rPr>
            <w:instrText xml:space="preserve"> HYPERLINK \l _Toc32346 </w:instrText>
          </w:r>
          <w:r>
            <w:rPr>
              <w:rFonts w:hint="default" w:ascii="Times New Roman" w:hAnsi="Times New Roman" w:cs="Times New Roman"/>
              <w:szCs w:val="24"/>
              <w:highlight w:val="none"/>
            </w:rPr>
            <w:fldChar w:fldCharType="separate"/>
          </w:r>
          <w:r>
            <w:rPr>
              <w:rFonts w:hint="default" w:ascii="Times New Roman" w:hAnsi="Times New Roman" w:cs="Times New Roman"/>
              <w:highlight w:val="none"/>
              <w:lang w:val="en-US" w:eastAsia="zh-CN"/>
            </w:rPr>
            <w:t>4.3.Opportunity O</w:t>
          </w:r>
          <w:r>
            <w:rPr>
              <w:rFonts w:hint="default" w:ascii="Times New Roman" w:hAnsi="Times New Roman" w:cs="Times New Roman"/>
              <w:highlight w:val="none"/>
            </w:rPr>
            <w:tab/>
          </w:r>
          <w:r>
            <w:rPr>
              <w:rFonts w:hint="default" w:ascii="Times New Roman" w:hAnsi="Times New Roman" w:cs="Times New Roman"/>
              <w:highlight w:val="none"/>
            </w:rPr>
            <w:fldChar w:fldCharType="begin"/>
          </w:r>
          <w:r>
            <w:rPr>
              <w:rFonts w:hint="default" w:ascii="Times New Roman" w:hAnsi="Times New Roman" w:cs="Times New Roman"/>
              <w:highlight w:val="none"/>
            </w:rPr>
            <w:instrText xml:space="preserve"> PAGEREF _Toc32346 \h </w:instrText>
          </w:r>
          <w:r>
            <w:rPr>
              <w:rFonts w:hint="default" w:ascii="Times New Roman" w:hAnsi="Times New Roman" w:cs="Times New Roman"/>
              <w:highlight w:val="none"/>
            </w:rPr>
            <w:fldChar w:fldCharType="separate"/>
          </w:r>
          <w:r>
            <w:rPr>
              <w:rFonts w:hint="default" w:ascii="Times New Roman" w:hAnsi="Times New Roman" w:cs="Times New Roman"/>
              <w:highlight w:val="none"/>
            </w:rPr>
            <w:t>13</w:t>
          </w:r>
          <w:r>
            <w:rPr>
              <w:rFonts w:hint="default" w:ascii="Times New Roman" w:hAnsi="Times New Roman" w:cs="Times New Roman"/>
              <w:highlight w:val="none"/>
            </w:rPr>
            <w:fldChar w:fldCharType="end"/>
          </w:r>
          <w:r>
            <w:rPr>
              <w:rFonts w:hint="default" w:ascii="Times New Roman" w:hAnsi="Times New Roman" w:cs="Times New Roman"/>
              <w:szCs w:val="24"/>
              <w:highlight w:val="none"/>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240" w:lineRule="auto"/>
            <w:textAlignment w:val="auto"/>
            <w:rPr>
              <w:rFonts w:hint="default" w:ascii="Times New Roman" w:hAnsi="Times New Roman" w:cs="Times New Roman"/>
              <w:highlight w:val="none"/>
            </w:rPr>
          </w:pPr>
          <w:r>
            <w:rPr>
              <w:rFonts w:hint="default" w:ascii="Times New Roman" w:hAnsi="Times New Roman" w:cs="Times New Roman"/>
              <w:szCs w:val="24"/>
              <w:highlight w:val="none"/>
            </w:rPr>
            <w:fldChar w:fldCharType="begin"/>
          </w:r>
          <w:r>
            <w:rPr>
              <w:rFonts w:hint="default" w:ascii="Times New Roman" w:hAnsi="Times New Roman" w:cs="Times New Roman"/>
              <w:szCs w:val="24"/>
              <w:highlight w:val="none"/>
            </w:rPr>
            <w:instrText xml:space="preserve"> HYPERLINK \l _Toc5585 </w:instrText>
          </w:r>
          <w:r>
            <w:rPr>
              <w:rFonts w:hint="default" w:ascii="Times New Roman" w:hAnsi="Times New Roman" w:cs="Times New Roman"/>
              <w:szCs w:val="24"/>
              <w:highlight w:val="none"/>
            </w:rPr>
            <w:fldChar w:fldCharType="separate"/>
          </w:r>
          <w:r>
            <w:rPr>
              <w:rFonts w:hint="default" w:ascii="Times New Roman" w:hAnsi="Times New Roman" w:cs="Times New Roman"/>
              <w:highlight w:val="none"/>
              <w:lang w:val="en-US" w:eastAsia="zh-CN"/>
            </w:rPr>
            <w:t>4.4.Threat T</w:t>
          </w:r>
          <w:r>
            <w:rPr>
              <w:rFonts w:hint="default" w:ascii="Times New Roman" w:hAnsi="Times New Roman" w:cs="Times New Roman"/>
              <w:highlight w:val="none"/>
            </w:rPr>
            <w:tab/>
          </w:r>
          <w:r>
            <w:rPr>
              <w:rFonts w:hint="default" w:ascii="Times New Roman" w:hAnsi="Times New Roman" w:cs="Times New Roman"/>
              <w:highlight w:val="none"/>
            </w:rPr>
            <w:fldChar w:fldCharType="begin"/>
          </w:r>
          <w:r>
            <w:rPr>
              <w:rFonts w:hint="default" w:ascii="Times New Roman" w:hAnsi="Times New Roman" w:cs="Times New Roman"/>
              <w:highlight w:val="none"/>
            </w:rPr>
            <w:instrText xml:space="preserve"> PAGEREF _Toc5585 \h </w:instrText>
          </w:r>
          <w:r>
            <w:rPr>
              <w:rFonts w:hint="default" w:ascii="Times New Roman" w:hAnsi="Times New Roman" w:cs="Times New Roman"/>
              <w:highlight w:val="none"/>
            </w:rPr>
            <w:fldChar w:fldCharType="separate"/>
          </w:r>
          <w:r>
            <w:rPr>
              <w:rFonts w:hint="default" w:ascii="Times New Roman" w:hAnsi="Times New Roman" w:cs="Times New Roman"/>
              <w:highlight w:val="none"/>
            </w:rPr>
            <w:t>14</w:t>
          </w:r>
          <w:r>
            <w:rPr>
              <w:rFonts w:hint="default" w:ascii="Times New Roman" w:hAnsi="Times New Roman" w:cs="Times New Roman"/>
              <w:highlight w:val="none"/>
            </w:rPr>
            <w:fldChar w:fldCharType="end"/>
          </w:r>
          <w:r>
            <w:rPr>
              <w:rFonts w:hint="default" w:ascii="Times New Roman" w:hAnsi="Times New Roman" w:cs="Times New Roman"/>
              <w:szCs w:val="24"/>
              <w:highlight w:val="none"/>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240" w:lineRule="auto"/>
            <w:textAlignment w:val="auto"/>
            <w:rPr>
              <w:rFonts w:hint="default" w:ascii="Times New Roman" w:hAnsi="Times New Roman" w:cs="Times New Roman"/>
              <w:highlight w:val="none"/>
            </w:rPr>
          </w:pPr>
          <w:r>
            <w:rPr>
              <w:rFonts w:hint="default" w:ascii="Times New Roman" w:hAnsi="Times New Roman" w:cs="Times New Roman"/>
              <w:szCs w:val="24"/>
              <w:highlight w:val="none"/>
            </w:rPr>
            <w:fldChar w:fldCharType="begin"/>
          </w:r>
          <w:r>
            <w:rPr>
              <w:rFonts w:hint="default" w:ascii="Times New Roman" w:hAnsi="Times New Roman" w:cs="Times New Roman"/>
              <w:szCs w:val="24"/>
              <w:highlight w:val="none"/>
            </w:rPr>
            <w:instrText xml:space="preserve"> HYPERLINK \l _Toc6858 </w:instrText>
          </w:r>
          <w:r>
            <w:rPr>
              <w:rFonts w:hint="default" w:ascii="Times New Roman" w:hAnsi="Times New Roman" w:cs="Times New Roman"/>
              <w:szCs w:val="24"/>
              <w:highlight w:val="none"/>
            </w:rPr>
            <w:fldChar w:fldCharType="separate"/>
          </w:r>
          <w:r>
            <w:rPr>
              <w:rFonts w:hint="default" w:ascii="Times New Roman" w:hAnsi="Times New Roman" w:cs="Times New Roman"/>
              <w:highlight w:val="none"/>
              <w:lang w:val="en-US" w:eastAsia="zh-CN"/>
            </w:rPr>
            <w:t>4.5.Conclusion of the SWOT analysis</w:t>
          </w:r>
          <w:r>
            <w:rPr>
              <w:rFonts w:hint="default" w:ascii="Times New Roman" w:hAnsi="Times New Roman" w:cs="Times New Roman"/>
              <w:highlight w:val="none"/>
            </w:rPr>
            <w:tab/>
          </w:r>
          <w:r>
            <w:rPr>
              <w:rFonts w:hint="default" w:ascii="Times New Roman" w:hAnsi="Times New Roman" w:cs="Times New Roman"/>
              <w:highlight w:val="none"/>
            </w:rPr>
            <w:fldChar w:fldCharType="begin"/>
          </w:r>
          <w:r>
            <w:rPr>
              <w:rFonts w:hint="default" w:ascii="Times New Roman" w:hAnsi="Times New Roman" w:cs="Times New Roman"/>
              <w:highlight w:val="none"/>
            </w:rPr>
            <w:instrText xml:space="preserve"> PAGEREF _Toc6858 \h </w:instrText>
          </w:r>
          <w:r>
            <w:rPr>
              <w:rFonts w:hint="default" w:ascii="Times New Roman" w:hAnsi="Times New Roman" w:cs="Times New Roman"/>
              <w:highlight w:val="none"/>
            </w:rPr>
            <w:fldChar w:fldCharType="separate"/>
          </w:r>
          <w:r>
            <w:rPr>
              <w:rFonts w:hint="default" w:ascii="Times New Roman" w:hAnsi="Times New Roman" w:cs="Times New Roman"/>
              <w:highlight w:val="none"/>
            </w:rPr>
            <w:t>16</w:t>
          </w:r>
          <w:r>
            <w:rPr>
              <w:rFonts w:hint="default" w:ascii="Times New Roman" w:hAnsi="Times New Roman" w:cs="Times New Roman"/>
              <w:highlight w:val="none"/>
            </w:rPr>
            <w:fldChar w:fldCharType="end"/>
          </w:r>
          <w:r>
            <w:rPr>
              <w:rFonts w:hint="default" w:ascii="Times New Roman" w:hAnsi="Times New Roman" w:cs="Times New Roman"/>
              <w:szCs w:val="24"/>
              <w:highlight w:val="none"/>
            </w:rPr>
            <w:fldChar w:fldCharType="end"/>
          </w:r>
        </w:p>
        <w:p>
          <w:pPr>
            <w:pStyle w:val="6"/>
            <w:keepNext w:val="0"/>
            <w:keepLines w:val="0"/>
            <w:pageBreakBefore w:val="0"/>
            <w:widowControl/>
            <w:tabs>
              <w:tab w:val="right" w:leader="dot" w:pos="8306"/>
            </w:tabs>
            <w:kinsoku/>
            <w:wordWrap/>
            <w:overflowPunct/>
            <w:topLinePunct w:val="0"/>
            <w:autoSpaceDE/>
            <w:autoSpaceDN/>
            <w:bidi w:val="0"/>
            <w:adjustRightInd/>
            <w:snapToGrid/>
            <w:spacing w:line="240" w:lineRule="auto"/>
            <w:textAlignment w:val="auto"/>
            <w:rPr>
              <w:rFonts w:hint="default" w:ascii="Times New Roman" w:hAnsi="Times New Roman" w:cs="Times New Roman"/>
              <w:highlight w:val="none"/>
            </w:rPr>
          </w:pPr>
          <w:r>
            <w:rPr>
              <w:rFonts w:hint="default" w:ascii="Times New Roman" w:hAnsi="Times New Roman" w:cs="Times New Roman"/>
              <w:szCs w:val="24"/>
              <w:highlight w:val="none"/>
            </w:rPr>
            <w:fldChar w:fldCharType="begin"/>
          </w:r>
          <w:r>
            <w:rPr>
              <w:rFonts w:hint="default" w:ascii="Times New Roman" w:hAnsi="Times New Roman" w:cs="Times New Roman"/>
              <w:szCs w:val="24"/>
              <w:highlight w:val="none"/>
            </w:rPr>
            <w:instrText xml:space="preserve"> HYPERLINK \l _Toc5300 </w:instrText>
          </w:r>
          <w:r>
            <w:rPr>
              <w:rFonts w:hint="default" w:ascii="Times New Roman" w:hAnsi="Times New Roman" w:cs="Times New Roman"/>
              <w:szCs w:val="24"/>
              <w:highlight w:val="none"/>
            </w:rPr>
            <w:fldChar w:fldCharType="separate"/>
          </w:r>
          <w:r>
            <w:rPr>
              <w:rFonts w:hint="default" w:ascii="Times New Roman" w:hAnsi="Times New Roman" w:cs="Times New Roman"/>
              <w:szCs w:val="24"/>
              <w:highlight w:val="none"/>
              <w:lang w:val="en-US" w:eastAsia="zh-CN"/>
            </w:rPr>
            <w:t>Table 4-1 SWOT analysis structure</w:t>
          </w:r>
          <w:r>
            <w:rPr>
              <w:rFonts w:hint="default" w:ascii="Times New Roman" w:hAnsi="Times New Roman" w:cs="Times New Roman"/>
              <w:highlight w:val="none"/>
            </w:rPr>
            <w:tab/>
          </w:r>
          <w:r>
            <w:rPr>
              <w:rFonts w:hint="default" w:ascii="Times New Roman" w:hAnsi="Times New Roman" w:cs="Times New Roman"/>
              <w:highlight w:val="none"/>
            </w:rPr>
            <w:fldChar w:fldCharType="begin"/>
          </w:r>
          <w:r>
            <w:rPr>
              <w:rFonts w:hint="default" w:ascii="Times New Roman" w:hAnsi="Times New Roman" w:cs="Times New Roman"/>
              <w:highlight w:val="none"/>
            </w:rPr>
            <w:instrText xml:space="preserve"> PAGEREF _Toc5300 \h </w:instrText>
          </w:r>
          <w:r>
            <w:rPr>
              <w:rFonts w:hint="default" w:ascii="Times New Roman" w:hAnsi="Times New Roman" w:cs="Times New Roman"/>
              <w:highlight w:val="none"/>
            </w:rPr>
            <w:fldChar w:fldCharType="separate"/>
          </w:r>
          <w:r>
            <w:rPr>
              <w:rFonts w:hint="default" w:ascii="Times New Roman" w:hAnsi="Times New Roman" w:cs="Times New Roman"/>
              <w:highlight w:val="none"/>
            </w:rPr>
            <w:t>17</w:t>
          </w:r>
          <w:r>
            <w:rPr>
              <w:rFonts w:hint="default" w:ascii="Times New Roman" w:hAnsi="Times New Roman" w:cs="Times New Roman"/>
              <w:highlight w:val="none"/>
            </w:rPr>
            <w:fldChar w:fldCharType="end"/>
          </w:r>
          <w:r>
            <w:rPr>
              <w:rFonts w:hint="default" w:ascii="Times New Roman" w:hAnsi="Times New Roman" w:cs="Times New Roman"/>
              <w:szCs w:val="24"/>
              <w:highlight w:val="none"/>
            </w:rPr>
            <w:fldChar w:fldCharType="end"/>
          </w:r>
        </w:p>
        <w:p>
          <w:pPr>
            <w:pStyle w:val="9"/>
            <w:keepNext w:val="0"/>
            <w:keepLines w:val="0"/>
            <w:pageBreakBefore w:val="0"/>
            <w:widowControl/>
            <w:tabs>
              <w:tab w:val="right" w:leader="dot" w:pos="8306"/>
            </w:tabs>
            <w:kinsoku/>
            <w:wordWrap/>
            <w:overflowPunct/>
            <w:topLinePunct w:val="0"/>
            <w:autoSpaceDE/>
            <w:autoSpaceDN/>
            <w:bidi w:val="0"/>
            <w:adjustRightInd/>
            <w:snapToGrid/>
            <w:spacing w:line="240" w:lineRule="auto"/>
            <w:textAlignment w:val="auto"/>
            <w:rPr>
              <w:rFonts w:hint="default" w:ascii="Times New Roman" w:hAnsi="Times New Roman" w:cs="Times New Roman"/>
              <w:highlight w:val="none"/>
            </w:rPr>
          </w:pPr>
          <w:r>
            <w:rPr>
              <w:rFonts w:hint="default" w:ascii="Times New Roman" w:hAnsi="Times New Roman" w:cs="Times New Roman"/>
              <w:szCs w:val="24"/>
              <w:highlight w:val="none"/>
            </w:rPr>
            <w:fldChar w:fldCharType="begin"/>
          </w:r>
          <w:r>
            <w:rPr>
              <w:rFonts w:hint="default" w:ascii="Times New Roman" w:hAnsi="Times New Roman" w:cs="Times New Roman"/>
              <w:szCs w:val="24"/>
              <w:highlight w:val="none"/>
            </w:rPr>
            <w:instrText xml:space="preserve"> HYPERLINK \l _Toc2979 </w:instrText>
          </w:r>
          <w:r>
            <w:rPr>
              <w:rFonts w:hint="default" w:ascii="Times New Roman" w:hAnsi="Times New Roman" w:cs="Times New Roman"/>
              <w:szCs w:val="24"/>
              <w:highlight w:val="none"/>
            </w:rPr>
            <w:fldChar w:fldCharType="separate"/>
          </w:r>
          <w:r>
            <w:rPr>
              <w:rFonts w:hint="default" w:ascii="Times New Roman" w:hAnsi="Times New Roman" w:cs="Times New Roman"/>
              <w:highlight w:val="none"/>
              <w:lang w:val="en-US" w:eastAsia="zh-CN"/>
            </w:rPr>
            <w:t>5.Conclusion: Target strategy of new energy vehicles</w:t>
          </w:r>
          <w:r>
            <w:rPr>
              <w:rFonts w:hint="default" w:ascii="Times New Roman" w:hAnsi="Times New Roman" w:cs="Times New Roman"/>
              <w:highlight w:val="none"/>
            </w:rPr>
            <w:tab/>
          </w:r>
          <w:r>
            <w:rPr>
              <w:rFonts w:hint="default" w:ascii="Times New Roman" w:hAnsi="Times New Roman" w:cs="Times New Roman"/>
              <w:highlight w:val="none"/>
            </w:rPr>
            <w:fldChar w:fldCharType="begin"/>
          </w:r>
          <w:r>
            <w:rPr>
              <w:rFonts w:hint="default" w:ascii="Times New Roman" w:hAnsi="Times New Roman" w:cs="Times New Roman"/>
              <w:highlight w:val="none"/>
            </w:rPr>
            <w:instrText xml:space="preserve"> PAGEREF _Toc2979 \h </w:instrText>
          </w:r>
          <w:r>
            <w:rPr>
              <w:rFonts w:hint="default" w:ascii="Times New Roman" w:hAnsi="Times New Roman" w:cs="Times New Roman"/>
              <w:highlight w:val="none"/>
            </w:rPr>
            <w:fldChar w:fldCharType="separate"/>
          </w:r>
          <w:r>
            <w:rPr>
              <w:rFonts w:hint="default" w:ascii="Times New Roman" w:hAnsi="Times New Roman" w:cs="Times New Roman"/>
              <w:highlight w:val="none"/>
            </w:rPr>
            <w:t>17</w:t>
          </w:r>
          <w:r>
            <w:rPr>
              <w:rFonts w:hint="default" w:ascii="Times New Roman" w:hAnsi="Times New Roman" w:cs="Times New Roman"/>
              <w:highlight w:val="none"/>
            </w:rPr>
            <w:fldChar w:fldCharType="end"/>
          </w:r>
          <w:r>
            <w:rPr>
              <w:rFonts w:hint="default" w:ascii="Times New Roman" w:hAnsi="Times New Roman" w:cs="Times New Roman"/>
              <w:szCs w:val="24"/>
              <w:highlight w:val="none"/>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240" w:lineRule="auto"/>
            <w:textAlignment w:val="auto"/>
            <w:rPr>
              <w:rFonts w:hint="default" w:ascii="Times New Roman" w:hAnsi="Times New Roman" w:cs="Times New Roman"/>
              <w:highlight w:val="none"/>
            </w:rPr>
          </w:pPr>
          <w:r>
            <w:rPr>
              <w:rFonts w:hint="default" w:ascii="Times New Roman" w:hAnsi="Times New Roman" w:cs="Times New Roman"/>
              <w:szCs w:val="24"/>
              <w:highlight w:val="none"/>
            </w:rPr>
            <w:fldChar w:fldCharType="begin"/>
          </w:r>
          <w:r>
            <w:rPr>
              <w:rFonts w:hint="default" w:ascii="Times New Roman" w:hAnsi="Times New Roman" w:cs="Times New Roman"/>
              <w:szCs w:val="24"/>
              <w:highlight w:val="none"/>
            </w:rPr>
            <w:instrText xml:space="preserve"> HYPERLINK \l _Toc15164 </w:instrText>
          </w:r>
          <w:r>
            <w:rPr>
              <w:rFonts w:hint="default" w:ascii="Times New Roman" w:hAnsi="Times New Roman" w:cs="Times New Roman"/>
              <w:szCs w:val="24"/>
              <w:highlight w:val="none"/>
            </w:rPr>
            <w:fldChar w:fldCharType="separate"/>
          </w:r>
          <w:r>
            <w:rPr>
              <w:rFonts w:hint="default" w:ascii="Times New Roman" w:hAnsi="Times New Roman" w:cs="Times New Roman"/>
              <w:highlight w:val="none"/>
              <w:lang w:val="en-US" w:eastAsia="zh-CN"/>
            </w:rPr>
            <w:t>5.1.Market strategy: Distribution of market segments</w:t>
          </w:r>
          <w:r>
            <w:rPr>
              <w:rFonts w:hint="default" w:ascii="Times New Roman" w:hAnsi="Times New Roman" w:cs="Times New Roman"/>
              <w:highlight w:val="none"/>
            </w:rPr>
            <w:tab/>
          </w:r>
          <w:r>
            <w:rPr>
              <w:rFonts w:hint="default" w:ascii="Times New Roman" w:hAnsi="Times New Roman" w:cs="Times New Roman"/>
              <w:highlight w:val="none"/>
            </w:rPr>
            <w:fldChar w:fldCharType="begin"/>
          </w:r>
          <w:r>
            <w:rPr>
              <w:rFonts w:hint="default" w:ascii="Times New Roman" w:hAnsi="Times New Roman" w:cs="Times New Roman"/>
              <w:highlight w:val="none"/>
            </w:rPr>
            <w:instrText xml:space="preserve"> PAGEREF _Toc15164 \h </w:instrText>
          </w:r>
          <w:r>
            <w:rPr>
              <w:rFonts w:hint="default" w:ascii="Times New Roman" w:hAnsi="Times New Roman" w:cs="Times New Roman"/>
              <w:highlight w:val="none"/>
            </w:rPr>
            <w:fldChar w:fldCharType="separate"/>
          </w:r>
          <w:r>
            <w:rPr>
              <w:rFonts w:hint="default" w:ascii="Times New Roman" w:hAnsi="Times New Roman" w:cs="Times New Roman"/>
              <w:highlight w:val="none"/>
            </w:rPr>
            <w:t>19</w:t>
          </w:r>
          <w:r>
            <w:rPr>
              <w:rFonts w:hint="default" w:ascii="Times New Roman" w:hAnsi="Times New Roman" w:cs="Times New Roman"/>
              <w:highlight w:val="none"/>
            </w:rPr>
            <w:fldChar w:fldCharType="end"/>
          </w:r>
          <w:r>
            <w:rPr>
              <w:rFonts w:hint="default" w:ascii="Times New Roman" w:hAnsi="Times New Roman" w:cs="Times New Roman"/>
              <w:szCs w:val="24"/>
              <w:highlight w:val="none"/>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240" w:lineRule="auto"/>
            <w:textAlignment w:val="auto"/>
            <w:rPr>
              <w:rFonts w:hint="default" w:ascii="Times New Roman" w:hAnsi="Times New Roman" w:cs="Times New Roman"/>
              <w:highlight w:val="none"/>
            </w:rPr>
          </w:pPr>
          <w:r>
            <w:rPr>
              <w:rFonts w:hint="default" w:ascii="Times New Roman" w:hAnsi="Times New Roman" w:cs="Times New Roman"/>
              <w:szCs w:val="24"/>
              <w:highlight w:val="none"/>
            </w:rPr>
            <w:fldChar w:fldCharType="begin"/>
          </w:r>
          <w:r>
            <w:rPr>
              <w:rFonts w:hint="default" w:ascii="Times New Roman" w:hAnsi="Times New Roman" w:cs="Times New Roman"/>
              <w:szCs w:val="24"/>
              <w:highlight w:val="none"/>
            </w:rPr>
            <w:instrText xml:space="preserve"> HYPERLINK \l _Toc26606 </w:instrText>
          </w:r>
          <w:r>
            <w:rPr>
              <w:rFonts w:hint="default" w:ascii="Times New Roman" w:hAnsi="Times New Roman" w:cs="Times New Roman"/>
              <w:szCs w:val="24"/>
              <w:highlight w:val="none"/>
            </w:rPr>
            <w:fldChar w:fldCharType="separate"/>
          </w:r>
          <w:r>
            <w:rPr>
              <w:rFonts w:hint="default" w:ascii="Times New Roman" w:hAnsi="Times New Roman" w:cs="Times New Roman"/>
              <w:highlight w:val="none"/>
              <w:lang w:val="en-US" w:eastAsia="zh-CN"/>
            </w:rPr>
            <w:t>5.2.Product strategy: Make a product portfolio</w:t>
          </w:r>
          <w:r>
            <w:rPr>
              <w:rFonts w:hint="default" w:ascii="Times New Roman" w:hAnsi="Times New Roman" w:cs="Times New Roman"/>
              <w:highlight w:val="none"/>
            </w:rPr>
            <w:tab/>
          </w:r>
          <w:r>
            <w:rPr>
              <w:rFonts w:hint="default" w:ascii="Times New Roman" w:hAnsi="Times New Roman" w:cs="Times New Roman"/>
              <w:highlight w:val="none"/>
            </w:rPr>
            <w:fldChar w:fldCharType="begin"/>
          </w:r>
          <w:r>
            <w:rPr>
              <w:rFonts w:hint="default" w:ascii="Times New Roman" w:hAnsi="Times New Roman" w:cs="Times New Roman"/>
              <w:highlight w:val="none"/>
            </w:rPr>
            <w:instrText xml:space="preserve"> PAGEREF _Toc26606 \h </w:instrText>
          </w:r>
          <w:r>
            <w:rPr>
              <w:rFonts w:hint="default" w:ascii="Times New Roman" w:hAnsi="Times New Roman" w:cs="Times New Roman"/>
              <w:highlight w:val="none"/>
            </w:rPr>
            <w:fldChar w:fldCharType="separate"/>
          </w:r>
          <w:r>
            <w:rPr>
              <w:rFonts w:hint="default" w:ascii="Times New Roman" w:hAnsi="Times New Roman" w:cs="Times New Roman"/>
              <w:highlight w:val="none"/>
            </w:rPr>
            <w:t>20</w:t>
          </w:r>
          <w:r>
            <w:rPr>
              <w:rFonts w:hint="default" w:ascii="Times New Roman" w:hAnsi="Times New Roman" w:cs="Times New Roman"/>
              <w:highlight w:val="none"/>
            </w:rPr>
            <w:fldChar w:fldCharType="end"/>
          </w:r>
          <w:r>
            <w:rPr>
              <w:rFonts w:hint="default" w:ascii="Times New Roman" w:hAnsi="Times New Roman" w:cs="Times New Roman"/>
              <w:szCs w:val="24"/>
              <w:highlight w:val="none"/>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240" w:lineRule="auto"/>
            <w:textAlignment w:val="auto"/>
            <w:rPr>
              <w:rFonts w:hint="default" w:ascii="Times New Roman" w:hAnsi="Times New Roman" w:cs="Times New Roman"/>
              <w:highlight w:val="none"/>
            </w:rPr>
          </w:pPr>
          <w:r>
            <w:rPr>
              <w:rFonts w:hint="default" w:ascii="Times New Roman" w:hAnsi="Times New Roman" w:cs="Times New Roman"/>
              <w:szCs w:val="24"/>
              <w:highlight w:val="none"/>
            </w:rPr>
            <w:fldChar w:fldCharType="begin"/>
          </w:r>
          <w:r>
            <w:rPr>
              <w:rFonts w:hint="default" w:ascii="Times New Roman" w:hAnsi="Times New Roman" w:cs="Times New Roman"/>
              <w:szCs w:val="24"/>
              <w:highlight w:val="none"/>
            </w:rPr>
            <w:instrText xml:space="preserve"> HYPERLINK \l _Toc1362 </w:instrText>
          </w:r>
          <w:r>
            <w:rPr>
              <w:rFonts w:hint="default" w:ascii="Times New Roman" w:hAnsi="Times New Roman" w:cs="Times New Roman"/>
              <w:szCs w:val="24"/>
              <w:highlight w:val="none"/>
            </w:rPr>
            <w:fldChar w:fldCharType="separate"/>
          </w:r>
          <w:r>
            <w:rPr>
              <w:rFonts w:hint="default" w:ascii="Times New Roman" w:hAnsi="Times New Roman" w:cs="Times New Roman"/>
              <w:highlight w:val="none"/>
              <w:lang w:val="en-US" w:eastAsia="zh-CN"/>
            </w:rPr>
            <w:t>5.3 Channel strategy: Direct marketing channel expansion</w:t>
          </w:r>
          <w:r>
            <w:rPr>
              <w:rFonts w:hint="default" w:ascii="Times New Roman" w:hAnsi="Times New Roman" w:cs="Times New Roman"/>
              <w:highlight w:val="none"/>
            </w:rPr>
            <w:tab/>
          </w:r>
          <w:r>
            <w:rPr>
              <w:rFonts w:hint="default" w:ascii="Times New Roman" w:hAnsi="Times New Roman" w:cs="Times New Roman"/>
              <w:highlight w:val="none"/>
            </w:rPr>
            <w:fldChar w:fldCharType="begin"/>
          </w:r>
          <w:r>
            <w:rPr>
              <w:rFonts w:hint="default" w:ascii="Times New Roman" w:hAnsi="Times New Roman" w:cs="Times New Roman"/>
              <w:highlight w:val="none"/>
            </w:rPr>
            <w:instrText xml:space="preserve"> PAGEREF _Toc1362 \h </w:instrText>
          </w:r>
          <w:r>
            <w:rPr>
              <w:rFonts w:hint="default" w:ascii="Times New Roman" w:hAnsi="Times New Roman" w:cs="Times New Roman"/>
              <w:highlight w:val="none"/>
            </w:rPr>
            <w:fldChar w:fldCharType="separate"/>
          </w:r>
          <w:r>
            <w:rPr>
              <w:rFonts w:hint="default" w:ascii="Times New Roman" w:hAnsi="Times New Roman" w:cs="Times New Roman"/>
              <w:highlight w:val="none"/>
            </w:rPr>
            <w:t>20</w:t>
          </w:r>
          <w:r>
            <w:rPr>
              <w:rFonts w:hint="default" w:ascii="Times New Roman" w:hAnsi="Times New Roman" w:cs="Times New Roman"/>
              <w:highlight w:val="none"/>
            </w:rPr>
            <w:fldChar w:fldCharType="end"/>
          </w:r>
          <w:r>
            <w:rPr>
              <w:rFonts w:hint="default" w:ascii="Times New Roman" w:hAnsi="Times New Roman" w:cs="Times New Roman"/>
              <w:szCs w:val="24"/>
              <w:highlight w:val="none"/>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240" w:lineRule="auto"/>
            <w:textAlignment w:val="auto"/>
            <w:rPr>
              <w:rFonts w:hint="default" w:ascii="Times New Roman" w:hAnsi="Times New Roman" w:cs="Times New Roman"/>
              <w:highlight w:val="none"/>
            </w:rPr>
          </w:pPr>
          <w:r>
            <w:rPr>
              <w:rFonts w:hint="default" w:ascii="Times New Roman" w:hAnsi="Times New Roman" w:cs="Times New Roman"/>
              <w:szCs w:val="24"/>
              <w:highlight w:val="none"/>
            </w:rPr>
            <w:fldChar w:fldCharType="begin"/>
          </w:r>
          <w:r>
            <w:rPr>
              <w:rFonts w:hint="default" w:ascii="Times New Roman" w:hAnsi="Times New Roman" w:cs="Times New Roman"/>
              <w:szCs w:val="24"/>
              <w:highlight w:val="none"/>
            </w:rPr>
            <w:instrText xml:space="preserve"> HYPERLINK \l _Toc234 </w:instrText>
          </w:r>
          <w:r>
            <w:rPr>
              <w:rFonts w:hint="default" w:ascii="Times New Roman" w:hAnsi="Times New Roman" w:cs="Times New Roman"/>
              <w:szCs w:val="24"/>
              <w:highlight w:val="none"/>
            </w:rPr>
            <w:fldChar w:fldCharType="separate"/>
          </w:r>
          <w:r>
            <w:rPr>
              <w:rFonts w:hint="default" w:ascii="Times New Roman" w:hAnsi="Times New Roman" w:cs="Times New Roman"/>
              <w:highlight w:val="none"/>
              <w:lang w:val="en-US" w:eastAsia="zh-CN"/>
            </w:rPr>
            <w:t>5.4.Promotion strategy: maintaining public relations</w:t>
          </w:r>
          <w:r>
            <w:rPr>
              <w:rFonts w:hint="default" w:ascii="Times New Roman" w:hAnsi="Times New Roman" w:cs="Times New Roman"/>
              <w:highlight w:val="none"/>
            </w:rPr>
            <w:tab/>
          </w:r>
          <w:r>
            <w:rPr>
              <w:rFonts w:hint="default" w:ascii="Times New Roman" w:hAnsi="Times New Roman" w:cs="Times New Roman"/>
              <w:highlight w:val="none"/>
            </w:rPr>
            <w:fldChar w:fldCharType="begin"/>
          </w:r>
          <w:r>
            <w:rPr>
              <w:rFonts w:hint="default" w:ascii="Times New Roman" w:hAnsi="Times New Roman" w:cs="Times New Roman"/>
              <w:highlight w:val="none"/>
            </w:rPr>
            <w:instrText xml:space="preserve"> PAGEREF _Toc234 \h </w:instrText>
          </w:r>
          <w:r>
            <w:rPr>
              <w:rFonts w:hint="default" w:ascii="Times New Roman" w:hAnsi="Times New Roman" w:cs="Times New Roman"/>
              <w:highlight w:val="none"/>
            </w:rPr>
            <w:fldChar w:fldCharType="separate"/>
          </w:r>
          <w:r>
            <w:rPr>
              <w:rFonts w:hint="default" w:ascii="Times New Roman" w:hAnsi="Times New Roman" w:cs="Times New Roman"/>
              <w:highlight w:val="none"/>
            </w:rPr>
            <w:t>21</w:t>
          </w:r>
          <w:r>
            <w:rPr>
              <w:rFonts w:hint="default" w:ascii="Times New Roman" w:hAnsi="Times New Roman" w:cs="Times New Roman"/>
              <w:highlight w:val="none"/>
            </w:rPr>
            <w:fldChar w:fldCharType="end"/>
          </w:r>
          <w:r>
            <w:rPr>
              <w:rFonts w:hint="default" w:ascii="Times New Roman" w:hAnsi="Times New Roman" w:cs="Times New Roman"/>
              <w:szCs w:val="24"/>
              <w:highlight w:val="none"/>
            </w:rPr>
            <w:fldChar w:fldCharType="end"/>
          </w:r>
        </w:p>
        <w:p>
          <w:pPr>
            <w:pStyle w:val="9"/>
            <w:keepNext w:val="0"/>
            <w:keepLines w:val="0"/>
            <w:pageBreakBefore w:val="0"/>
            <w:widowControl/>
            <w:tabs>
              <w:tab w:val="right" w:leader="dot" w:pos="8306"/>
            </w:tabs>
            <w:kinsoku/>
            <w:wordWrap/>
            <w:overflowPunct/>
            <w:topLinePunct w:val="0"/>
            <w:autoSpaceDE/>
            <w:autoSpaceDN/>
            <w:bidi w:val="0"/>
            <w:adjustRightInd/>
            <w:snapToGrid/>
            <w:spacing w:line="240" w:lineRule="auto"/>
            <w:textAlignment w:val="auto"/>
            <w:rPr>
              <w:rFonts w:hint="default" w:ascii="Times New Roman" w:hAnsi="Times New Roman" w:cs="Times New Roman"/>
              <w:highlight w:val="none"/>
            </w:rPr>
          </w:pPr>
          <w:r>
            <w:rPr>
              <w:rFonts w:hint="default" w:ascii="Times New Roman" w:hAnsi="Times New Roman" w:cs="Times New Roman"/>
              <w:szCs w:val="24"/>
              <w:highlight w:val="none"/>
            </w:rPr>
            <w:fldChar w:fldCharType="begin"/>
          </w:r>
          <w:r>
            <w:rPr>
              <w:rFonts w:hint="default" w:ascii="Times New Roman" w:hAnsi="Times New Roman" w:cs="Times New Roman"/>
              <w:szCs w:val="24"/>
              <w:highlight w:val="none"/>
            </w:rPr>
            <w:instrText xml:space="preserve"> HYPERLINK \l _Toc6218 </w:instrText>
          </w:r>
          <w:r>
            <w:rPr>
              <w:rFonts w:hint="default" w:ascii="Times New Roman" w:hAnsi="Times New Roman" w:cs="Times New Roman"/>
              <w:szCs w:val="24"/>
              <w:highlight w:val="none"/>
            </w:rPr>
            <w:fldChar w:fldCharType="separate"/>
          </w:r>
          <w:r>
            <w:rPr>
              <w:rFonts w:hint="default" w:ascii="Times New Roman" w:hAnsi="Times New Roman" w:cs="Times New Roman"/>
              <w:highlight w:val="none"/>
              <w:lang w:val="en-US" w:eastAsia="zh-CN"/>
            </w:rPr>
            <w:t>6.Suggestions</w:t>
          </w:r>
          <w:r>
            <w:rPr>
              <w:rFonts w:hint="default" w:ascii="Times New Roman" w:hAnsi="Times New Roman" w:cs="Times New Roman"/>
              <w:highlight w:val="none"/>
            </w:rPr>
            <w:tab/>
          </w:r>
          <w:r>
            <w:rPr>
              <w:rFonts w:hint="default" w:ascii="Times New Roman" w:hAnsi="Times New Roman" w:cs="Times New Roman"/>
              <w:highlight w:val="none"/>
            </w:rPr>
            <w:fldChar w:fldCharType="begin"/>
          </w:r>
          <w:r>
            <w:rPr>
              <w:rFonts w:hint="default" w:ascii="Times New Roman" w:hAnsi="Times New Roman" w:cs="Times New Roman"/>
              <w:highlight w:val="none"/>
            </w:rPr>
            <w:instrText xml:space="preserve"> PAGEREF _Toc6218 \h </w:instrText>
          </w:r>
          <w:r>
            <w:rPr>
              <w:rFonts w:hint="default" w:ascii="Times New Roman" w:hAnsi="Times New Roman" w:cs="Times New Roman"/>
              <w:highlight w:val="none"/>
            </w:rPr>
            <w:fldChar w:fldCharType="separate"/>
          </w:r>
          <w:r>
            <w:rPr>
              <w:rFonts w:hint="default" w:ascii="Times New Roman" w:hAnsi="Times New Roman" w:cs="Times New Roman"/>
              <w:highlight w:val="none"/>
            </w:rPr>
            <w:t>22</w:t>
          </w:r>
          <w:r>
            <w:rPr>
              <w:rFonts w:hint="default" w:ascii="Times New Roman" w:hAnsi="Times New Roman" w:cs="Times New Roman"/>
              <w:highlight w:val="none"/>
            </w:rPr>
            <w:fldChar w:fldCharType="end"/>
          </w:r>
          <w:r>
            <w:rPr>
              <w:rFonts w:hint="default" w:ascii="Times New Roman" w:hAnsi="Times New Roman" w:cs="Times New Roman"/>
              <w:szCs w:val="24"/>
              <w:highlight w:val="none"/>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240" w:lineRule="auto"/>
            <w:textAlignment w:val="auto"/>
            <w:rPr>
              <w:rFonts w:hint="default" w:ascii="Times New Roman" w:hAnsi="Times New Roman" w:cs="Times New Roman"/>
              <w:highlight w:val="none"/>
            </w:rPr>
          </w:pPr>
          <w:r>
            <w:rPr>
              <w:rFonts w:hint="default" w:ascii="Times New Roman" w:hAnsi="Times New Roman" w:cs="Times New Roman"/>
              <w:szCs w:val="24"/>
              <w:highlight w:val="none"/>
            </w:rPr>
            <w:fldChar w:fldCharType="begin"/>
          </w:r>
          <w:r>
            <w:rPr>
              <w:rFonts w:hint="default" w:ascii="Times New Roman" w:hAnsi="Times New Roman" w:cs="Times New Roman"/>
              <w:szCs w:val="24"/>
              <w:highlight w:val="none"/>
            </w:rPr>
            <w:instrText xml:space="preserve"> HYPERLINK \l _Toc25442 </w:instrText>
          </w:r>
          <w:r>
            <w:rPr>
              <w:rFonts w:hint="default" w:ascii="Times New Roman" w:hAnsi="Times New Roman" w:cs="Times New Roman"/>
              <w:szCs w:val="24"/>
              <w:highlight w:val="none"/>
            </w:rPr>
            <w:fldChar w:fldCharType="separate"/>
          </w:r>
          <w:r>
            <w:rPr>
              <w:rFonts w:hint="default" w:ascii="Times New Roman" w:hAnsi="Times New Roman" w:cs="Times New Roman"/>
              <w:highlight w:val="none"/>
              <w:lang w:val="en-US" w:eastAsia="zh-CN"/>
            </w:rPr>
            <w:t>6.1.Increase brand awareness</w:t>
          </w:r>
          <w:r>
            <w:rPr>
              <w:rFonts w:hint="default" w:ascii="Times New Roman" w:hAnsi="Times New Roman" w:cs="Times New Roman"/>
              <w:highlight w:val="none"/>
            </w:rPr>
            <w:tab/>
          </w:r>
          <w:r>
            <w:rPr>
              <w:rFonts w:hint="default" w:ascii="Times New Roman" w:hAnsi="Times New Roman" w:cs="Times New Roman"/>
              <w:highlight w:val="none"/>
            </w:rPr>
            <w:fldChar w:fldCharType="begin"/>
          </w:r>
          <w:r>
            <w:rPr>
              <w:rFonts w:hint="default" w:ascii="Times New Roman" w:hAnsi="Times New Roman" w:cs="Times New Roman"/>
              <w:highlight w:val="none"/>
            </w:rPr>
            <w:instrText xml:space="preserve"> PAGEREF _Toc25442 \h </w:instrText>
          </w:r>
          <w:r>
            <w:rPr>
              <w:rFonts w:hint="default" w:ascii="Times New Roman" w:hAnsi="Times New Roman" w:cs="Times New Roman"/>
              <w:highlight w:val="none"/>
            </w:rPr>
            <w:fldChar w:fldCharType="separate"/>
          </w:r>
          <w:r>
            <w:rPr>
              <w:rFonts w:hint="default" w:ascii="Times New Roman" w:hAnsi="Times New Roman" w:cs="Times New Roman"/>
              <w:highlight w:val="none"/>
            </w:rPr>
            <w:t>22</w:t>
          </w:r>
          <w:r>
            <w:rPr>
              <w:rFonts w:hint="default" w:ascii="Times New Roman" w:hAnsi="Times New Roman" w:cs="Times New Roman"/>
              <w:highlight w:val="none"/>
            </w:rPr>
            <w:fldChar w:fldCharType="end"/>
          </w:r>
          <w:r>
            <w:rPr>
              <w:rFonts w:hint="default" w:ascii="Times New Roman" w:hAnsi="Times New Roman" w:cs="Times New Roman"/>
              <w:szCs w:val="24"/>
              <w:highlight w:val="none"/>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240" w:lineRule="auto"/>
            <w:textAlignment w:val="auto"/>
            <w:rPr>
              <w:rFonts w:hint="default" w:ascii="Times New Roman" w:hAnsi="Times New Roman" w:cs="Times New Roman"/>
              <w:highlight w:val="none"/>
            </w:rPr>
          </w:pPr>
          <w:r>
            <w:rPr>
              <w:rFonts w:hint="default" w:ascii="Times New Roman" w:hAnsi="Times New Roman" w:cs="Times New Roman"/>
              <w:szCs w:val="24"/>
              <w:highlight w:val="none"/>
            </w:rPr>
            <w:fldChar w:fldCharType="begin"/>
          </w:r>
          <w:r>
            <w:rPr>
              <w:rFonts w:hint="default" w:ascii="Times New Roman" w:hAnsi="Times New Roman" w:cs="Times New Roman"/>
              <w:szCs w:val="24"/>
              <w:highlight w:val="none"/>
            </w:rPr>
            <w:instrText xml:space="preserve"> HYPERLINK \l _Toc32610 </w:instrText>
          </w:r>
          <w:r>
            <w:rPr>
              <w:rFonts w:hint="default" w:ascii="Times New Roman" w:hAnsi="Times New Roman" w:cs="Times New Roman"/>
              <w:szCs w:val="24"/>
              <w:highlight w:val="none"/>
            </w:rPr>
            <w:fldChar w:fldCharType="separate"/>
          </w:r>
          <w:r>
            <w:rPr>
              <w:rFonts w:hint="default" w:ascii="Times New Roman" w:hAnsi="Times New Roman" w:cs="Times New Roman"/>
              <w:highlight w:val="none"/>
              <w:lang w:val="en-US" w:eastAsia="zh-CN"/>
            </w:rPr>
            <w:t>6.2 Enhance support facilities</w:t>
          </w:r>
          <w:r>
            <w:rPr>
              <w:rFonts w:hint="default" w:ascii="Times New Roman" w:hAnsi="Times New Roman" w:cs="Times New Roman"/>
              <w:highlight w:val="none"/>
            </w:rPr>
            <w:tab/>
          </w:r>
          <w:r>
            <w:rPr>
              <w:rFonts w:hint="default" w:ascii="Times New Roman" w:hAnsi="Times New Roman" w:cs="Times New Roman"/>
              <w:highlight w:val="none"/>
            </w:rPr>
            <w:fldChar w:fldCharType="begin"/>
          </w:r>
          <w:r>
            <w:rPr>
              <w:rFonts w:hint="default" w:ascii="Times New Roman" w:hAnsi="Times New Roman" w:cs="Times New Roman"/>
              <w:highlight w:val="none"/>
            </w:rPr>
            <w:instrText xml:space="preserve"> PAGEREF _Toc32610 \h </w:instrText>
          </w:r>
          <w:r>
            <w:rPr>
              <w:rFonts w:hint="default" w:ascii="Times New Roman" w:hAnsi="Times New Roman" w:cs="Times New Roman"/>
              <w:highlight w:val="none"/>
            </w:rPr>
            <w:fldChar w:fldCharType="separate"/>
          </w:r>
          <w:r>
            <w:rPr>
              <w:rFonts w:hint="default" w:ascii="Times New Roman" w:hAnsi="Times New Roman" w:cs="Times New Roman"/>
              <w:highlight w:val="none"/>
            </w:rPr>
            <w:t>22</w:t>
          </w:r>
          <w:r>
            <w:rPr>
              <w:rFonts w:hint="default" w:ascii="Times New Roman" w:hAnsi="Times New Roman" w:cs="Times New Roman"/>
              <w:highlight w:val="none"/>
            </w:rPr>
            <w:fldChar w:fldCharType="end"/>
          </w:r>
          <w:r>
            <w:rPr>
              <w:rFonts w:hint="default" w:ascii="Times New Roman" w:hAnsi="Times New Roman" w:cs="Times New Roman"/>
              <w:szCs w:val="24"/>
              <w:highlight w:val="none"/>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240" w:lineRule="auto"/>
            <w:textAlignment w:val="auto"/>
            <w:rPr>
              <w:rFonts w:hint="default" w:ascii="Times New Roman" w:hAnsi="Times New Roman" w:cs="Times New Roman"/>
              <w:highlight w:val="none"/>
            </w:rPr>
          </w:pPr>
          <w:r>
            <w:rPr>
              <w:rFonts w:hint="default" w:ascii="Times New Roman" w:hAnsi="Times New Roman" w:cs="Times New Roman"/>
              <w:szCs w:val="24"/>
              <w:highlight w:val="none"/>
            </w:rPr>
            <w:fldChar w:fldCharType="begin"/>
          </w:r>
          <w:r>
            <w:rPr>
              <w:rFonts w:hint="default" w:ascii="Times New Roman" w:hAnsi="Times New Roman" w:cs="Times New Roman"/>
              <w:szCs w:val="24"/>
              <w:highlight w:val="none"/>
            </w:rPr>
            <w:instrText xml:space="preserve"> HYPERLINK \l _Toc24760 </w:instrText>
          </w:r>
          <w:r>
            <w:rPr>
              <w:rFonts w:hint="default" w:ascii="Times New Roman" w:hAnsi="Times New Roman" w:cs="Times New Roman"/>
              <w:szCs w:val="24"/>
              <w:highlight w:val="none"/>
            </w:rPr>
            <w:fldChar w:fldCharType="separate"/>
          </w:r>
          <w:r>
            <w:rPr>
              <w:rFonts w:hint="default" w:ascii="Times New Roman" w:hAnsi="Times New Roman" w:cs="Times New Roman"/>
              <w:highlight w:val="none"/>
              <w:lang w:val="en-US" w:eastAsia="zh-CN"/>
            </w:rPr>
            <w:t>6.3.Better corporate culture</w:t>
          </w:r>
          <w:r>
            <w:rPr>
              <w:rFonts w:hint="default" w:ascii="Times New Roman" w:hAnsi="Times New Roman" w:cs="Times New Roman"/>
              <w:highlight w:val="none"/>
            </w:rPr>
            <w:tab/>
          </w:r>
          <w:r>
            <w:rPr>
              <w:rFonts w:hint="default" w:ascii="Times New Roman" w:hAnsi="Times New Roman" w:cs="Times New Roman"/>
              <w:highlight w:val="none"/>
            </w:rPr>
            <w:fldChar w:fldCharType="begin"/>
          </w:r>
          <w:r>
            <w:rPr>
              <w:rFonts w:hint="default" w:ascii="Times New Roman" w:hAnsi="Times New Roman" w:cs="Times New Roman"/>
              <w:highlight w:val="none"/>
            </w:rPr>
            <w:instrText xml:space="preserve"> PAGEREF _Toc24760 \h </w:instrText>
          </w:r>
          <w:r>
            <w:rPr>
              <w:rFonts w:hint="default" w:ascii="Times New Roman" w:hAnsi="Times New Roman" w:cs="Times New Roman"/>
              <w:highlight w:val="none"/>
            </w:rPr>
            <w:fldChar w:fldCharType="separate"/>
          </w:r>
          <w:r>
            <w:rPr>
              <w:rFonts w:hint="default" w:ascii="Times New Roman" w:hAnsi="Times New Roman" w:cs="Times New Roman"/>
              <w:highlight w:val="none"/>
            </w:rPr>
            <w:t>23</w:t>
          </w:r>
          <w:r>
            <w:rPr>
              <w:rFonts w:hint="default" w:ascii="Times New Roman" w:hAnsi="Times New Roman" w:cs="Times New Roman"/>
              <w:highlight w:val="none"/>
            </w:rPr>
            <w:fldChar w:fldCharType="end"/>
          </w:r>
          <w:r>
            <w:rPr>
              <w:rFonts w:hint="default" w:ascii="Times New Roman" w:hAnsi="Times New Roman" w:cs="Times New Roman"/>
              <w:szCs w:val="24"/>
              <w:highlight w:val="none"/>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240" w:lineRule="auto"/>
            <w:textAlignment w:val="auto"/>
            <w:rPr>
              <w:rFonts w:hint="default" w:ascii="Times New Roman" w:hAnsi="Times New Roman" w:cs="Times New Roman"/>
              <w:highlight w:val="none"/>
            </w:rPr>
          </w:pPr>
          <w:r>
            <w:rPr>
              <w:rFonts w:hint="default" w:ascii="Times New Roman" w:hAnsi="Times New Roman" w:cs="Times New Roman"/>
              <w:szCs w:val="24"/>
              <w:highlight w:val="none"/>
            </w:rPr>
            <w:fldChar w:fldCharType="begin"/>
          </w:r>
          <w:r>
            <w:rPr>
              <w:rFonts w:hint="default" w:ascii="Times New Roman" w:hAnsi="Times New Roman" w:cs="Times New Roman"/>
              <w:szCs w:val="24"/>
              <w:highlight w:val="none"/>
            </w:rPr>
            <w:instrText xml:space="preserve"> HYPERLINK \l _Toc21804 </w:instrText>
          </w:r>
          <w:r>
            <w:rPr>
              <w:rFonts w:hint="default" w:ascii="Times New Roman" w:hAnsi="Times New Roman" w:cs="Times New Roman"/>
              <w:szCs w:val="24"/>
              <w:highlight w:val="none"/>
            </w:rPr>
            <w:fldChar w:fldCharType="separate"/>
          </w:r>
          <w:r>
            <w:rPr>
              <w:rFonts w:hint="default" w:ascii="Times New Roman" w:hAnsi="Times New Roman" w:cs="Times New Roman"/>
              <w:highlight w:val="none"/>
              <w:lang w:val="en-US" w:eastAsia="zh-CN"/>
            </w:rPr>
            <w:t>6.4.Increase the use of data analysis</w:t>
          </w:r>
          <w:r>
            <w:rPr>
              <w:rFonts w:hint="default" w:ascii="Times New Roman" w:hAnsi="Times New Roman" w:cs="Times New Roman"/>
              <w:highlight w:val="none"/>
            </w:rPr>
            <w:tab/>
          </w:r>
          <w:r>
            <w:rPr>
              <w:rFonts w:hint="default" w:ascii="Times New Roman" w:hAnsi="Times New Roman" w:cs="Times New Roman"/>
              <w:highlight w:val="none"/>
            </w:rPr>
            <w:fldChar w:fldCharType="begin"/>
          </w:r>
          <w:r>
            <w:rPr>
              <w:rFonts w:hint="default" w:ascii="Times New Roman" w:hAnsi="Times New Roman" w:cs="Times New Roman"/>
              <w:highlight w:val="none"/>
            </w:rPr>
            <w:instrText xml:space="preserve"> PAGEREF _Toc21804 \h </w:instrText>
          </w:r>
          <w:r>
            <w:rPr>
              <w:rFonts w:hint="default" w:ascii="Times New Roman" w:hAnsi="Times New Roman" w:cs="Times New Roman"/>
              <w:highlight w:val="none"/>
            </w:rPr>
            <w:fldChar w:fldCharType="separate"/>
          </w:r>
          <w:r>
            <w:rPr>
              <w:rFonts w:hint="default" w:ascii="Times New Roman" w:hAnsi="Times New Roman" w:cs="Times New Roman"/>
              <w:highlight w:val="none"/>
            </w:rPr>
            <w:t>24</w:t>
          </w:r>
          <w:r>
            <w:rPr>
              <w:rFonts w:hint="default" w:ascii="Times New Roman" w:hAnsi="Times New Roman" w:cs="Times New Roman"/>
              <w:highlight w:val="none"/>
            </w:rPr>
            <w:fldChar w:fldCharType="end"/>
          </w:r>
          <w:r>
            <w:rPr>
              <w:rFonts w:hint="default" w:ascii="Times New Roman" w:hAnsi="Times New Roman" w:cs="Times New Roman"/>
              <w:szCs w:val="24"/>
              <w:highlight w:val="none"/>
            </w:rPr>
            <w:fldChar w:fldCharType="end"/>
          </w:r>
        </w:p>
        <w:p>
          <w:pPr>
            <w:pStyle w:val="9"/>
            <w:keepNext w:val="0"/>
            <w:keepLines w:val="0"/>
            <w:pageBreakBefore w:val="0"/>
            <w:widowControl/>
            <w:tabs>
              <w:tab w:val="right" w:leader="dot" w:pos="8306"/>
            </w:tabs>
            <w:kinsoku/>
            <w:wordWrap/>
            <w:overflowPunct/>
            <w:topLinePunct w:val="0"/>
            <w:autoSpaceDE/>
            <w:autoSpaceDN/>
            <w:bidi w:val="0"/>
            <w:adjustRightInd/>
            <w:snapToGrid/>
            <w:spacing w:line="240" w:lineRule="auto"/>
            <w:textAlignment w:val="auto"/>
            <w:rPr>
              <w:rFonts w:hint="default" w:ascii="Times New Roman" w:hAnsi="Times New Roman" w:cs="Times New Roman"/>
              <w:highlight w:val="none"/>
            </w:rPr>
          </w:pPr>
          <w:r>
            <w:rPr>
              <w:rFonts w:hint="default" w:ascii="Times New Roman" w:hAnsi="Times New Roman" w:cs="Times New Roman"/>
              <w:szCs w:val="24"/>
              <w:highlight w:val="none"/>
            </w:rPr>
            <w:fldChar w:fldCharType="begin"/>
          </w:r>
          <w:r>
            <w:rPr>
              <w:rFonts w:hint="default" w:ascii="Times New Roman" w:hAnsi="Times New Roman" w:cs="Times New Roman"/>
              <w:szCs w:val="24"/>
              <w:highlight w:val="none"/>
            </w:rPr>
            <w:instrText xml:space="preserve"> HYPERLINK \l _Toc17693 </w:instrText>
          </w:r>
          <w:r>
            <w:rPr>
              <w:rFonts w:hint="default" w:ascii="Times New Roman" w:hAnsi="Times New Roman" w:cs="Times New Roman"/>
              <w:szCs w:val="24"/>
              <w:highlight w:val="none"/>
            </w:rPr>
            <w:fldChar w:fldCharType="separate"/>
          </w:r>
          <w:r>
            <w:rPr>
              <w:rFonts w:hint="default" w:ascii="Times New Roman" w:hAnsi="Times New Roman" w:cs="Times New Roman"/>
              <w:highlight w:val="none"/>
              <w:lang w:val="en-US" w:eastAsia="zh-CN"/>
            </w:rPr>
            <w:t>Reference</w:t>
          </w:r>
          <w:r>
            <w:rPr>
              <w:rFonts w:hint="default" w:ascii="Times New Roman" w:hAnsi="Times New Roman" w:cs="Times New Roman"/>
              <w:highlight w:val="none"/>
            </w:rPr>
            <w:tab/>
          </w:r>
          <w:r>
            <w:rPr>
              <w:rFonts w:hint="default" w:ascii="Times New Roman" w:hAnsi="Times New Roman" w:cs="Times New Roman"/>
              <w:highlight w:val="none"/>
            </w:rPr>
            <w:fldChar w:fldCharType="begin"/>
          </w:r>
          <w:r>
            <w:rPr>
              <w:rFonts w:hint="default" w:ascii="Times New Roman" w:hAnsi="Times New Roman" w:cs="Times New Roman"/>
              <w:highlight w:val="none"/>
            </w:rPr>
            <w:instrText xml:space="preserve"> PAGEREF _Toc17693 \h </w:instrText>
          </w:r>
          <w:r>
            <w:rPr>
              <w:rFonts w:hint="default" w:ascii="Times New Roman" w:hAnsi="Times New Roman" w:cs="Times New Roman"/>
              <w:highlight w:val="none"/>
            </w:rPr>
            <w:fldChar w:fldCharType="separate"/>
          </w:r>
          <w:r>
            <w:rPr>
              <w:rFonts w:hint="default" w:ascii="Times New Roman" w:hAnsi="Times New Roman" w:cs="Times New Roman"/>
              <w:highlight w:val="none"/>
            </w:rPr>
            <w:t>24</w:t>
          </w:r>
          <w:r>
            <w:rPr>
              <w:rFonts w:hint="default" w:ascii="Times New Roman" w:hAnsi="Times New Roman" w:cs="Times New Roman"/>
              <w:highlight w:val="none"/>
            </w:rPr>
            <w:fldChar w:fldCharType="end"/>
          </w:r>
          <w:r>
            <w:rPr>
              <w:rFonts w:hint="default" w:ascii="Times New Roman" w:hAnsi="Times New Roman" w:cs="Times New Roman"/>
              <w:szCs w:val="24"/>
              <w:highlight w:val="none"/>
            </w:rPr>
            <w:fldChar w:fldCharType="end"/>
          </w:r>
        </w:p>
        <w:p>
          <w:pPr>
            <w:keepNext w:val="0"/>
            <w:keepLines w:val="0"/>
            <w:pageBreakBefore w:val="0"/>
            <w:widowControl/>
            <w:kinsoku/>
            <w:wordWrap/>
            <w:overflowPunct/>
            <w:topLinePunct w:val="0"/>
            <w:autoSpaceDE/>
            <w:autoSpaceDN/>
            <w:bidi w:val="0"/>
            <w:adjustRightInd/>
            <w:snapToGrid/>
            <w:spacing w:line="240" w:lineRule="auto"/>
            <w:textAlignment w:val="auto"/>
            <w:rPr>
              <w:highlight w:val="none"/>
            </w:rPr>
          </w:pPr>
          <w:r>
            <w:rPr>
              <w:rFonts w:hint="default" w:ascii="Times New Roman" w:hAnsi="Times New Roman" w:cs="Times New Roman"/>
              <w:szCs w:val="24"/>
              <w:highlight w:val="none"/>
            </w:rPr>
            <w:fldChar w:fldCharType="end"/>
          </w:r>
        </w:p>
      </w:sdtContent>
    </w:sdt>
    <w:p>
      <w:pPr>
        <w:rPr>
          <w:highlight w:val="none"/>
        </w:rPr>
      </w:pPr>
      <w:r>
        <w:rPr>
          <w:highlight w:val="none"/>
        </w:rPr>
        <w:br w:type="page"/>
      </w:r>
    </w:p>
    <w:p>
      <w:pPr>
        <w:keepNext w:val="0"/>
        <w:keepLines w:val="0"/>
        <w:pageBreakBefore w:val="0"/>
        <w:widowControl/>
        <w:kinsoku/>
        <w:wordWrap/>
        <w:overflowPunct/>
        <w:topLinePunct w:val="0"/>
        <w:autoSpaceDE/>
        <w:autoSpaceDN/>
        <w:bidi w:val="0"/>
        <w:adjustRightInd/>
        <w:snapToGrid/>
        <w:spacing w:line="240" w:lineRule="auto"/>
        <w:ind w:left="0" w:leftChars="0" w:firstLine="0" w:firstLineChars="0"/>
        <w:jc w:val="both"/>
        <w:textAlignment w:val="auto"/>
        <w:rPr>
          <w:highlight w:val="none"/>
        </w:rPr>
        <w:sectPr>
          <w:footerReference r:id="rId5" w:type="default"/>
          <w:pgSz w:w="11906" w:h="16838"/>
          <w:pgMar w:top="1440" w:right="1800" w:bottom="1440" w:left="1800" w:header="851" w:footer="992" w:gutter="0"/>
          <w:pgBorders>
            <w:top w:val="none" w:sz="0" w:space="0"/>
            <w:left w:val="none" w:sz="0" w:space="0"/>
            <w:bottom w:val="none" w:sz="0" w:space="0"/>
            <w:right w:val="none" w:sz="0" w:space="0"/>
          </w:pgBorders>
          <w:pgNumType w:start="1"/>
          <w:cols w:space="425" w:num="1"/>
          <w:docGrid w:type="lines" w:linePitch="312" w:charSpace="0"/>
        </w:sectPr>
      </w:pPr>
    </w:p>
    <w:p>
      <w:pPr>
        <w:bidi w:val="0"/>
        <w:ind w:left="0" w:leftChars="0" w:firstLine="0" w:firstLineChars="0"/>
        <w:rPr>
          <w:rFonts w:hint="eastAsia"/>
          <w:highlight w:val="none"/>
          <w:lang w:val="en-US" w:eastAsia="zh-CN"/>
        </w:rPr>
      </w:pPr>
      <w:r>
        <w:rPr>
          <w:rFonts w:hint="eastAsia"/>
          <w:b/>
          <w:bCs/>
          <w:highlight w:val="none"/>
          <w:lang w:val="en-US" w:eastAsia="zh-CN"/>
        </w:rPr>
        <w:t xml:space="preserve">Executive summary: </w:t>
      </w:r>
      <w:r>
        <w:rPr>
          <w:rFonts w:hint="eastAsia"/>
          <w:highlight w:val="none"/>
          <w:lang w:val="en-US" w:eastAsia="zh-CN"/>
        </w:rPr>
        <w:t>Abstract: The traditional automotive industry has been impacted by the rapid development of science and technology, and the advent of new energy has caused traditional automobile companies to seek new development prospects, with some enterprises beginning to transition to new energy vehicles.In this context, BYD began the transition from traditional cars to new energy vehicles.In this paper, using byd as the analysis object, analyse the company strategy, based on a brief byd company current situation, in the macro level using the PEST model, in the industry level using the port five force model, enterprise internal use SWOT model, from three dimensions of the overall competitive advantage of byd basic strategic type of analysis, should be from the market, channels, promotion, and public relations four levels, build different.</w:t>
      </w:r>
    </w:p>
    <w:p>
      <w:pPr>
        <w:pStyle w:val="2"/>
        <w:pageBreakBefore w:val="0"/>
        <w:widowControl/>
        <w:kinsoku/>
        <w:overflowPunct/>
        <w:topLinePunct w:val="0"/>
        <w:autoSpaceDE/>
        <w:autoSpaceDN/>
        <w:bidi w:val="0"/>
        <w:adjustRightInd/>
        <w:snapToGrid/>
        <w:spacing w:line="480" w:lineRule="auto"/>
        <w:textAlignment w:val="auto"/>
        <w:rPr>
          <w:rFonts w:hint="eastAsia"/>
          <w:highlight w:val="none"/>
          <w:lang w:val="en-US" w:eastAsia="zh-CN"/>
        </w:rPr>
      </w:pPr>
      <w:bookmarkStart w:id="5" w:name="_Toc10709"/>
      <w:bookmarkStart w:id="6" w:name="_Toc29712"/>
      <w:r>
        <w:rPr>
          <w:rFonts w:hint="eastAsia"/>
          <w:highlight w:val="none"/>
          <w:lang w:val="en-US" w:eastAsia="zh-CN"/>
        </w:rPr>
        <w:t>1.Introduction</w:t>
      </w:r>
      <w:bookmarkEnd w:id="5"/>
      <w:bookmarkEnd w:id="6"/>
    </w:p>
    <w:p>
      <w:pPr>
        <w:bidi w:val="0"/>
        <w:ind w:left="0" w:leftChars="0" w:firstLine="0" w:firstLineChars="0"/>
        <w:rPr>
          <w:rFonts w:hint="default"/>
          <w:highlight w:val="none"/>
          <w:lang w:val="en-US" w:eastAsia="zh-CN"/>
        </w:rPr>
      </w:pPr>
      <w:r>
        <w:rPr>
          <w:rFonts w:hint="default"/>
          <w:highlight w:val="none"/>
          <w:lang w:val="en-US" w:eastAsia="zh-CN"/>
        </w:rPr>
        <w:t>BYD Co., Ltd</w:t>
      </w:r>
      <w:r>
        <w:rPr>
          <w:rFonts w:hint="eastAsia"/>
          <w:highlight w:val="none"/>
          <w:lang w:val="en-US" w:eastAsia="zh-CN"/>
        </w:rPr>
        <w:t>.</w:t>
      </w:r>
      <w:r>
        <w:rPr>
          <w:rFonts w:hint="default"/>
          <w:highlight w:val="none"/>
          <w:lang w:val="en-US" w:eastAsia="zh-CN"/>
        </w:rPr>
        <w:t>was established in 1995 and has its headquarters in Shenzhen, Guangdong</w:t>
      </w:r>
      <w:r>
        <w:rPr>
          <w:rFonts w:hint="eastAsia"/>
          <w:highlight w:val="none"/>
          <w:lang w:val="en-US" w:eastAsia="zh-CN"/>
        </w:rPr>
        <w:t>.</w:t>
      </w:r>
      <w:r>
        <w:rPr>
          <w:rFonts w:hint="default"/>
          <w:highlight w:val="none"/>
          <w:lang w:val="en-US" w:eastAsia="zh-CN"/>
        </w:rPr>
        <w:t>It is one of the top 500 firms in China and is listed in both Shenzhen and Hong Kong</w:t>
      </w:r>
      <w:r>
        <w:rPr>
          <w:rFonts w:hint="eastAsia"/>
          <w:highlight w:val="none"/>
          <w:lang w:val="en-US" w:eastAsia="zh-CN"/>
        </w:rPr>
        <w:t>.</w:t>
      </w:r>
      <w:r>
        <w:rPr>
          <w:rFonts w:hint="default"/>
          <w:highlight w:val="none"/>
          <w:lang w:val="en-US" w:eastAsia="zh-CN"/>
        </w:rPr>
        <w:t>Electronics, autos, new energy, and rail transportation are the primary industries</w:t>
      </w:r>
      <w:r>
        <w:rPr>
          <w:rFonts w:hint="eastAsia"/>
          <w:highlight w:val="none"/>
          <w:lang w:val="en-US" w:eastAsia="zh-CN"/>
        </w:rPr>
        <w:t>.</w:t>
      </w:r>
      <w:r>
        <w:rPr>
          <w:rFonts w:hint="default"/>
          <w:highlight w:val="none"/>
          <w:lang w:val="en-US" w:eastAsia="zh-CN"/>
        </w:rPr>
        <w:t>As soon as it was established, the firm started to produce and sell cars using its cutting-edge battery technology, and over time it rose to become a well-known domestic automaker in China</w:t>
      </w:r>
      <w:r>
        <w:rPr>
          <w:rFonts w:hint="eastAsia"/>
          <w:highlight w:val="none"/>
          <w:lang w:val="en-US" w:eastAsia="zh-CN"/>
        </w:rPr>
        <w:t>.</w:t>
      </w:r>
      <w:r>
        <w:rPr>
          <w:rFonts w:hint="default"/>
          <w:highlight w:val="none"/>
          <w:lang w:val="en-US" w:eastAsia="zh-CN"/>
        </w:rPr>
        <w:t>BYD constantly follows three "separate" paradigms of development (independent research and development, independent brand and independent development).It has developed dozens of processing factories and car industry bases both domestically and internationally after years of steady and quick expansion, and its industrial chain has stretched over the entire world</w:t>
      </w:r>
      <w:r>
        <w:rPr>
          <w:rFonts w:hint="eastAsia"/>
          <w:highlight w:val="none"/>
          <w:lang w:val="en-US" w:eastAsia="zh-CN"/>
        </w:rPr>
        <w:t>.</w:t>
      </w:r>
      <w:r>
        <w:rPr>
          <w:rFonts w:hint="default"/>
          <w:highlight w:val="none"/>
          <w:lang w:val="en-US" w:eastAsia="zh-CN"/>
        </w:rPr>
        <w:t>Its industrial layout is continuously getting better because to its R&amp;D prowess and inventive development approach</w:t>
      </w:r>
      <w:r>
        <w:rPr>
          <w:rFonts w:hint="eastAsia"/>
          <w:highlight w:val="none"/>
          <w:lang w:val="en-US" w:eastAsia="zh-CN"/>
        </w:rPr>
        <w:t>.</w:t>
      </w:r>
      <w:r>
        <w:rPr>
          <w:rFonts w:hint="default"/>
          <w:highlight w:val="none"/>
          <w:lang w:val="en-US" w:eastAsia="zh-CN"/>
        </w:rPr>
        <w:t>The manufacture, core technology, and research and development of new energy vehicles have all surpassed international standards</w:t>
      </w:r>
    </w:p>
    <w:p>
      <w:pPr>
        <w:pStyle w:val="4"/>
        <w:keepNext/>
        <w:keepLines/>
        <w:pageBreakBefore w:val="0"/>
        <w:widowControl/>
        <w:kinsoku/>
        <w:wordWrap/>
        <w:overflowPunct/>
        <w:topLinePunct w:val="0"/>
        <w:autoSpaceDE/>
        <w:autoSpaceDN/>
        <w:bidi w:val="0"/>
        <w:adjustRightInd/>
        <w:snapToGrid/>
        <w:spacing w:line="480" w:lineRule="auto"/>
        <w:jc w:val="center"/>
        <w:textAlignment w:val="auto"/>
        <w:outlineLvl w:val="1"/>
        <w:rPr>
          <w:rFonts w:hint="default"/>
          <w:sz w:val="24"/>
          <w:szCs w:val="24"/>
          <w:highlight w:val="none"/>
          <w:lang w:val="en-US" w:eastAsia="zh-CN"/>
        </w:rPr>
      </w:pPr>
      <w:bookmarkStart w:id="7" w:name="_Toc28920"/>
      <w:r>
        <w:rPr>
          <w:rFonts w:hint="eastAsia"/>
          <w:sz w:val="24"/>
          <w:szCs w:val="24"/>
          <w:highlight w:val="none"/>
          <w:lang w:val="en-US" w:eastAsia="zh-CN"/>
        </w:rPr>
        <w:t>Table 1-1 BYD basic information</w:t>
      </w:r>
      <w:bookmarkEnd w:id="7"/>
    </w:p>
    <w:p>
      <w:pPr>
        <w:pageBreakBefore w:val="0"/>
        <w:widowControl/>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highlight w:val="none"/>
          <w:lang w:val="en-US" w:eastAsia="zh-CN"/>
        </w:rPr>
      </w:pPr>
      <w:r>
        <w:rPr>
          <w:highlight w:val="none"/>
        </w:rPr>
        <w:drawing>
          <wp:inline distT="0" distB="0" distL="114300" distR="114300">
            <wp:extent cx="5267960" cy="2059305"/>
            <wp:effectExtent l="0" t="0" r="8890" b="17145"/>
            <wp:docPr id="4"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2"/>
                    <pic:cNvPicPr>
                      <a:picLocks noChangeAspect="1"/>
                    </pic:cNvPicPr>
                  </pic:nvPicPr>
                  <pic:blipFill>
                    <a:blip r:embed="rId9"/>
                    <a:stretch>
                      <a:fillRect/>
                    </a:stretch>
                  </pic:blipFill>
                  <pic:spPr>
                    <a:xfrm>
                      <a:off x="0" y="0"/>
                      <a:ext cx="5267960" cy="2059305"/>
                    </a:xfrm>
                    <a:prstGeom prst="rect">
                      <a:avLst/>
                    </a:prstGeom>
                    <a:noFill/>
                    <a:ln>
                      <a:noFill/>
                    </a:ln>
                  </pic:spPr>
                </pic:pic>
              </a:graphicData>
            </a:graphic>
          </wp:inline>
        </w:drawing>
      </w:r>
    </w:p>
    <w:p>
      <w:pPr>
        <w:bidi w:val="0"/>
        <w:ind w:left="0" w:leftChars="0" w:firstLine="0" w:firstLineChars="0"/>
        <w:rPr>
          <w:rFonts w:hint="default"/>
          <w:highlight w:val="none"/>
          <w:lang w:val="en-US" w:eastAsia="zh-CN"/>
        </w:rPr>
      </w:pPr>
      <w:r>
        <w:rPr>
          <w:rFonts w:hint="default"/>
          <w:highlight w:val="none"/>
          <w:lang w:val="en-US" w:eastAsia="zh-CN"/>
        </w:rPr>
        <w:t>Through the acquisition of auto factory for related auto production qualification and set up byd cars, at present, byd car has been in xi'an, Beijing, Shenzhen, Shanghai established a design, research and development and production center, through years of efforts and the integration of industrial chain, byd has in the vehicle design and parts manufacturing, auto mold design and processing, the core of new energy SanDian technology has reached the international leading level, the overall new energy automobile parts industry is increasingly perfect</w:t>
      </w:r>
      <w:r>
        <w:rPr>
          <w:rFonts w:hint="eastAsia"/>
          <w:highlight w:val="none"/>
          <w:lang w:val="en-US" w:eastAsia="zh-CN"/>
        </w:rPr>
        <w:t>.</w:t>
      </w:r>
      <w:r>
        <w:rPr>
          <w:rFonts w:hint="default"/>
          <w:highlight w:val="none"/>
          <w:lang w:val="en-US" w:eastAsia="zh-CN"/>
        </w:rPr>
        <w:t>Byd will combine its own resources and technological advantages to provide consumers with products that meet the expectations of the new energy vehicle market.</w:t>
      </w:r>
    </w:p>
    <w:p>
      <w:pPr>
        <w:pStyle w:val="2"/>
        <w:bidi w:val="0"/>
        <w:rPr>
          <w:rFonts w:hint="default"/>
          <w:highlight w:val="none"/>
          <w:lang w:val="en-US" w:eastAsia="zh-CN"/>
        </w:rPr>
      </w:pPr>
      <w:bookmarkStart w:id="8" w:name="_Toc17289"/>
      <w:r>
        <w:rPr>
          <w:rFonts w:hint="default"/>
          <w:highlight w:val="none"/>
          <w:lang w:val="en-US" w:eastAsia="zh-CN"/>
        </w:rPr>
        <w:t>2. An examination of the macroscopic environment utilising the PEST model</w:t>
      </w:r>
      <w:bookmarkEnd w:id="8"/>
    </w:p>
    <w:p>
      <w:pPr>
        <w:pStyle w:val="3"/>
        <w:bidi w:val="0"/>
        <w:rPr>
          <w:rFonts w:hint="default"/>
          <w:highlight w:val="none"/>
          <w:lang w:val="en-US" w:eastAsia="zh-CN"/>
        </w:rPr>
      </w:pPr>
      <w:bookmarkStart w:id="9" w:name="_Toc29398"/>
      <w:r>
        <w:rPr>
          <w:rFonts w:hint="default"/>
          <w:highlight w:val="none"/>
          <w:lang w:val="en-US" w:eastAsia="zh-CN"/>
        </w:rPr>
        <w:t>2.1.Political environment</w:t>
      </w:r>
      <w:bookmarkEnd w:id="9"/>
    </w:p>
    <w:p>
      <w:pPr>
        <w:bidi w:val="0"/>
        <w:ind w:left="0" w:leftChars="0" w:firstLine="0" w:firstLineChars="0"/>
        <w:rPr>
          <w:rFonts w:hint="default"/>
          <w:highlight w:val="none"/>
          <w:lang w:val="en-US" w:eastAsia="zh-CN"/>
        </w:rPr>
      </w:pPr>
      <w:r>
        <w:rPr>
          <w:rFonts w:hint="default"/>
          <w:highlight w:val="none"/>
          <w:lang w:val="en-US" w:eastAsia="zh-CN"/>
        </w:rPr>
        <w:t>Political aspects represent the government's attitude toward the development of the new energy vehicle industry, and then adopt the related laws and regulations, such as subsidies, fiscal policies, regulatory policies, and local policies, amongst other things.</w:t>
      </w:r>
    </w:p>
    <w:p>
      <w:pPr>
        <w:bidi w:val="0"/>
        <w:ind w:left="0" w:leftChars="0" w:firstLine="0" w:firstLineChars="0"/>
        <w:rPr>
          <w:rFonts w:hint="default"/>
          <w:highlight w:val="none"/>
          <w:lang w:val="en-US" w:eastAsia="zh-CN"/>
        </w:rPr>
      </w:pPr>
      <w:r>
        <w:rPr>
          <w:rFonts w:hint="default"/>
          <w:highlight w:val="none"/>
          <w:lang w:val="en-US" w:eastAsia="zh-CN"/>
        </w:rPr>
        <w:t>As a result of the fact that political considerations can directly foster or stifle the growth of the new energy vehicle industry, it is extremely important to investigate those political variables.At the moment, the policy environment is the primary impetus behind the development of new types of energy vehicles.The top 10 countries have each enacted a set of regulations designed to increase the use of electric light passenger vehicles and increase their overall market share.Effective policy initiatives have been shown to help make electric vehicles more appealing to consumers, decrease the risk for investors, and encourage manufacturers to scale up production of electric vehicles.Public procurement plan, promote the purchase of electric cars and reduce the cost of financial incentives (such as providing free parking), as well as various levels of administrative regulation, such as fuel economy standards and based on the performance of the vehicle circulation restrictions are some of the ways that national and local governments are helping to foster the growth of electric vehicles and the policies that are related to this sector.</w:t>
      </w:r>
    </w:p>
    <w:p>
      <w:pPr>
        <w:pStyle w:val="3"/>
        <w:bidi w:val="0"/>
        <w:rPr>
          <w:rFonts w:hint="default"/>
          <w:highlight w:val="none"/>
          <w:lang w:val="en-US" w:eastAsia="zh-CN"/>
        </w:rPr>
      </w:pPr>
      <w:bookmarkStart w:id="10" w:name="_Toc21282"/>
      <w:r>
        <w:rPr>
          <w:rFonts w:hint="default"/>
          <w:highlight w:val="none"/>
          <w:lang w:val="en-US" w:eastAsia="zh-CN"/>
        </w:rPr>
        <w:t>2.2 Economic environment</w:t>
      </w:r>
      <w:bookmarkEnd w:id="10"/>
    </w:p>
    <w:p>
      <w:pPr>
        <w:bidi w:val="0"/>
        <w:ind w:left="0" w:leftChars="0" w:firstLine="0" w:firstLineChars="0"/>
        <w:rPr>
          <w:rFonts w:hint="default"/>
          <w:highlight w:val="none"/>
          <w:lang w:val="en-US" w:eastAsia="zh-CN"/>
        </w:rPr>
      </w:pPr>
      <w:r>
        <w:rPr>
          <w:rFonts w:hint="default"/>
          <w:highlight w:val="none"/>
          <w:lang w:val="en-US" w:eastAsia="zh-CN"/>
        </w:rPr>
        <w:t>The growth rate of the global economy in 2017 was 3.1%, which is considerable.Since 2018, there has been a discernible slowdown in the expansion of the world economy, which now stands at 3.0%.As a result of falling trade and investment, the expansion of the world economy is forecast to decelerate to 2.9% in 2019.The annual percentage change of emerging market economies and developing countries is significantly higher than that of mature economies.As a result of supply-side reform, China's economy has transitioned into a new normal, and the country's gross domestic product growth rate dropped to 6.5% in 2018.A robust local demand will be able to support the growth rate, notwithstanding weaker growth rates for exports.The volume of world commerce has been following the same shifting trend as GDP, with strong growth in 2017 and a slower pace of expansion since 2018.</w:t>
      </w:r>
    </w:p>
    <w:p>
      <w:pPr>
        <w:bidi w:val="0"/>
        <w:ind w:left="0" w:leftChars="0" w:firstLine="0" w:firstLineChars="0"/>
        <w:rPr>
          <w:rFonts w:hint="default"/>
          <w:highlight w:val="none"/>
          <w:lang w:val="en-US" w:eastAsia="zh-CN"/>
        </w:rPr>
      </w:pPr>
      <w:r>
        <w:rPr>
          <w:rFonts w:hint="default"/>
          <w:highlight w:val="none"/>
          <w:lang w:val="en-US" w:eastAsia="zh-CN"/>
        </w:rPr>
        <w:t>The World Bank predicts that the country's growth rate would continue to slow down over the course of the next three years, and the picture is not positive.The export and foreign direct investment of new energy vehicles are closely related to the local economic development situation; consequently, the slowdown in the global economic growth rate and the growth rate of the world trade volume is a significant challenge to the international operation of new energy vehicles.</w:t>
      </w:r>
    </w:p>
    <w:p>
      <w:pPr>
        <w:pStyle w:val="3"/>
        <w:bidi w:val="0"/>
        <w:rPr>
          <w:rFonts w:hint="default"/>
          <w:highlight w:val="none"/>
          <w:lang w:val="en-US" w:eastAsia="zh-CN"/>
        </w:rPr>
      </w:pPr>
      <w:bookmarkStart w:id="11" w:name="_Toc32277"/>
      <w:r>
        <w:rPr>
          <w:rFonts w:hint="default"/>
          <w:highlight w:val="none"/>
          <w:lang w:val="en-US" w:eastAsia="zh-CN"/>
        </w:rPr>
        <w:t>2.3.Social environment</w:t>
      </w:r>
      <w:bookmarkEnd w:id="11"/>
    </w:p>
    <w:p>
      <w:pPr>
        <w:bidi w:val="0"/>
        <w:ind w:left="0" w:leftChars="0" w:firstLine="0" w:firstLineChars="0"/>
        <w:rPr>
          <w:rFonts w:hint="default"/>
          <w:highlight w:val="none"/>
          <w:lang w:val="en-US" w:eastAsia="zh-CN"/>
        </w:rPr>
      </w:pPr>
      <w:r>
        <w:rPr>
          <w:rFonts w:hint="default"/>
          <w:highlight w:val="none"/>
          <w:lang w:val="en-US" w:eastAsia="zh-CN"/>
        </w:rPr>
        <w:t>Let's start with the demographic aspects.The size of the population is correlated to the size of the market for new energy vehicles, and the growth rate shows the change that is anticipated to occur in the market size over the course of the estimated future time period.China, India, and the European Union have the greatest populations among BYD's primary clients. With India's population being so near to China's population and having a high growth rate of 1.11%, it can be deduced that the market for new energy vehicles in India is growing at a quick rate.As a result, India possesses the potential to emerge as the new energy powerhouse of cars of the future.</w:t>
      </w:r>
    </w:p>
    <w:p>
      <w:pPr>
        <w:bidi w:val="0"/>
        <w:ind w:left="0" w:leftChars="0" w:firstLine="0" w:firstLineChars="0"/>
        <w:rPr>
          <w:rFonts w:hint="default"/>
          <w:highlight w:val="none"/>
          <w:lang w:val="en-US" w:eastAsia="zh-CN"/>
        </w:rPr>
      </w:pPr>
      <w:r>
        <w:rPr>
          <w:rFonts w:hint="default"/>
          <w:highlight w:val="none"/>
          <w:lang w:val="en-US" w:eastAsia="zh-CN"/>
        </w:rPr>
        <w:t>Second, the distribution of the money.It is possible for the distribution of income to reflect the degree of social progress as well as purchasing power, and it can also have some degree of influence on the growth of the market for new energy vehicles.Since 1980, there has been a general widening of the income divide across the globe in most countries; nevertheless, this trend has been highly variable.The most important elements that have contributed to the enormous wealth disparities are shifts in both economic policies and social institutions.The disintegration of the Soviet Union and the introduction of new social norms resulted in a significant shift in the manner in which wealth was distributed in Russia between the years 1990 and 1995.The disparity in income that exists in India has also grown dramatically, and this trend has been ongoing since 1980.The present income disparity in India is now at a level that is considered to be rather substantial worldwide.Both China's income disparity and its growth rate are more moderate when compared to other countries.Europe has the lowest income gap and the lowest growth rate of any region in the world.</w:t>
      </w:r>
    </w:p>
    <w:p>
      <w:pPr>
        <w:bidi w:val="0"/>
        <w:ind w:left="0" w:leftChars="0" w:firstLine="0" w:firstLineChars="0"/>
        <w:rPr>
          <w:rFonts w:hint="default"/>
          <w:highlight w:val="none"/>
          <w:lang w:val="en-US" w:eastAsia="zh-CN"/>
        </w:rPr>
      </w:pPr>
      <w:r>
        <w:rPr>
          <w:rFonts w:hint="default"/>
          <w:highlight w:val="none"/>
          <w:lang w:val="en-US" w:eastAsia="zh-CN"/>
        </w:rPr>
        <w:t>Third, the cultural aspect.The growing proportion of the sales volume and market share of new energy cars can be seen as a reflection of the growing acceptability of customers from year to year in relation to new energy vehicles as a whole.Many people have an upbeat outlook on the future of new energy vehicles because of the widespread belief that these types of automobiles are less costly to operate and better for the environment.At the same time, a large number of car owners and prospective buyers are concerned about the endurance capacity and charging speed of new energy vehicles. Additionally, the supporting facilities for new energy vehicles are not yet fully developed, which makes charging a difficult and problematic problem.Despite this, the findings suggest that almost half of vehicle owners (45%) have indicated that they would consider purchasing a new-energy vehicle again in the future.It demonstrates that customers have an optimistic outlook on the overall development of new energy vehicles.</w:t>
      </w:r>
    </w:p>
    <w:p>
      <w:pPr>
        <w:bidi w:val="0"/>
        <w:ind w:left="0" w:leftChars="0" w:firstLine="0" w:firstLineChars="0"/>
        <w:rPr>
          <w:rFonts w:hint="default"/>
          <w:highlight w:val="none"/>
          <w:lang w:val="en-US" w:eastAsia="zh-CN"/>
        </w:rPr>
      </w:pPr>
      <w:r>
        <w:rPr>
          <w:rFonts w:hint="default"/>
          <w:highlight w:val="none"/>
          <w:lang w:val="en-US" w:eastAsia="zh-CN"/>
        </w:rPr>
        <w:t>Drops specialises in drivers with byd's new energy electric vehicles, introduced to rent act as purchasing agency model, only need to pay thousands a month to get three years after the ownership of the car. This is just one example of how the attitude of the government and businesses reflects a strong willingness to cooperate.At the same time, BYD has been granted contracts for a number of buses and taxis by a variety of governments and clients across Europe, North America, and South America.</w:t>
      </w:r>
    </w:p>
    <w:p>
      <w:pPr>
        <w:pStyle w:val="3"/>
        <w:bidi w:val="0"/>
        <w:rPr>
          <w:rFonts w:hint="default"/>
          <w:highlight w:val="none"/>
          <w:lang w:val="en-US" w:eastAsia="zh-CN"/>
        </w:rPr>
      </w:pPr>
      <w:bookmarkStart w:id="12" w:name="_Toc5735"/>
      <w:r>
        <w:rPr>
          <w:rFonts w:hint="default"/>
          <w:highlight w:val="none"/>
          <w:lang w:val="en-US" w:eastAsia="zh-CN"/>
        </w:rPr>
        <w:t>2.4.Technical environment</w:t>
      </w:r>
      <w:bookmarkEnd w:id="12"/>
    </w:p>
    <w:p>
      <w:pPr>
        <w:bidi w:val="0"/>
        <w:ind w:left="0" w:leftChars="0" w:firstLine="0" w:firstLineChars="0"/>
        <w:rPr>
          <w:rFonts w:hint="default"/>
          <w:highlight w:val="none"/>
          <w:lang w:val="en-US" w:eastAsia="zh-CN"/>
        </w:rPr>
      </w:pPr>
      <w:r>
        <w:rPr>
          <w:rFonts w:hint="default"/>
          <w:highlight w:val="none"/>
          <w:lang w:val="en-US" w:eastAsia="zh-CN"/>
        </w:rPr>
        <w:t>BYD's fundamental competitiveness and leadership in the new energy vehicle market are both reflected in the company's technical factors.The study of technical elements enables one to forecast the future direction of the industry surrounding new energy vehicles.</w:t>
      </w:r>
    </w:p>
    <w:p>
      <w:pPr>
        <w:bidi w:val="0"/>
        <w:ind w:left="0" w:leftChars="0" w:firstLine="0" w:firstLineChars="0"/>
        <w:rPr>
          <w:rFonts w:hint="default"/>
          <w:highlight w:val="none"/>
          <w:lang w:val="en-US" w:eastAsia="zh-CN"/>
        </w:rPr>
      </w:pPr>
      <w:r>
        <w:rPr>
          <w:rFonts w:hint="default"/>
          <w:highlight w:val="none"/>
          <w:lang w:val="en-US" w:eastAsia="zh-CN"/>
        </w:rPr>
        <w:t>New technologies, methods, materials, application opportunities, and development trends are all examples of technical factors that are relevant to the field of new energy vehicles.Byd is capable of independent invention in the field of new energy vehicle technology, and the annual investment cost is extremely high.During the years 2014 through 2016, BYD invested an average of 3,958,94 million yuan each year on the research and development of new energy vehicles.At the same time, BYD has assembled a sizable group of experts in several fields of research.</w:t>
      </w:r>
    </w:p>
    <w:p>
      <w:pPr>
        <w:bidi w:val="0"/>
        <w:ind w:left="0" w:leftChars="0" w:firstLine="0" w:firstLineChars="0"/>
        <w:rPr>
          <w:rFonts w:hint="default"/>
          <w:highlight w:val="none"/>
          <w:lang w:val="en-US" w:eastAsia="zh-CN"/>
        </w:rPr>
      </w:pPr>
      <w:r>
        <w:rPr>
          <w:rFonts w:hint="default"/>
          <w:highlight w:val="none"/>
          <w:lang w:val="en-US" w:eastAsia="zh-CN"/>
        </w:rPr>
        <w:t>Byd has established six research institutions, not just in the passenger car industry but also in the smart vehicle sector, the new energy truck sector, the new energy bus sector, and the urban rail transport sector.The "three electric" technology that BYD has developed—which consists of a battery, a motor, and electric control—is currently the most advanced in the automotive industry.It has been able to successfully apply and list the second-generation dual-mode technology as well as the two-way inverter technology that it has developed.Beijing hosted the third generation of the dual-mode technology communication meeting in December of 2018, which is another fundamental technology of top new energy vehicles that has been decrypted and made available to the outside world.</w:t>
      </w:r>
    </w:p>
    <w:p>
      <w:pPr>
        <w:bidi w:val="0"/>
        <w:ind w:left="0" w:leftChars="0" w:firstLine="0" w:firstLineChars="0"/>
        <w:rPr>
          <w:rFonts w:hint="default"/>
          <w:highlight w:val="none"/>
          <w:lang w:val="en-US" w:eastAsia="zh-CN"/>
        </w:rPr>
      </w:pPr>
      <w:r>
        <w:rPr>
          <w:rFonts w:hint="default"/>
          <w:highlight w:val="none"/>
          <w:lang w:val="en-US" w:eastAsia="zh-CN"/>
        </w:rPr>
        <w:t>BYD has developed the world's leading battery technology as a result of extensive and ongoing research over a lengthy period of time.BYD has released lithium iron phosphate batteries in the field of secondary charging. These batteries improve the safety and battery life of new energy vehicles.Additionally, BYD has undertaken extensive research on solid electrolytes, electrolytes, and composite membranes.In the field of energy storage backup power supply, BYD research and development of the power supply has been successful in achieving nuclear level certification.According to the 2017 China Automotive Technology Development Report, BYD placed first among Chinese automobile manufacturers in terms of the quantity and intensity of patents held by the company.According to the data presented, BYD had a patent intensity index of 24.9, which was greater than both GAC Group and Changan Automobile.As of the year 2016, the total number of patents in this field was 22,262, which was approximately ten times as much as the number in second place.</w:t>
      </w:r>
    </w:p>
    <w:p>
      <w:pPr>
        <w:pStyle w:val="2"/>
        <w:pageBreakBefore w:val="0"/>
        <w:widowControl/>
        <w:numPr>
          <w:ilvl w:val="0"/>
          <w:numId w:val="1"/>
        </w:numPr>
        <w:kinsoku/>
        <w:overflowPunct/>
        <w:topLinePunct w:val="0"/>
        <w:autoSpaceDE/>
        <w:autoSpaceDN/>
        <w:bidi w:val="0"/>
        <w:adjustRightInd/>
        <w:snapToGrid/>
        <w:spacing w:line="480" w:lineRule="auto"/>
        <w:textAlignment w:val="auto"/>
        <w:rPr>
          <w:rFonts w:hint="eastAsia"/>
          <w:highlight w:val="none"/>
          <w:lang w:val="en-US" w:eastAsia="zh-CN"/>
        </w:rPr>
      </w:pPr>
      <w:bookmarkStart w:id="13" w:name="_Toc15800"/>
      <w:bookmarkStart w:id="14" w:name="_Toc19426"/>
      <w:r>
        <w:rPr>
          <w:rFonts w:hint="eastAsia"/>
          <w:highlight w:val="none"/>
          <w:lang w:val="en-US" w:eastAsia="zh-CN"/>
        </w:rPr>
        <w:t>Industry environment analysis based on the Porter's five-force model</w:t>
      </w:r>
      <w:bookmarkEnd w:id="13"/>
      <w:bookmarkEnd w:id="14"/>
    </w:p>
    <w:p>
      <w:pPr>
        <w:pStyle w:val="3"/>
        <w:bidi w:val="0"/>
        <w:rPr>
          <w:rFonts w:hint="default"/>
          <w:highlight w:val="none"/>
          <w:lang w:val="en-US" w:eastAsia="zh-CN"/>
        </w:rPr>
      </w:pPr>
      <w:bookmarkStart w:id="15" w:name="_Toc4680"/>
      <w:bookmarkStart w:id="16" w:name="_Toc25530"/>
      <w:r>
        <w:rPr>
          <w:rFonts w:hint="default"/>
          <w:highlight w:val="none"/>
          <w:lang w:val="en-US" w:eastAsia="zh-CN"/>
        </w:rPr>
        <w:t>3.1</w:t>
      </w:r>
      <w:r>
        <w:rPr>
          <w:rFonts w:hint="eastAsia"/>
          <w:highlight w:val="none"/>
          <w:lang w:val="en-US" w:eastAsia="zh-CN"/>
        </w:rPr>
        <w:t>.</w:t>
      </w:r>
      <w:r>
        <w:rPr>
          <w:rFonts w:hint="default"/>
          <w:highlight w:val="none"/>
          <w:lang w:val="en-US" w:eastAsia="zh-CN"/>
        </w:rPr>
        <w:t>Supplier's bargaining power</w:t>
      </w:r>
      <w:bookmarkEnd w:id="15"/>
      <w:bookmarkEnd w:id="16"/>
    </w:p>
    <w:p>
      <w:pPr>
        <w:keepNext w:val="0"/>
        <w:keepLines w:val="0"/>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highlight w:val="none"/>
          <w:lang w:val="en-US" w:eastAsia="zh-CN"/>
        </w:rPr>
      </w:pPr>
      <w:r>
        <w:rPr>
          <w:rFonts w:hint="default" w:ascii="Times New Roman" w:hAnsi="Times New Roman"/>
          <w:caps w:val="0"/>
          <w:sz w:val="24"/>
          <w:szCs w:val="24"/>
          <w:highlight w:val="none"/>
          <w:lang w:val="en-US" w:eastAsia="zh-CN"/>
        </w:rPr>
        <w:t>New energy vehicles is composed of tens of thousands of parts, and the price of parts directly determines the vehicle production cost and profitability, vehicle parts suppliers, has a stable market share, not by the intense market competition, the supply price is often at a higher level, but also difficult to achieve business authors, there are larger development cost and mold cost</w:t>
      </w:r>
      <w:r>
        <w:rPr>
          <w:rFonts w:hint="eastAsia" w:ascii="Times New Roman" w:hAnsi="Times New Roman"/>
          <w:caps w:val="0"/>
          <w:sz w:val="24"/>
          <w:szCs w:val="24"/>
          <w:highlight w:val="none"/>
          <w:lang w:val="en-US" w:eastAsia="zh-CN"/>
        </w:rPr>
        <w:t>.</w:t>
      </w:r>
      <w:r>
        <w:rPr>
          <w:rFonts w:hint="default" w:ascii="Times New Roman" w:hAnsi="Times New Roman"/>
          <w:caps w:val="0"/>
          <w:sz w:val="24"/>
          <w:szCs w:val="24"/>
          <w:highlight w:val="none"/>
          <w:lang w:val="en-US" w:eastAsia="zh-CN"/>
        </w:rPr>
        <w:t>In the development of suppliers, it is necessary to develop the mainland suppliers of the original system as much as possible</w:t>
      </w:r>
      <w:r>
        <w:rPr>
          <w:rFonts w:hint="eastAsia" w:ascii="Times New Roman" w:hAnsi="Times New Roman"/>
          <w:caps w:val="0"/>
          <w:sz w:val="24"/>
          <w:szCs w:val="24"/>
          <w:highlight w:val="none"/>
          <w:lang w:val="en-US" w:eastAsia="zh-CN"/>
        </w:rPr>
        <w:t>.</w:t>
      </w:r>
      <w:r>
        <w:rPr>
          <w:rFonts w:hint="default" w:ascii="Times New Roman" w:hAnsi="Times New Roman"/>
          <w:caps w:val="0"/>
          <w:sz w:val="24"/>
          <w:szCs w:val="24"/>
          <w:highlight w:val="none"/>
          <w:lang w:val="en-US" w:eastAsia="zh-CN"/>
        </w:rPr>
        <w:t>If the new suppliers of the original system are developed in a large area, it will not be conducive to the target of the vehicle cost and the premium control of suppliers</w:t>
      </w:r>
      <w:r>
        <w:rPr>
          <w:rFonts w:hint="eastAsia" w:ascii="Times New Roman" w:hAnsi="Times New Roman"/>
          <w:caps w:val="0"/>
          <w:sz w:val="24"/>
          <w:szCs w:val="24"/>
          <w:highlight w:val="none"/>
          <w:lang w:val="en-US" w:eastAsia="zh-CN"/>
        </w:rPr>
        <w:t>.</w:t>
      </w:r>
      <w:r>
        <w:rPr>
          <w:rFonts w:hint="default" w:ascii="Times New Roman" w:hAnsi="Times New Roman"/>
          <w:caps w:val="0"/>
          <w:sz w:val="24"/>
          <w:szCs w:val="24"/>
          <w:highlight w:val="none"/>
          <w:lang w:val="en-US" w:eastAsia="zh-CN"/>
        </w:rPr>
        <w:t>Vehicle cost is limited by the parts research and development cost allocation and unit price price, if the research and development expenses through the way of one-time payment, is not conducive to the vehicle cost control, in supplier development, need to strictly control parts development cost of payment, can be set up a certain dimension of parts development cost allocation, and those who can easily implement to joint or integration, and byd to backward joint or integration of product suppliers also restricted the cost of the vehicle.</w:t>
      </w:r>
    </w:p>
    <w:p>
      <w:pPr>
        <w:pStyle w:val="3"/>
        <w:bidi w:val="0"/>
        <w:rPr>
          <w:rFonts w:hint="default"/>
          <w:highlight w:val="none"/>
          <w:lang w:val="en-US" w:eastAsia="zh-CN"/>
        </w:rPr>
      </w:pPr>
      <w:bookmarkStart w:id="17" w:name="_Toc30847"/>
      <w:bookmarkStart w:id="18" w:name="_Toc9216"/>
      <w:r>
        <w:rPr>
          <w:rFonts w:hint="default"/>
          <w:highlight w:val="none"/>
          <w:lang w:val="en-US" w:eastAsia="zh-CN"/>
        </w:rPr>
        <w:t>3.2</w:t>
      </w:r>
      <w:r>
        <w:rPr>
          <w:rFonts w:hint="eastAsia"/>
          <w:highlight w:val="none"/>
          <w:lang w:val="en-US" w:eastAsia="zh-CN"/>
        </w:rPr>
        <w:t>.</w:t>
      </w:r>
      <w:r>
        <w:rPr>
          <w:rFonts w:hint="default"/>
          <w:highlight w:val="none"/>
          <w:lang w:val="en-US" w:eastAsia="zh-CN"/>
        </w:rPr>
        <w:t>The bargaining power of the purchaser</w:t>
      </w:r>
      <w:bookmarkEnd w:id="17"/>
      <w:bookmarkEnd w:id="18"/>
    </w:p>
    <w:p>
      <w:pPr>
        <w:keepNext w:val="0"/>
        <w:keepLines w:val="0"/>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highlight w:val="none"/>
          <w:lang w:val="en-US" w:eastAsia="zh-CN"/>
        </w:rPr>
      </w:pPr>
      <w:r>
        <w:rPr>
          <w:rFonts w:hint="default" w:ascii="Times New Roman" w:hAnsi="Times New Roman"/>
          <w:caps w:val="0"/>
          <w:sz w:val="24"/>
          <w:szCs w:val="24"/>
          <w:highlight w:val="none"/>
          <w:lang w:val="en-US" w:eastAsia="zh-CN"/>
        </w:rPr>
        <w:t>Buyer's bargaining power mainly refers to the buyer bargaining ability, this is one of the basic driving force of enterprise profitability, buyers when buying products, always want to lower the sales price as much as possible, and also put forward higher quality requirements and service, this virtually intensified the competition situation, all of these will make profits are damaged</w:t>
      </w:r>
      <w:r>
        <w:rPr>
          <w:rFonts w:hint="eastAsia" w:ascii="Times New Roman" w:hAnsi="Times New Roman"/>
          <w:caps w:val="0"/>
          <w:sz w:val="24"/>
          <w:szCs w:val="24"/>
          <w:highlight w:val="none"/>
          <w:lang w:val="en-US" w:eastAsia="zh-CN"/>
        </w:rPr>
        <w:t>.</w:t>
      </w:r>
      <w:r>
        <w:rPr>
          <w:rFonts w:hint="default" w:ascii="Times New Roman" w:hAnsi="Times New Roman"/>
          <w:caps w:val="0"/>
          <w:sz w:val="24"/>
          <w:szCs w:val="24"/>
          <w:highlight w:val="none"/>
          <w:lang w:val="en-US" w:eastAsia="zh-CN"/>
        </w:rPr>
        <w:t>Initially, new energy vehicles are mainly concentrated in several head companies, as other competitors to enter, make consumers have more choice, so the consumer bargaining ability on the rise, picky customers will provide goods or services can not meet their expectations to other competitors, so the multi-brand situation relatively improve the bargaining power of the buyers</w:t>
      </w:r>
      <w:r>
        <w:rPr>
          <w:rFonts w:hint="eastAsia" w:ascii="Times New Roman" w:hAnsi="Times New Roman"/>
          <w:caps w:val="0"/>
          <w:sz w:val="24"/>
          <w:szCs w:val="24"/>
          <w:highlight w:val="none"/>
          <w:lang w:val="en-US" w:eastAsia="zh-CN"/>
        </w:rPr>
        <w:t>.</w:t>
      </w:r>
      <w:r>
        <w:rPr>
          <w:rFonts w:hint="default" w:ascii="Times New Roman" w:hAnsi="Times New Roman"/>
          <w:caps w:val="0"/>
          <w:sz w:val="24"/>
          <w:szCs w:val="24"/>
          <w:highlight w:val="none"/>
          <w:lang w:val="en-US" w:eastAsia="zh-CN"/>
        </w:rPr>
        <w:t>Second, the market provides products more and more homogeneous, consumers have a powerful opportunity to vendor bargain, customers in the cost of mutual conversion between different brands is very low, the customer bargaining ability will intensify competition, for enterprises, whether to cater to consumers bargaining on the price, will have more effort from the products and services.</w:t>
      </w:r>
    </w:p>
    <w:p>
      <w:pPr>
        <w:pStyle w:val="3"/>
        <w:bidi w:val="0"/>
        <w:rPr>
          <w:rFonts w:hint="default"/>
          <w:highlight w:val="none"/>
          <w:lang w:val="en-US" w:eastAsia="zh-CN"/>
        </w:rPr>
      </w:pPr>
      <w:bookmarkStart w:id="19" w:name="_Toc25281"/>
      <w:bookmarkStart w:id="20" w:name="_Toc13262"/>
      <w:r>
        <w:rPr>
          <w:rFonts w:hint="default"/>
          <w:highlight w:val="none"/>
          <w:lang w:val="en-US" w:eastAsia="zh-CN"/>
        </w:rPr>
        <w:t>3.3</w:t>
      </w:r>
      <w:r>
        <w:rPr>
          <w:rFonts w:hint="eastAsia"/>
          <w:highlight w:val="none"/>
          <w:lang w:val="en-US" w:eastAsia="zh-CN"/>
        </w:rPr>
        <w:t>.</w:t>
      </w:r>
      <w:r>
        <w:rPr>
          <w:rFonts w:hint="default"/>
          <w:highlight w:val="none"/>
          <w:lang w:val="en-US" w:eastAsia="zh-CN"/>
        </w:rPr>
        <w:t>Threats of new entrants</w:t>
      </w:r>
      <w:bookmarkEnd w:id="19"/>
      <w:bookmarkEnd w:id="20"/>
    </w:p>
    <w:p>
      <w:pPr>
        <w:keepNext w:val="0"/>
        <w:keepLines w:val="0"/>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highlight w:val="none"/>
          <w:lang w:val="en-US" w:eastAsia="zh-CN"/>
        </w:rPr>
      </w:pPr>
      <w:r>
        <w:rPr>
          <w:rFonts w:hint="default" w:ascii="Times New Roman" w:hAnsi="Times New Roman"/>
          <w:caps w:val="0"/>
          <w:sz w:val="24"/>
          <w:szCs w:val="24"/>
          <w:highlight w:val="none"/>
          <w:lang w:val="en-US" w:eastAsia="zh-CN"/>
        </w:rPr>
        <w:t>In recent years, with the rise of energy conservation, emission reduction and low-carbon boom in the world, both scientific research institutions and enterprises in various countries are making efforts to seek ways for renewable new energy to replace fossil energy, and new energy technology is changing with each passing day</w:t>
      </w:r>
      <w:r>
        <w:rPr>
          <w:rFonts w:hint="eastAsia" w:ascii="Times New Roman" w:hAnsi="Times New Roman"/>
          <w:caps w:val="0"/>
          <w:sz w:val="24"/>
          <w:szCs w:val="24"/>
          <w:highlight w:val="none"/>
          <w:lang w:val="en-US" w:eastAsia="zh-CN"/>
        </w:rPr>
        <w:t>.</w:t>
      </w:r>
      <w:r>
        <w:rPr>
          <w:rFonts w:hint="default" w:ascii="Times New Roman" w:hAnsi="Times New Roman"/>
          <w:caps w:val="0"/>
          <w:sz w:val="24"/>
          <w:szCs w:val="24"/>
          <w:highlight w:val="none"/>
          <w:lang w:val="en-US" w:eastAsia="zh-CN"/>
        </w:rPr>
        <w:t>New forces in car manufacturing, such as Nio, Weima and Xiaopeng Automobile, have formed a strong brand awareness and competitive advantages, and have gained a certain market share</w:t>
      </w:r>
      <w:r>
        <w:rPr>
          <w:rFonts w:hint="eastAsia" w:ascii="Times New Roman" w:hAnsi="Times New Roman"/>
          <w:caps w:val="0"/>
          <w:sz w:val="24"/>
          <w:szCs w:val="24"/>
          <w:highlight w:val="none"/>
          <w:lang w:val="en-US" w:eastAsia="zh-CN"/>
        </w:rPr>
        <w:t>.</w:t>
      </w:r>
      <w:r>
        <w:rPr>
          <w:rFonts w:hint="default" w:ascii="Times New Roman" w:hAnsi="Times New Roman"/>
          <w:caps w:val="0"/>
          <w:sz w:val="24"/>
          <w:szCs w:val="24"/>
          <w:highlight w:val="none"/>
          <w:lang w:val="en-US" w:eastAsia="zh-CN"/>
        </w:rPr>
        <w:t>The new force of car making has won the respect and recognition of the market with its innovation in marketing</w:t>
      </w:r>
      <w:r>
        <w:rPr>
          <w:rFonts w:hint="eastAsia" w:ascii="Times New Roman" w:hAnsi="Times New Roman"/>
          <w:caps w:val="0"/>
          <w:sz w:val="24"/>
          <w:szCs w:val="24"/>
          <w:highlight w:val="none"/>
          <w:lang w:val="en-US" w:eastAsia="zh-CN"/>
        </w:rPr>
        <w:t>.</w:t>
      </w:r>
      <w:r>
        <w:rPr>
          <w:rFonts w:hint="default" w:ascii="Times New Roman" w:hAnsi="Times New Roman"/>
          <w:caps w:val="0"/>
          <w:sz w:val="24"/>
          <w:szCs w:val="24"/>
          <w:highlight w:val="none"/>
          <w:lang w:val="en-US" w:eastAsia="zh-CN"/>
        </w:rPr>
        <w:t>Nio focuses on reflecting the "high-end and exclusive" temperament</w:t>
      </w:r>
      <w:r>
        <w:rPr>
          <w:rFonts w:hint="eastAsia" w:ascii="Times New Roman" w:hAnsi="Times New Roman"/>
          <w:caps w:val="0"/>
          <w:sz w:val="24"/>
          <w:szCs w:val="24"/>
          <w:highlight w:val="none"/>
          <w:lang w:val="en-US" w:eastAsia="zh-CN"/>
        </w:rPr>
        <w:t>.</w:t>
      </w:r>
      <w:r>
        <w:rPr>
          <w:rFonts w:hint="default" w:ascii="Times New Roman" w:hAnsi="Times New Roman"/>
          <w:caps w:val="0"/>
          <w:sz w:val="24"/>
          <w:szCs w:val="24"/>
          <w:highlight w:val="none"/>
          <w:lang w:val="en-US" w:eastAsia="zh-CN"/>
        </w:rPr>
        <w:t>Weima Automobile adopts the scheme of low price and high configuration, and Xiaopeng takes the autonomous driving technology as a selling point, which has successfully attracted the attention and recognition of consumers</w:t>
      </w:r>
      <w:r>
        <w:rPr>
          <w:rFonts w:hint="eastAsia" w:ascii="Times New Roman" w:hAnsi="Times New Roman"/>
          <w:caps w:val="0"/>
          <w:sz w:val="24"/>
          <w:szCs w:val="24"/>
          <w:highlight w:val="none"/>
          <w:lang w:val="en-US" w:eastAsia="zh-CN"/>
        </w:rPr>
        <w:t>.</w:t>
      </w:r>
      <w:r>
        <w:rPr>
          <w:rFonts w:hint="default" w:ascii="Times New Roman" w:hAnsi="Times New Roman"/>
          <w:caps w:val="0"/>
          <w:sz w:val="24"/>
          <w:szCs w:val="24"/>
          <w:highlight w:val="none"/>
          <w:lang w:val="en-US" w:eastAsia="zh-CN"/>
        </w:rPr>
        <w:t>To accelerate the perfection of the new energy industry chain, realize the progress of the new energy automobile technology and cost reduction, tesla localization also increased the competition for China's new energy car companies, Model 3 and Model Y sell like hot cakes, also shows again, China's new energy automobile market potential is huge, with the official release of "planning", a number of Internet companies also announced into the car market, the vehicle new energy vehicle market battlefield to expand again.</w:t>
      </w:r>
    </w:p>
    <w:p>
      <w:pPr>
        <w:pStyle w:val="3"/>
        <w:bidi w:val="0"/>
        <w:rPr>
          <w:rFonts w:hint="default"/>
          <w:highlight w:val="none"/>
          <w:lang w:val="en-US" w:eastAsia="zh-CN"/>
        </w:rPr>
      </w:pPr>
      <w:bookmarkStart w:id="21" w:name="_Toc6773"/>
      <w:bookmarkStart w:id="22" w:name="_Toc13178"/>
      <w:r>
        <w:rPr>
          <w:rFonts w:hint="default"/>
          <w:highlight w:val="none"/>
          <w:lang w:val="en-US" w:eastAsia="zh-CN"/>
        </w:rPr>
        <w:t>3.4</w:t>
      </w:r>
      <w:r>
        <w:rPr>
          <w:rFonts w:hint="eastAsia"/>
          <w:highlight w:val="none"/>
          <w:lang w:val="en-US" w:eastAsia="zh-CN"/>
        </w:rPr>
        <w:t>.</w:t>
      </w:r>
      <w:r>
        <w:rPr>
          <w:rFonts w:hint="default"/>
          <w:highlight w:val="none"/>
          <w:lang w:val="en-US" w:eastAsia="zh-CN"/>
        </w:rPr>
        <w:t>Threats of alternatives</w:t>
      </w:r>
      <w:bookmarkEnd w:id="21"/>
      <w:bookmarkEnd w:id="22"/>
    </w:p>
    <w:p>
      <w:pPr>
        <w:keepNext w:val="0"/>
        <w:keepLines w:val="0"/>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highlight w:val="none"/>
          <w:lang w:val="en-US" w:eastAsia="zh-CN"/>
        </w:rPr>
      </w:pPr>
      <w:r>
        <w:rPr>
          <w:rFonts w:hint="default" w:ascii="Times New Roman" w:hAnsi="Times New Roman"/>
          <w:caps w:val="0"/>
          <w:sz w:val="24"/>
          <w:szCs w:val="24"/>
          <w:highlight w:val="none"/>
          <w:lang w:val="en-US" w:eastAsia="zh-CN"/>
        </w:rPr>
        <w:t>With the development of The Times, new energy vehicles have become more and more popular in China, and major enterprises have increased the research on energy technology</w:t>
      </w:r>
      <w:r>
        <w:rPr>
          <w:rFonts w:hint="eastAsia" w:ascii="Times New Roman" w:hAnsi="Times New Roman"/>
          <w:caps w:val="0"/>
          <w:sz w:val="24"/>
          <w:szCs w:val="24"/>
          <w:highlight w:val="none"/>
          <w:lang w:val="en-US" w:eastAsia="zh-CN"/>
        </w:rPr>
        <w:t>.</w:t>
      </w:r>
      <w:r>
        <w:rPr>
          <w:rFonts w:hint="default" w:ascii="Times New Roman" w:hAnsi="Times New Roman"/>
          <w:caps w:val="0"/>
          <w:sz w:val="24"/>
          <w:szCs w:val="24"/>
          <w:highlight w:val="none"/>
          <w:lang w:val="en-US" w:eastAsia="zh-CN"/>
        </w:rPr>
        <w:t>Hydrogen fuel as the power source of new energy vehicles are also being actively promoted, and in the national development strategy as the future development and support of the emerging industries</w:t>
      </w:r>
      <w:r>
        <w:rPr>
          <w:rFonts w:hint="eastAsia" w:ascii="Times New Roman" w:hAnsi="Times New Roman"/>
          <w:caps w:val="0"/>
          <w:sz w:val="24"/>
          <w:szCs w:val="24"/>
          <w:highlight w:val="none"/>
          <w:lang w:val="en-US" w:eastAsia="zh-CN"/>
        </w:rPr>
        <w:t>.</w:t>
      </w:r>
      <w:r>
        <w:rPr>
          <w:rFonts w:hint="default" w:ascii="Times New Roman" w:hAnsi="Times New Roman"/>
          <w:caps w:val="0"/>
          <w:sz w:val="24"/>
          <w:szCs w:val="24"/>
          <w:highlight w:val="none"/>
          <w:lang w:val="en-US" w:eastAsia="zh-CN"/>
        </w:rPr>
        <w:t>And plans to achieve the target of 2 million vehicles by 2030</w:t>
      </w:r>
      <w:r>
        <w:rPr>
          <w:rFonts w:hint="eastAsia" w:ascii="Times New Roman" w:hAnsi="Times New Roman"/>
          <w:caps w:val="0"/>
          <w:sz w:val="24"/>
          <w:szCs w:val="24"/>
          <w:highlight w:val="none"/>
          <w:lang w:val="en-US" w:eastAsia="zh-CN"/>
        </w:rPr>
        <w:t>.</w:t>
      </w:r>
      <w:r>
        <w:rPr>
          <w:rFonts w:hint="default" w:ascii="Times New Roman" w:hAnsi="Times New Roman"/>
          <w:caps w:val="0"/>
          <w:sz w:val="24"/>
          <w:szCs w:val="24"/>
          <w:highlight w:val="none"/>
          <w:lang w:val="en-US" w:eastAsia="zh-CN"/>
        </w:rPr>
        <w:t>Compared with electric vehicle battery energy storage has problems such as low energy density and large weight, hydrogen fuel cell vehicles have zero emission and zero pollution, which is considered by the industry as the ideal technology for clean and environmental protection in the future</w:t>
      </w:r>
      <w:r>
        <w:rPr>
          <w:rFonts w:hint="eastAsia" w:ascii="Times New Roman" w:hAnsi="Times New Roman"/>
          <w:caps w:val="0"/>
          <w:sz w:val="24"/>
          <w:szCs w:val="24"/>
          <w:highlight w:val="none"/>
          <w:lang w:val="en-US" w:eastAsia="zh-CN"/>
        </w:rPr>
        <w:t>.</w:t>
      </w:r>
      <w:r>
        <w:rPr>
          <w:rFonts w:hint="default" w:ascii="Times New Roman" w:hAnsi="Times New Roman"/>
          <w:caps w:val="0"/>
          <w:sz w:val="24"/>
          <w:szCs w:val="24"/>
          <w:highlight w:val="none"/>
          <w:lang w:val="en-US" w:eastAsia="zh-CN"/>
        </w:rPr>
        <w:t>At present, China hydrogen industry has initially formed "east, west, north and south" five development areas, which represented by Shanghai, Jiangsu, Shandong in the eastern region layout is the most extensive, according to statistics, in 2016 China hydrogen fuel cell vehicle production of 629,2018 reached 1527,2019,2737,2020 affected by the outbreak of the new crown, sales back to the cold.</w:t>
      </w:r>
    </w:p>
    <w:p>
      <w:pPr>
        <w:pStyle w:val="3"/>
        <w:bidi w:val="0"/>
        <w:rPr>
          <w:rFonts w:hint="default"/>
          <w:highlight w:val="none"/>
          <w:lang w:val="en-US" w:eastAsia="zh-CN"/>
        </w:rPr>
      </w:pPr>
      <w:bookmarkStart w:id="23" w:name="_Toc13688"/>
      <w:bookmarkStart w:id="24" w:name="_Toc14147"/>
      <w:r>
        <w:rPr>
          <w:rFonts w:hint="default"/>
          <w:highlight w:val="none"/>
          <w:lang w:val="en-US" w:eastAsia="zh-CN"/>
        </w:rPr>
        <w:t>3.5 Degree of competition of its competitors</w:t>
      </w:r>
      <w:bookmarkEnd w:id="23"/>
      <w:bookmarkEnd w:id="24"/>
    </w:p>
    <w:p>
      <w:pPr>
        <w:keepNext w:val="0"/>
        <w:keepLines w:val="0"/>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highlight w:val="none"/>
          <w:lang w:val="en-US" w:eastAsia="zh-CN"/>
        </w:rPr>
      </w:pPr>
      <w:r>
        <w:rPr>
          <w:rFonts w:hint="default" w:ascii="Times New Roman" w:hAnsi="Times New Roman"/>
          <w:caps w:val="0"/>
          <w:sz w:val="24"/>
          <w:szCs w:val="24"/>
          <w:highlight w:val="none"/>
          <w:lang w:val="en-US" w:eastAsia="zh-CN"/>
        </w:rPr>
        <w:t>China's auto industry competition has intensified in recent years, the big car companies no longer through the pursuit of quantity for the ultimate goal, but increase the models of technology promotion and platform, as the platform of promotion, models of iteration and change progress also got further promotion, the stability of the product also as the platform of promotion was improved</w:t>
      </w:r>
      <w:r>
        <w:rPr>
          <w:rFonts w:hint="eastAsia" w:ascii="Times New Roman" w:hAnsi="Times New Roman"/>
          <w:caps w:val="0"/>
          <w:sz w:val="24"/>
          <w:szCs w:val="24"/>
          <w:highlight w:val="none"/>
          <w:lang w:val="en-US" w:eastAsia="zh-CN"/>
        </w:rPr>
        <w:t>.</w:t>
      </w:r>
      <w:r>
        <w:rPr>
          <w:rFonts w:hint="default" w:ascii="Times New Roman" w:hAnsi="Times New Roman"/>
          <w:caps w:val="0"/>
          <w:sz w:val="24"/>
          <w:szCs w:val="24"/>
          <w:highlight w:val="none"/>
          <w:lang w:val="en-US" w:eastAsia="zh-CN"/>
        </w:rPr>
        <w:t>Chinese automobile has experienced a process from rapid growth to stability and entered a stage of high-quality development</w:t>
      </w:r>
      <w:r>
        <w:rPr>
          <w:rFonts w:hint="eastAsia" w:ascii="Times New Roman" w:hAnsi="Times New Roman"/>
          <w:caps w:val="0"/>
          <w:sz w:val="24"/>
          <w:szCs w:val="24"/>
          <w:highlight w:val="none"/>
          <w:lang w:val="en-US" w:eastAsia="zh-CN"/>
        </w:rPr>
        <w:t>.</w:t>
      </w:r>
      <w:r>
        <w:rPr>
          <w:rFonts w:hint="default" w:ascii="Times New Roman" w:hAnsi="Times New Roman"/>
          <w:caps w:val="0"/>
          <w:sz w:val="24"/>
          <w:szCs w:val="24"/>
          <w:highlight w:val="none"/>
          <w:lang w:val="en-US" w:eastAsia="zh-CN"/>
        </w:rPr>
        <w:t>China's car market has been in negative growth for two consecutive years</w:t>
      </w:r>
      <w:r>
        <w:rPr>
          <w:rFonts w:hint="eastAsia" w:ascii="Times New Roman" w:hAnsi="Times New Roman"/>
          <w:caps w:val="0"/>
          <w:sz w:val="24"/>
          <w:szCs w:val="24"/>
          <w:highlight w:val="none"/>
          <w:lang w:val="en-US" w:eastAsia="zh-CN"/>
        </w:rPr>
        <w:t>.</w:t>
      </w:r>
      <w:r>
        <w:rPr>
          <w:rFonts w:hint="default" w:ascii="Times New Roman" w:hAnsi="Times New Roman"/>
          <w:caps w:val="0"/>
          <w:sz w:val="24"/>
          <w:szCs w:val="24"/>
          <w:highlight w:val="none"/>
          <w:lang w:val="en-US" w:eastAsia="zh-CN"/>
        </w:rPr>
        <w:t>Judging from the current situation, China's car market has entered a long period of adjustment</w:t>
      </w:r>
      <w:r>
        <w:rPr>
          <w:rFonts w:hint="eastAsia" w:ascii="Times New Roman" w:hAnsi="Times New Roman"/>
          <w:caps w:val="0"/>
          <w:sz w:val="24"/>
          <w:szCs w:val="24"/>
          <w:highlight w:val="none"/>
          <w:lang w:val="en-US" w:eastAsia="zh-CN"/>
        </w:rPr>
        <w:t>.</w:t>
      </w:r>
      <w:r>
        <w:rPr>
          <w:rFonts w:hint="default" w:ascii="Times New Roman" w:hAnsi="Times New Roman"/>
          <w:caps w:val="0"/>
          <w:sz w:val="24"/>
          <w:szCs w:val="24"/>
          <w:highlight w:val="none"/>
          <w:lang w:val="en-US" w:eastAsia="zh-CN"/>
        </w:rPr>
        <w:t>Among them, the annual sales volume of FAW-Volkswagen was 2,110,300, SAIC Volkswagen 1,568,007, Shanghai GM 1,406,606, Geely Auto 1247,526, Dongfeng Nissan 1,211,893, Shanghai GM Wuling 806,546, Great Wall Motor 836,366,820,393 Dongfeng Honda, Changan Automobile 94,2,100, and Guangqi Honda 80,6,546</w:t>
      </w:r>
      <w:r>
        <w:rPr>
          <w:rFonts w:hint="eastAsia" w:ascii="Times New Roman" w:hAnsi="Times New Roman"/>
          <w:caps w:val="0"/>
          <w:sz w:val="24"/>
          <w:szCs w:val="24"/>
          <w:highlight w:val="none"/>
          <w:lang w:val="en-US" w:eastAsia="zh-CN"/>
        </w:rPr>
        <w:t>.</w:t>
      </w:r>
      <w:r>
        <w:rPr>
          <w:rFonts w:hint="default" w:ascii="Times New Roman" w:hAnsi="Times New Roman"/>
          <w:caps w:val="0"/>
          <w:sz w:val="24"/>
          <w:szCs w:val="24"/>
          <w:highlight w:val="none"/>
          <w:lang w:val="en-US" w:eastAsia="zh-CN"/>
        </w:rPr>
        <w:t>FAW-Volkswagen, which won the first sales volume, sold more than 2 million units, Year-over-year growth rate of 1.9%, Except for FAW and SAIC, Daily sales of SAIC-GM, Geely Auto and Dongfeng all exceeded 1 million units, Geely Auto is the only domestic brand to enter the top four, Ranked in the top four for two consecutive years, After Geely Auto's acquisition of Volvo Cars, By endorsing with the Volvo car brand and technology, Through learning and digestion, Improved the brand operation and marketing capabilities, At the same time, the technology research and development capabilities to its own domestic models, It has got very good results, This approach is also worthy of learning and reference from China's independent brands.</w:t>
      </w:r>
    </w:p>
    <w:p>
      <w:pPr>
        <w:pStyle w:val="2"/>
        <w:pageBreakBefore w:val="0"/>
        <w:widowControl/>
        <w:kinsoku/>
        <w:overflowPunct/>
        <w:topLinePunct w:val="0"/>
        <w:autoSpaceDE/>
        <w:autoSpaceDN/>
        <w:bidi w:val="0"/>
        <w:adjustRightInd/>
        <w:snapToGrid/>
        <w:spacing w:line="480" w:lineRule="auto"/>
        <w:textAlignment w:val="auto"/>
        <w:rPr>
          <w:rFonts w:hint="default"/>
          <w:highlight w:val="none"/>
          <w:lang w:val="en-US" w:eastAsia="zh-CN"/>
        </w:rPr>
      </w:pPr>
      <w:bookmarkStart w:id="25" w:name="_Toc7353"/>
      <w:bookmarkStart w:id="26" w:name="_Toc1015"/>
      <w:r>
        <w:rPr>
          <w:rFonts w:hint="eastAsia"/>
          <w:highlight w:val="none"/>
          <w:lang w:val="en-US" w:eastAsia="zh-CN"/>
        </w:rPr>
        <w:t>4.Internal enterprise analysis based on the SWOT model</w:t>
      </w:r>
      <w:bookmarkEnd w:id="25"/>
      <w:bookmarkEnd w:id="26"/>
    </w:p>
    <w:p>
      <w:pPr>
        <w:pStyle w:val="3"/>
        <w:pageBreakBefore w:val="0"/>
        <w:widowControl/>
        <w:kinsoku/>
        <w:overflowPunct/>
        <w:topLinePunct w:val="0"/>
        <w:autoSpaceDE/>
        <w:autoSpaceDN/>
        <w:bidi w:val="0"/>
        <w:adjustRightInd/>
        <w:snapToGrid/>
        <w:spacing w:line="480" w:lineRule="auto"/>
        <w:textAlignment w:val="auto"/>
        <w:rPr>
          <w:rFonts w:hint="default"/>
          <w:highlight w:val="none"/>
          <w:lang w:val="en-US" w:eastAsia="zh-CN"/>
        </w:rPr>
      </w:pPr>
      <w:bookmarkStart w:id="27" w:name="_Toc21652"/>
      <w:bookmarkStart w:id="28" w:name="_Toc25044"/>
      <w:r>
        <w:rPr>
          <w:rFonts w:hint="eastAsia"/>
          <w:highlight w:val="none"/>
          <w:lang w:val="en-US" w:eastAsia="zh-CN"/>
        </w:rPr>
        <w:t>4.1.Advantage S</w:t>
      </w:r>
      <w:bookmarkEnd w:id="27"/>
      <w:bookmarkEnd w:id="28"/>
    </w:p>
    <w:p>
      <w:pPr>
        <w:bidi w:val="0"/>
        <w:rPr>
          <w:rFonts w:hint="eastAsia"/>
          <w:lang w:val="en-US" w:eastAsia="zh-CN"/>
        </w:rPr>
      </w:pPr>
      <w:bookmarkStart w:id="29" w:name="_Toc7772"/>
      <w:bookmarkStart w:id="30" w:name="_Toc6718"/>
      <w:r>
        <w:rPr>
          <w:rFonts w:hint="eastAsia"/>
          <w:lang w:val="en-US" w:eastAsia="zh-CN"/>
        </w:rPr>
        <w:t>The first is that China has the most advanced manufacturing and R&amp;D technology in the world. If you want to be heard in today's technological world, you need to learn to control your voice. As a new energy vehicle company that excels in all three of the industry's foundational disciplines—battery electronics, electronic control, and mechanical design—BYD has consistently driven the technological advancement of China's new energy vehicle sector. In 2006, BYD was able to overcome a global technical hurdle and begin mass-producing IGBT technology. When it comes to the Chinese domestic market for new energy vehicles, BYD's "542" technology is streets ahead of the competition. BYD has applied for 28,000 patents around the world by the end of 2019, with roughly 20,000 of them being granted. Along with other major tech firms like Apple, BYD was named "The Most Changing World Company" by Fortune in 2019. From a quantitative viewpoint, this supports BYD's "technology is king" worldview.</w:t>
      </w:r>
    </w:p>
    <w:p>
      <w:pPr>
        <w:bidi w:val="0"/>
        <w:rPr>
          <w:rFonts w:hint="eastAsia"/>
          <w:lang w:val="en-US" w:eastAsia="zh-CN"/>
        </w:rPr>
      </w:pPr>
      <w:r>
        <w:rPr>
          <w:rFonts w:hint="eastAsia"/>
          <w:lang w:val="en-US" w:eastAsia="zh-CN"/>
        </w:rPr>
        <w:t>And second, a major factor in lowering production costs is the use of vertical integration.The supply chain for NEVs is long and intricate, with specialised roles for many people.Byd plans to design its own electric motor control and even parts, build its own massive facility, use its own battery, and pioneer new information technologies all in-house.Following the vertical integration strategy helps cut costs and boost efficiency in the manufacturing process.</w:t>
      </w:r>
    </w:p>
    <w:p>
      <w:pPr>
        <w:bidi w:val="0"/>
        <w:rPr>
          <w:rFonts w:hint="eastAsia"/>
          <w:lang w:val="en-US" w:eastAsia="zh-CN"/>
        </w:rPr>
      </w:pPr>
      <w:r>
        <w:rPr>
          <w:rFonts w:hint="eastAsia"/>
          <w:lang w:val="en-US" w:eastAsia="zh-CN"/>
        </w:rPr>
        <w:t>The third essential factor is dominance in the industry thanks to a well-known brand name.Byd's original business was making batteries, therefore the company has always catered to customers in the medium and lower price ranges of the market.Consumers appreciate and find attractive the new energy vehicle's long-lasting battery.</w:t>
      </w:r>
    </w:p>
    <w:p>
      <w:pPr>
        <w:pStyle w:val="3"/>
        <w:pageBreakBefore w:val="0"/>
        <w:widowControl/>
        <w:kinsoku/>
        <w:overflowPunct/>
        <w:topLinePunct w:val="0"/>
        <w:autoSpaceDE/>
        <w:autoSpaceDN/>
        <w:bidi w:val="0"/>
        <w:adjustRightInd/>
        <w:snapToGrid/>
        <w:spacing w:line="480" w:lineRule="auto"/>
        <w:textAlignment w:val="auto"/>
        <w:rPr>
          <w:rFonts w:hint="default"/>
          <w:highlight w:val="none"/>
          <w:lang w:val="en-US" w:eastAsia="zh-CN"/>
        </w:rPr>
      </w:pPr>
      <w:r>
        <w:rPr>
          <w:rFonts w:hint="eastAsia"/>
          <w:highlight w:val="none"/>
          <w:lang w:val="en-US" w:eastAsia="zh-CN"/>
        </w:rPr>
        <w:t>4.2 Disstrength W</w:t>
      </w:r>
      <w:bookmarkEnd w:id="29"/>
      <w:bookmarkEnd w:id="30"/>
    </w:p>
    <w:p>
      <w:pPr>
        <w:bidi w:val="0"/>
        <w:rPr>
          <w:rFonts w:hint="eastAsia"/>
          <w:lang w:val="en-US" w:eastAsia="zh-CN"/>
        </w:rPr>
      </w:pPr>
      <w:bookmarkStart w:id="31" w:name="_Toc32346"/>
      <w:bookmarkStart w:id="32" w:name="_Toc24895"/>
      <w:r>
        <w:rPr>
          <w:rFonts w:hint="eastAsia"/>
          <w:lang w:val="en-US" w:eastAsia="zh-CN"/>
        </w:rPr>
        <w:t>To begin, progress in technology has hit a wall. There is still a technology gap between BYD new energy cars and overseas advanced new energy vehicle enterprises, notwithstanding the high technical level of China's domestic research and development. Another key technical challenge is figuring out how to stop cold conditions from causing endurance contraction, battery spontaneous combustion, and other circumstances.</w:t>
      </w:r>
    </w:p>
    <w:p>
      <w:pPr>
        <w:bidi w:val="0"/>
        <w:rPr>
          <w:rFonts w:hint="eastAsia"/>
          <w:lang w:val="en-US" w:eastAsia="zh-CN"/>
        </w:rPr>
      </w:pPr>
      <w:r>
        <w:rPr>
          <w:rFonts w:hint="eastAsia"/>
          <w:lang w:val="en-US" w:eastAsia="zh-CN"/>
        </w:rPr>
        <w:t>Two, the quality of the infrastructure building is subpar.There are only a handful of charging stations in China right now.The number of charging piles in China as of 2019 is 516,000, for a vehicle-to-pile ratio of 3.41.More and more consumers are opting out of purchasing new energy vehicles in favour of vehicles powered by conventional fuels because of the bother of charging them.The volume of sales of new energy vehicles will be adversely affected because the building of supporting facilities like charging stations has lagged behind the industry's rapid expansion.In addition, after-sales maintenance is a major challenge hindering BYD's future expansion due to a lack of outlets, high battery repair costs, lengthy car maintenance cycles, and so on.</w:t>
      </w:r>
    </w:p>
    <w:p>
      <w:pPr>
        <w:bidi w:val="0"/>
        <w:rPr>
          <w:rFonts w:hint="eastAsia"/>
          <w:lang w:val="en-US" w:eastAsia="zh-CN"/>
        </w:rPr>
      </w:pPr>
      <w:r>
        <w:rPr>
          <w:rFonts w:hint="eastAsia"/>
          <w:lang w:val="en-US" w:eastAsia="zh-CN"/>
        </w:rPr>
        <w:t>Third, there is now no financial benefit compared to regular gasoline automobiles.</w:t>
      </w:r>
    </w:p>
    <w:p>
      <w:pPr>
        <w:bidi w:val="0"/>
        <w:rPr>
          <w:rFonts w:hint="eastAsia"/>
          <w:lang w:val="en-US" w:eastAsia="zh-CN"/>
        </w:rPr>
      </w:pPr>
      <w:r>
        <w:rPr>
          <w:rFonts w:hint="eastAsia"/>
          <w:lang w:val="en-US" w:eastAsia="zh-CN"/>
        </w:rPr>
        <w:t>Byd's new energy vehicles are more affordable than competing brands, however Tesla has recently lowered its global prices, while byd's car prices have increased, making it impossible for byd to gain a price edge.Number four, it is becoming more and more dependent on public funding.Three-quarters of BYD's net profit in 2018 (after accounting for expenses) was made possible by government subsidies.Clearly, BYD will be severely harmed by any changes to the government's subsidies programme.</w:t>
      </w:r>
    </w:p>
    <w:p>
      <w:pPr>
        <w:pStyle w:val="3"/>
        <w:pageBreakBefore w:val="0"/>
        <w:widowControl/>
        <w:kinsoku/>
        <w:overflowPunct/>
        <w:topLinePunct w:val="0"/>
        <w:autoSpaceDE/>
        <w:autoSpaceDN/>
        <w:bidi w:val="0"/>
        <w:adjustRightInd/>
        <w:snapToGrid/>
        <w:spacing w:line="480" w:lineRule="auto"/>
        <w:textAlignment w:val="auto"/>
        <w:rPr>
          <w:rFonts w:hint="default"/>
          <w:highlight w:val="none"/>
          <w:lang w:val="en-US" w:eastAsia="zh-CN"/>
        </w:rPr>
      </w:pPr>
      <w:r>
        <w:rPr>
          <w:rFonts w:hint="eastAsia"/>
          <w:highlight w:val="none"/>
          <w:lang w:val="en-US" w:eastAsia="zh-CN"/>
        </w:rPr>
        <w:t>4.3.Opportunity O</w:t>
      </w:r>
      <w:bookmarkEnd w:id="31"/>
      <w:bookmarkEnd w:id="32"/>
    </w:p>
    <w:p>
      <w:pPr>
        <w:bidi w:val="0"/>
        <w:rPr>
          <w:rFonts w:hint="eastAsia"/>
          <w:lang w:val="en-US" w:eastAsia="zh-CN"/>
        </w:rPr>
      </w:pPr>
      <w:bookmarkStart w:id="33" w:name="_Toc5585"/>
      <w:bookmarkStart w:id="34" w:name="_Toc25903"/>
      <w:r>
        <w:rPr>
          <w:rFonts w:hint="eastAsia"/>
          <w:lang w:val="en-US" w:eastAsia="zh-CN"/>
        </w:rPr>
        <w:t>First, with the help of government policy, the market's potential is vast. The Chinese government has launched a number of pro-development of new energy vehicles policies, such as subsidies, relaxation of restrictions to stimulate consumption, exemption from vehicle purchase tax, opening of the green channel, and so on, to promote green sustainable development, optimise and upgrade industrial structure, and change the mode of production. Even more convincing is a claim made by Hainan's provincial government: second, there is enormous international demand in the next decade. There have been international efforts to promote the growth of alternative-fuel automobiles. Germany, the United States, Britain, and the other 18 alliance members have all committed to ending sales of automobiles powered by conventional fuels by 2050 as part of the Zero Emission Vehicle Alliance's efforts to reduce global warming. Many nations, including those in Southeast Asia, Malaysia, and India, have enacted policies to promote green travel by incentivizing the purchase of new energy cars. In addition, BYD's export volume in many developing nations is progressively increasing as China's "One Belt and One Road" initiative is implemented. The international market for China's cutting-edge alternative-fuel automobiles keeps expanding.</w:t>
      </w:r>
    </w:p>
    <w:p>
      <w:pPr>
        <w:bidi w:val="0"/>
        <w:rPr>
          <w:rFonts w:hint="eastAsia"/>
          <w:lang w:val="en-US" w:eastAsia="zh-CN"/>
        </w:rPr>
      </w:pPr>
      <w:r>
        <w:rPr>
          <w:rFonts w:hint="eastAsia"/>
          <w:lang w:val="en-US" w:eastAsia="zh-CN"/>
        </w:rPr>
        <w:t>Third, advantages brought about by environmental pollution problems.The biggest drawback of conventional fuel vehicles is the pollution they add to the air by emitting as they burn gasoline.Therefore, vigorously developing new energy cars is essential, and BYD is currently in the rigid demand phase of the growth of the new energy vehicle sector.Although modern energy vehicles run on electricity, the cost of oil is much higher.Therefore, new energy cars are preferred due to their low purchase prices.</w:t>
      </w:r>
    </w:p>
    <w:p>
      <w:pPr>
        <w:bidi w:val="0"/>
        <w:rPr>
          <w:rFonts w:hint="eastAsia"/>
          <w:lang w:val="en-US" w:eastAsia="zh-CN"/>
        </w:rPr>
      </w:pPr>
      <w:r>
        <w:rPr>
          <w:rFonts w:hint="eastAsia"/>
          <w:lang w:val="en-US" w:eastAsia="zh-CN"/>
        </w:rPr>
        <w:t>As a fourth point, the payoff time and initial investment needed to enter the new energy vehicle market are both quite long.Technology is the primary differentiating factor in the rapidly growing new energy vehicle market.Substantial capital is required to enter this market, and there is a lengthy time frame between initial investment and a full return.Consequently, it is challenging for small and medium-sized businesses to leave this industry, and there is less likelihood of "black swan" competitors entering the market.</w:t>
      </w:r>
    </w:p>
    <w:p>
      <w:pPr>
        <w:pStyle w:val="3"/>
        <w:pageBreakBefore w:val="0"/>
        <w:widowControl/>
        <w:kinsoku/>
        <w:overflowPunct/>
        <w:topLinePunct w:val="0"/>
        <w:autoSpaceDE/>
        <w:autoSpaceDN/>
        <w:bidi w:val="0"/>
        <w:adjustRightInd/>
        <w:snapToGrid/>
        <w:spacing w:line="480" w:lineRule="auto"/>
        <w:textAlignment w:val="auto"/>
        <w:rPr>
          <w:rFonts w:hint="eastAsia"/>
          <w:highlight w:val="none"/>
          <w:lang w:val="en-US" w:eastAsia="zh-CN"/>
        </w:rPr>
      </w:pPr>
      <w:r>
        <w:rPr>
          <w:rFonts w:hint="eastAsia"/>
          <w:highlight w:val="none"/>
          <w:lang w:val="en-US" w:eastAsia="zh-CN"/>
        </w:rPr>
        <w:t>4.4.Threat T</w:t>
      </w:r>
      <w:bookmarkEnd w:id="33"/>
      <w:bookmarkEnd w:id="34"/>
    </w:p>
    <w:p>
      <w:pPr>
        <w:bidi w:val="0"/>
        <w:rPr>
          <w:rFonts w:hint="default"/>
          <w:lang w:val="en-US" w:eastAsia="zh-CN"/>
        </w:rPr>
      </w:pPr>
      <w:r>
        <w:rPr>
          <w:rFonts w:hint="default"/>
          <w:lang w:val="en-US" w:eastAsia="zh-CN"/>
        </w:rPr>
        <w:t>First, there is domestic and international competition within the same industry. Sales of Nio Automobile, Xiaopeng Automobile, and other rising stars are popular, posing a threat to BYD company as a result of the promising growth prospects of the new energy vehicle industry and the national policy support that has resulted in the influx of cash. Simultaneously,foreign new energy vehicles in the Chinese market,Toyota,Honda,tesla and other well-known brands are trying to open the Chinese market,and for the different needs of Chinese customers,create personalised customer service,and primarily provide high-end and high-end products,but at present,when people mention byd,often the first thing that comes to mind is low-end products.</w:t>
      </w:r>
    </w:p>
    <w:p>
      <w:pPr>
        <w:bidi w:val="0"/>
        <w:rPr>
          <w:rFonts w:hint="default"/>
          <w:lang w:val="en-US" w:eastAsia="zh-CN"/>
        </w:rPr>
      </w:pPr>
      <w:r>
        <w:rPr>
          <w:rFonts w:hint="default"/>
          <w:lang w:val="en-US" w:eastAsia="zh-CN"/>
        </w:rPr>
        <w:t>Second, it will not outperform conventional fuel vehicles in the near future.Traditional fuel cars have a long history of development; people have long relied on the path dependence of fuel vehicles; and we do not fully comprehend new energy vehicles; so, it is difficult for new energy vehicles to outperform or even replace fuel vehicles in the near future.</w:t>
      </w:r>
    </w:p>
    <w:p>
      <w:pPr>
        <w:pStyle w:val="3"/>
        <w:pageBreakBefore w:val="0"/>
        <w:widowControl/>
        <w:kinsoku/>
        <w:overflowPunct/>
        <w:topLinePunct w:val="0"/>
        <w:autoSpaceDE/>
        <w:autoSpaceDN/>
        <w:bidi w:val="0"/>
        <w:adjustRightInd/>
        <w:snapToGrid/>
        <w:spacing w:line="480" w:lineRule="auto"/>
        <w:textAlignment w:val="auto"/>
        <w:rPr>
          <w:rFonts w:hint="default"/>
          <w:highlight w:val="none"/>
          <w:lang w:val="en-US" w:eastAsia="zh-CN"/>
        </w:rPr>
      </w:pPr>
      <w:bookmarkStart w:id="35" w:name="_Toc4467"/>
      <w:bookmarkStart w:id="36" w:name="_Toc6858"/>
      <w:r>
        <w:rPr>
          <w:rFonts w:hint="default"/>
          <w:highlight w:val="none"/>
          <w:lang w:val="en-US" w:eastAsia="zh-CN"/>
        </w:rPr>
        <w:t>4.5</w:t>
      </w:r>
      <w:r>
        <w:rPr>
          <w:rFonts w:hint="eastAsia"/>
          <w:highlight w:val="none"/>
          <w:lang w:val="en-US" w:eastAsia="zh-CN"/>
        </w:rPr>
        <w:t>.</w:t>
      </w:r>
      <w:r>
        <w:rPr>
          <w:rFonts w:hint="default"/>
          <w:highlight w:val="none"/>
          <w:lang w:val="en-US" w:eastAsia="zh-CN"/>
        </w:rPr>
        <w:t>Conclusion of the SWOT analysis</w:t>
      </w:r>
      <w:bookmarkEnd w:id="35"/>
      <w:bookmarkEnd w:id="36"/>
    </w:p>
    <w:p>
      <w:pPr>
        <w:bidi w:val="0"/>
        <w:ind w:left="0" w:leftChars="0" w:firstLine="0" w:firstLineChars="0"/>
        <w:rPr>
          <w:rFonts w:hint="default"/>
          <w:highlight w:val="none"/>
          <w:lang w:val="en-US" w:eastAsia="zh-CN"/>
        </w:rPr>
      </w:pPr>
      <w:bookmarkStart w:id="37" w:name="_Toc8647"/>
      <w:r>
        <w:rPr>
          <w:rFonts w:hint="default"/>
          <w:highlight w:val="none"/>
          <w:lang w:val="en-US" w:eastAsia="zh-CN"/>
        </w:rPr>
        <w:t>After analysing the four factors of advantages, disadvantages, opportunities, and threats of BYD's internal and external environment, we can divide S,W,O, and T into four groups, and S+O strategy,W+O strategy,S+T strategy, and W+T strategy, in order to maximise the advantages, make full use of the existing opportunities, and minimise the external threats and their own disadvantages.</w:t>
      </w:r>
    </w:p>
    <w:p>
      <w:pPr>
        <w:bidi w:val="0"/>
        <w:ind w:left="0" w:leftChars="0" w:firstLine="0" w:firstLineChars="0"/>
        <w:rPr>
          <w:rFonts w:hint="default"/>
          <w:highlight w:val="none"/>
          <w:lang w:val="en-US" w:eastAsia="zh-CN"/>
        </w:rPr>
      </w:pPr>
      <w:r>
        <w:rPr>
          <w:highlight w:val="none"/>
        </w:rPr>
        <w:drawing>
          <wp:anchor distT="0" distB="0" distL="114300" distR="114300" simplePos="0" relativeHeight="251660288" behindDoc="0" locked="0" layoutInCell="1" allowOverlap="1">
            <wp:simplePos x="0" y="0"/>
            <wp:positionH relativeFrom="column">
              <wp:posOffset>17145</wp:posOffset>
            </wp:positionH>
            <wp:positionV relativeFrom="paragraph">
              <wp:posOffset>876935</wp:posOffset>
            </wp:positionV>
            <wp:extent cx="5179695" cy="5403215"/>
            <wp:effectExtent l="0" t="0" r="1905" b="6985"/>
            <wp:wrapTopAndBottom/>
            <wp:docPr id="5"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3"/>
                    <pic:cNvPicPr>
                      <a:picLocks noChangeAspect="1"/>
                    </pic:cNvPicPr>
                  </pic:nvPicPr>
                  <pic:blipFill>
                    <a:blip r:embed="rId10"/>
                    <a:stretch>
                      <a:fillRect/>
                    </a:stretch>
                  </pic:blipFill>
                  <pic:spPr>
                    <a:xfrm>
                      <a:off x="0" y="0"/>
                      <a:ext cx="5179695" cy="5403215"/>
                    </a:xfrm>
                    <a:prstGeom prst="rect">
                      <a:avLst/>
                    </a:prstGeom>
                    <a:noFill/>
                    <a:ln>
                      <a:noFill/>
                    </a:ln>
                  </pic:spPr>
                </pic:pic>
              </a:graphicData>
            </a:graphic>
          </wp:anchor>
        </w:drawing>
      </w:r>
      <w:r>
        <w:rPr>
          <w:rFonts w:hint="default"/>
          <w:highlight w:val="none"/>
          <w:lang w:val="en-US" w:eastAsia="zh-CN"/>
        </w:rPr>
        <w:t xml:space="preserve">The specific material of the four-factor analysis and the four types of strategies are shown in Table </w:t>
      </w:r>
      <w:r>
        <w:rPr>
          <w:rFonts w:hint="eastAsia"/>
          <w:highlight w:val="none"/>
          <w:lang w:val="en-US" w:eastAsia="zh-CN"/>
        </w:rPr>
        <w:t>4-</w:t>
      </w:r>
      <w:r>
        <w:rPr>
          <w:rFonts w:hint="default"/>
          <w:highlight w:val="none"/>
          <w:lang w:val="en-US" w:eastAsia="zh-CN"/>
        </w:rPr>
        <w:t>1.</w:t>
      </w:r>
    </w:p>
    <w:p>
      <w:pPr>
        <w:pStyle w:val="4"/>
        <w:pageBreakBefore w:val="0"/>
        <w:widowControl/>
        <w:kinsoku/>
        <w:overflowPunct/>
        <w:topLinePunct w:val="0"/>
        <w:autoSpaceDE/>
        <w:autoSpaceDN/>
        <w:bidi w:val="0"/>
        <w:adjustRightInd/>
        <w:snapToGrid/>
        <w:spacing w:line="480" w:lineRule="auto"/>
        <w:jc w:val="center"/>
        <w:textAlignment w:val="auto"/>
        <w:outlineLvl w:val="0"/>
        <w:rPr>
          <w:highlight w:val="none"/>
        </w:rPr>
      </w:pPr>
      <w:bookmarkStart w:id="38" w:name="_Toc5300"/>
      <w:r>
        <w:rPr>
          <w:rFonts w:hint="default"/>
          <w:sz w:val="24"/>
          <w:szCs w:val="24"/>
          <w:highlight w:val="none"/>
          <w:lang w:val="en-US" w:eastAsia="zh-CN"/>
        </w:rPr>
        <w:t>Table 4-1 SWOT analysis structure</w:t>
      </w:r>
      <w:bookmarkEnd w:id="37"/>
      <w:bookmarkEnd w:id="38"/>
    </w:p>
    <w:p>
      <w:pPr>
        <w:bidi w:val="0"/>
        <w:rPr>
          <w:rFonts w:hint="default"/>
          <w:lang w:val="en-US" w:eastAsia="zh-CN"/>
        </w:rPr>
      </w:pPr>
      <w:bookmarkStart w:id="39" w:name="_Toc2979"/>
      <w:bookmarkStart w:id="40" w:name="_Toc23451"/>
      <w:r>
        <w:rPr>
          <w:rFonts w:hint="default"/>
          <w:lang w:val="en-US" w:eastAsia="zh-CN"/>
        </w:rPr>
        <w:t>The S+O strategy, or advantage+opportunity strategy, is the optimal combination of the four types of strategies since it incorporates both external and internal factors. With the announcement of China's "14th Five-Year Plan," environmental protection has emerged as a major issue in the country. To completely implement green development, BYD should embrace the opportunity, combine its own internal advantages, increase research and development and aggressively innovate new technologies, grow market share and actively participate in it, and actively explore the international market.</w:t>
      </w:r>
    </w:p>
    <w:p>
      <w:pPr>
        <w:bidi w:val="0"/>
        <w:rPr>
          <w:rFonts w:hint="default"/>
          <w:lang w:val="en-US" w:eastAsia="zh-CN"/>
        </w:rPr>
      </w:pPr>
      <w:r>
        <w:rPr>
          <w:rFonts w:hint="default"/>
          <w:lang w:val="en-US" w:eastAsia="zh-CN"/>
        </w:rPr>
        <w:t>W+O strategy, also known as disadvantage+opportunity strategy, should invest adequate funds to adopt the public-private partnership (PPP) mode with the government to carry out the construction of supporting infrastructure for the operation of new energy vehicles, such as increasing the number of charging piles installed, enhancing the quality of automobile after-sales service, and increasing the density of after-sales service points.Byd should seize the opportunities afforded by global environmental protection and China's industrial transformation, react to market developments in a flexible and proactive manner, and promptly modify its strategic planning to maximise the benefits of state legislation.</w:t>
      </w:r>
    </w:p>
    <w:p>
      <w:pPr>
        <w:bidi w:val="0"/>
        <w:rPr>
          <w:rFonts w:hint="default"/>
          <w:lang w:val="en-US" w:eastAsia="zh-CN"/>
        </w:rPr>
      </w:pPr>
      <w:r>
        <w:rPr>
          <w:rFonts w:hint="default"/>
          <w:lang w:val="en-US" w:eastAsia="zh-CN"/>
        </w:rPr>
        <w:t>The advantage+threat approach, or S+T strategy, focuses on exploiting its own advantages in order to transform the danger into a development-driving factor.In order to gain consumer awareness, Byd needs maximise its own advantages in battery technology, increase investment in research and development, and elevate the quality of its automobiles above and above the competition.Global competition's first productive force is technological innovation.</w:t>
      </w:r>
    </w:p>
    <w:p>
      <w:pPr>
        <w:bidi w:val="0"/>
        <w:rPr>
          <w:rFonts w:hint="default"/>
          <w:lang w:val="en-US" w:eastAsia="zh-CN"/>
        </w:rPr>
      </w:pPr>
      <w:r>
        <w:rPr>
          <w:rFonts w:hint="default"/>
          <w:lang w:val="en-US" w:eastAsia="zh-CN"/>
        </w:rPr>
        <w:t>W+T strategy, or disadvantage+threat strategy, requires BYD to actively cooperate with new energy-related industries, stabilise the industrial chain, contribute to the improvement of infrastructure construction, strengthen cooperation with related high-tech companies, and research and develop cost-cutting technology.</w:t>
      </w:r>
    </w:p>
    <w:p>
      <w:pPr>
        <w:pStyle w:val="2"/>
        <w:bidi w:val="0"/>
        <w:rPr>
          <w:rFonts w:hint="default"/>
          <w:highlight w:val="none"/>
          <w:lang w:val="en-US" w:eastAsia="zh-CN"/>
        </w:rPr>
      </w:pPr>
      <w:r>
        <w:rPr>
          <w:rFonts w:hint="default"/>
          <w:highlight w:val="none"/>
          <w:lang w:val="en-US" w:eastAsia="zh-CN"/>
        </w:rPr>
        <w:t>5</w:t>
      </w:r>
      <w:r>
        <w:rPr>
          <w:rFonts w:hint="eastAsia"/>
          <w:highlight w:val="none"/>
          <w:lang w:val="en-US" w:eastAsia="zh-CN"/>
        </w:rPr>
        <w:t>.</w:t>
      </w:r>
      <w:r>
        <w:rPr>
          <w:rFonts w:hint="default"/>
          <w:highlight w:val="none"/>
          <w:lang w:val="en-US" w:eastAsia="zh-CN"/>
        </w:rPr>
        <w:t>Conclusion: Target strategy of new energy vehicles</w:t>
      </w:r>
      <w:bookmarkEnd w:id="39"/>
      <w:bookmarkEnd w:id="40"/>
    </w:p>
    <w:p>
      <w:pPr>
        <w:pStyle w:val="3"/>
        <w:bidi w:val="0"/>
        <w:rPr>
          <w:rFonts w:hint="eastAsia"/>
          <w:highlight w:val="none"/>
          <w:lang w:val="en-US" w:eastAsia="zh-CN"/>
        </w:rPr>
      </w:pPr>
      <w:bookmarkStart w:id="41" w:name="_Toc15164"/>
      <w:bookmarkStart w:id="42" w:name="_Toc9555"/>
      <w:r>
        <w:rPr>
          <w:rFonts w:hint="eastAsia"/>
          <w:highlight w:val="none"/>
          <w:lang w:val="en-US" w:eastAsia="zh-CN"/>
        </w:rPr>
        <w:t>5.1.Market strategy: Distribution of market segments</w:t>
      </w:r>
      <w:bookmarkEnd w:id="41"/>
    </w:p>
    <w:p>
      <w:pPr>
        <w:rPr>
          <w:rFonts w:hint="eastAsia"/>
          <w:highlight w:val="none"/>
          <w:lang w:val="en-US" w:eastAsia="zh-CN"/>
        </w:rPr>
      </w:pPr>
      <w:r>
        <w:rPr>
          <w:rFonts w:hint="eastAsia"/>
          <w:highlight w:val="none"/>
          <w:lang w:val="en-US" w:eastAsia="zh-CN"/>
        </w:rPr>
        <w:t>Enterprises can examine the difference in client demand and position themselves through market segmentation to attain higher operating profits.As we all know, increasing product differentiation will unavoidably increase production and publicity expenses.As a result, in order to maximise their interests, businesses must perform extensive research on the segmented market and exact placement.China's new energy market has grown significantly in recent years, and the growth of first-tier cities has been steady.To seek a breakthrough, we might look for new first-tier cities with the potential of a new energy market in order to study and explore the opportunity market of BYD models.According to reports, China's first-tier cities have recently established a lottery strategy and limited the annual issuance of fuel licence plates in order to support the promotion of new energy cars, energy conservation, and emission reduction.It is understood that the market demand for China's new first-tier cities, A00, A0 class new energy vehicles is not high, but the demand for B-class vehicles is increasing rapidly, and the demand for A-class cars is increasing. BYD new energy vehicles can develop new energy models to meet market and consumer demand based on the characteristics of the new first-tier market and consumers.</w:t>
      </w:r>
    </w:p>
    <w:p>
      <w:pPr>
        <w:pStyle w:val="3"/>
        <w:bidi w:val="0"/>
        <w:rPr>
          <w:rFonts w:hint="default"/>
          <w:highlight w:val="none"/>
          <w:lang w:val="en-US" w:eastAsia="zh-CN"/>
        </w:rPr>
      </w:pPr>
      <w:bookmarkStart w:id="43" w:name="_Toc26606"/>
      <w:r>
        <w:rPr>
          <w:rFonts w:hint="eastAsia"/>
          <w:highlight w:val="none"/>
          <w:lang w:val="en-US" w:eastAsia="zh-CN"/>
        </w:rPr>
        <w:t>5.2.Product strategy: Make a product portfolio</w:t>
      </w:r>
      <w:bookmarkEnd w:id="42"/>
      <w:bookmarkEnd w:id="43"/>
    </w:p>
    <w:p>
      <w:pPr>
        <w:bidi w:val="0"/>
        <w:rPr>
          <w:rFonts w:hint="eastAsia"/>
          <w:highlight w:val="none"/>
          <w:lang w:val="en-US" w:eastAsia="zh-CN"/>
        </w:rPr>
      </w:pPr>
      <w:bookmarkStart w:id="44" w:name="_Toc27548"/>
      <w:r>
        <w:rPr>
          <w:rFonts w:hint="eastAsia"/>
          <w:highlight w:val="none"/>
          <w:lang w:val="en-US" w:eastAsia="zh-CN"/>
        </w:rPr>
        <w:t>Corporations must adapt their operations to the attributes and positions of their products while developing a product portfolio strategy. Byd can adopt a portfolio-expanding strategy; the company's new energy vehicles, including the "han," "tang," "song," and "qin" series, have found success in the terminal market, and the company may, so long as it maintains the original product's quality and price, think about introducing additional styles and models, and even expand the range of products it distributes across the market by increasing the variety in both quality and cost. It can, on the one hand, appeal to a wide range of customers and increase sales of specific models of cars, and on the other, it can leverage the company's strong reputation and growing brand recognition to enhance its product offering and lighten the load on production facilities. While doing so, you can employ a product portfolio strategy to both broaden and deepen your offerings to customers. You can do this by creating new models at varying levels of complexity and by adding price tiers to each.</w:t>
      </w:r>
    </w:p>
    <w:p>
      <w:pPr>
        <w:pStyle w:val="3"/>
        <w:bidi w:val="0"/>
        <w:rPr>
          <w:rFonts w:hint="eastAsia"/>
          <w:highlight w:val="none"/>
          <w:lang w:val="en-US" w:eastAsia="zh-CN"/>
        </w:rPr>
      </w:pPr>
      <w:bookmarkStart w:id="45" w:name="_Toc1362"/>
      <w:r>
        <w:rPr>
          <w:rFonts w:hint="eastAsia"/>
          <w:highlight w:val="none"/>
          <w:lang w:val="en-US" w:eastAsia="zh-CN"/>
        </w:rPr>
        <w:t>5.3 Channel strategy: Direct marketing channel expansion</w:t>
      </w:r>
      <w:bookmarkEnd w:id="44"/>
      <w:bookmarkEnd w:id="45"/>
    </w:p>
    <w:p>
      <w:pPr>
        <w:ind w:left="0" w:leftChars="0" w:firstLine="0" w:firstLineChars="0"/>
        <w:rPr>
          <w:rFonts w:hint="default"/>
          <w:caps w:val="0"/>
          <w:highlight w:val="none"/>
          <w:lang w:val="en-US" w:eastAsia="zh-CN"/>
        </w:rPr>
      </w:pPr>
      <w:r>
        <w:rPr>
          <w:rFonts w:hint="default"/>
          <w:caps w:val="0"/>
          <w:highlight w:val="none"/>
          <w:lang w:val="en-US" w:eastAsia="zh-CN"/>
        </w:rPr>
        <w:t>Traditional car distribution model for sales, parts, after-sales service and information feedback as one of the 4S shop operation mode, the traditional 4S shop sales model after years of development, there are some deficiencies, such as the overall sales level is uneven, terminal sales price unified control, and the after-sales service level is uneven</w:t>
      </w:r>
      <w:r>
        <w:rPr>
          <w:rFonts w:hint="eastAsia"/>
          <w:caps w:val="0"/>
          <w:highlight w:val="none"/>
          <w:lang w:val="en-US" w:eastAsia="zh-CN"/>
        </w:rPr>
        <w:t>.</w:t>
      </w:r>
      <w:r>
        <w:rPr>
          <w:rFonts w:hint="default"/>
          <w:caps w:val="0"/>
          <w:highlight w:val="none"/>
          <w:lang w:val="en-US" w:eastAsia="zh-CN"/>
        </w:rPr>
        <w:t>In order to unify sales management and improve service level, BYD new energy vehicles began to adopt the way of direct sales in stores, through the adoption of this mode, can reduce channel operation and maintenance costs can be reduced, but also reduce the company's operating costs, improve the utilization rate of funds and market competitiveness</w:t>
      </w:r>
      <w:r>
        <w:rPr>
          <w:rFonts w:hint="eastAsia"/>
          <w:caps w:val="0"/>
          <w:highlight w:val="none"/>
          <w:lang w:val="en-US" w:eastAsia="zh-CN"/>
        </w:rPr>
        <w:t>.</w:t>
      </w:r>
      <w:r>
        <w:rPr>
          <w:rFonts w:hint="default"/>
          <w:caps w:val="0"/>
          <w:highlight w:val="none"/>
          <w:lang w:val="en-US" w:eastAsia="zh-CN"/>
        </w:rPr>
        <w:t>By shortening the path of channel circulation, the channel operation cost can be effectively reduced, and direct operation is also an effective way to reduce the circulation cost</w:t>
      </w:r>
      <w:r>
        <w:rPr>
          <w:rFonts w:hint="eastAsia"/>
          <w:caps w:val="0"/>
          <w:highlight w:val="none"/>
          <w:lang w:val="en-US" w:eastAsia="zh-CN"/>
        </w:rPr>
        <w:t>.</w:t>
      </w:r>
      <w:r>
        <w:rPr>
          <w:rFonts w:hint="default"/>
          <w:caps w:val="0"/>
          <w:highlight w:val="none"/>
          <w:lang w:val="en-US" w:eastAsia="zh-CN"/>
        </w:rPr>
        <w:t>At the same time, adopting the mode of direct operation can also realize the sustainable development of the brand and the market, relieve the inventory pressure, recover the capital, and grasp the real information of the market demand in the first time.</w:t>
      </w:r>
    </w:p>
    <w:p>
      <w:pPr>
        <w:pStyle w:val="3"/>
        <w:bidi w:val="0"/>
        <w:rPr>
          <w:rFonts w:hint="eastAsia"/>
          <w:highlight w:val="none"/>
          <w:lang w:val="en-US" w:eastAsia="zh-CN"/>
        </w:rPr>
      </w:pPr>
      <w:bookmarkStart w:id="46" w:name="_Toc234"/>
      <w:bookmarkStart w:id="47" w:name="_Toc27817"/>
      <w:r>
        <w:rPr>
          <w:rFonts w:hint="eastAsia"/>
          <w:highlight w:val="none"/>
          <w:lang w:val="en-US" w:eastAsia="zh-CN"/>
        </w:rPr>
        <w:t>5.4.Promotion strategy: maintaining public relations</w:t>
      </w:r>
      <w:bookmarkEnd w:id="46"/>
      <w:bookmarkEnd w:id="47"/>
    </w:p>
    <w:p>
      <w:pPr>
        <w:ind w:left="0" w:leftChars="0" w:firstLine="0" w:firstLineChars="0"/>
        <w:rPr>
          <w:rFonts w:hint="default"/>
          <w:caps w:val="0"/>
          <w:highlight w:val="none"/>
          <w:lang w:val="en-US" w:eastAsia="zh-CN"/>
        </w:rPr>
      </w:pPr>
      <w:r>
        <w:rPr>
          <w:rFonts w:hint="default"/>
          <w:caps w:val="0"/>
          <w:highlight w:val="none"/>
          <w:lang w:val="en-US" w:eastAsia="zh-CN"/>
        </w:rPr>
        <w:t>The formulation of public relations strategy needs to focus on the established goals and tasks</w:t>
      </w:r>
      <w:r>
        <w:rPr>
          <w:rFonts w:hint="eastAsia"/>
          <w:caps w:val="0"/>
          <w:highlight w:val="none"/>
          <w:lang w:val="en-US" w:eastAsia="zh-CN"/>
        </w:rPr>
        <w:t>.</w:t>
      </w:r>
      <w:r>
        <w:rPr>
          <w:rFonts w:hint="default"/>
          <w:caps w:val="0"/>
          <w:highlight w:val="none"/>
          <w:lang w:val="en-US" w:eastAsia="zh-CN"/>
        </w:rPr>
        <w:t>Through public relations can shorten the distance between enterprises and consumers, and win the trust of the market and the goodwill of the public</w:t>
      </w:r>
      <w:r>
        <w:rPr>
          <w:rFonts w:hint="eastAsia"/>
          <w:caps w:val="0"/>
          <w:highlight w:val="none"/>
          <w:lang w:val="en-US" w:eastAsia="zh-CN"/>
        </w:rPr>
        <w:t>.</w:t>
      </w:r>
      <w:r>
        <w:rPr>
          <w:rFonts w:hint="default"/>
          <w:caps w:val="0"/>
          <w:highlight w:val="none"/>
          <w:lang w:val="en-US" w:eastAsia="zh-CN"/>
        </w:rPr>
        <w:t>Public relations strategy needs to highlight functions and determine according to the stage of enterprise development</w:t>
      </w:r>
      <w:r>
        <w:rPr>
          <w:rFonts w:hint="eastAsia"/>
          <w:caps w:val="0"/>
          <w:highlight w:val="none"/>
          <w:lang w:val="en-US" w:eastAsia="zh-CN"/>
        </w:rPr>
        <w:t>.</w:t>
      </w:r>
      <w:r>
        <w:rPr>
          <w:rFonts w:hint="default"/>
          <w:caps w:val="0"/>
          <w:highlight w:val="none"/>
          <w:lang w:val="en-US" w:eastAsia="zh-CN"/>
        </w:rPr>
        <w:t>The choice of corporate public relations can be multi-faceted and multi-dimensional</w:t>
      </w:r>
      <w:r>
        <w:rPr>
          <w:rFonts w:hint="eastAsia"/>
          <w:caps w:val="0"/>
          <w:highlight w:val="none"/>
          <w:lang w:val="en-US" w:eastAsia="zh-CN"/>
        </w:rPr>
        <w:t>.</w:t>
      </w:r>
      <w:r>
        <w:rPr>
          <w:rFonts w:hint="default"/>
          <w:caps w:val="0"/>
          <w:highlight w:val="none"/>
          <w:lang w:val="en-US" w:eastAsia="zh-CN"/>
        </w:rPr>
        <w:t>It can adopt different ways of public relations promotion according to the purpose of public relations</w:t>
      </w:r>
      <w:r>
        <w:rPr>
          <w:rFonts w:hint="eastAsia"/>
          <w:caps w:val="0"/>
          <w:highlight w:val="none"/>
          <w:lang w:val="en-US" w:eastAsia="zh-CN"/>
        </w:rPr>
        <w:t>.</w:t>
      </w:r>
      <w:r>
        <w:rPr>
          <w:rFonts w:hint="default"/>
          <w:caps w:val="0"/>
          <w:highlight w:val="none"/>
          <w:lang w:val="en-US" w:eastAsia="zh-CN"/>
        </w:rPr>
        <w:t>The main public relations strategies that can be adopted include public welfare activities, news, special activities, speeches, etc</w:t>
      </w:r>
      <w:r>
        <w:rPr>
          <w:rFonts w:hint="eastAsia"/>
          <w:caps w:val="0"/>
          <w:highlight w:val="none"/>
          <w:lang w:val="en-US" w:eastAsia="zh-CN"/>
        </w:rPr>
        <w:t>.</w:t>
      </w:r>
      <w:r>
        <w:rPr>
          <w:rFonts w:hint="default"/>
          <w:caps w:val="0"/>
          <w:highlight w:val="none"/>
          <w:lang w:val="en-US" w:eastAsia="zh-CN"/>
        </w:rPr>
        <w:t>Enterprises can publicize corporate culture and product positioning through public advertising, which can benefit the public image and public opinion of enterprises</w:t>
      </w:r>
      <w:r>
        <w:rPr>
          <w:rFonts w:hint="eastAsia"/>
          <w:caps w:val="0"/>
          <w:highlight w:val="none"/>
          <w:lang w:val="en-US" w:eastAsia="zh-CN"/>
        </w:rPr>
        <w:t>.</w:t>
      </w:r>
      <w:r>
        <w:rPr>
          <w:rFonts w:hint="default"/>
          <w:caps w:val="0"/>
          <w:highlight w:val="none"/>
          <w:lang w:val="en-US" w:eastAsia="zh-CN"/>
        </w:rPr>
        <w:t>When planning public relations strategies, we need to pay attention to the principle of integrity and pay attention to the coordination between public interests and corporate interests.</w:t>
      </w:r>
    </w:p>
    <w:p>
      <w:pPr>
        <w:pStyle w:val="2"/>
        <w:bidi w:val="0"/>
        <w:rPr>
          <w:rFonts w:hint="eastAsia"/>
          <w:highlight w:val="none"/>
          <w:lang w:val="en-US" w:eastAsia="zh-CN"/>
        </w:rPr>
      </w:pPr>
      <w:bookmarkStart w:id="48" w:name="_Toc6218"/>
      <w:bookmarkStart w:id="49" w:name="_Toc20132"/>
      <w:r>
        <w:rPr>
          <w:rFonts w:hint="eastAsia"/>
          <w:highlight w:val="none"/>
          <w:lang w:val="en-US" w:eastAsia="zh-CN"/>
        </w:rPr>
        <w:t>6.Suggestions</w:t>
      </w:r>
      <w:bookmarkEnd w:id="48"/>
    </w:p>
    <w:p>
      <w:pPr>
        <w:pStyle w:val="3"/>
        <w:bidi w:val="0"/>
        <w:rPr>
          <w:rFonts w:hint="eastAsia"/>
          <w:highlight w:val="none"/>
          <w:lang w:val="en-US" w:eastAsia="zh-CN"/>
        </w:rPr>
      </w:pPr>
      <w:bookmarkStart w:id="50" w:name="_Toc25442"/>
      <w:r>
        <w:rPr>
          <w:rFonts w:hint="eastAsia"/>
          <w:highlight w:val="none"/>
          <w:lang w:val="en-US" w:eastAsia="zh-CN"/>
        </w:rPr>
        <w:t>6.1.Increase brand awareness</w:t>
      </w:r>
      <w:bookmarkEnd w:id="50"/>
    </w:p>
    <w:p>
      <w:pPr>
        <w:keepNext w:val="0"/>
        <w:keepLines w:val="0"/>
        <w:pageBreakBefore w:val="0"/>
        <w:widowControl/>
        <w:kinsoku/>
        <w:wordWrap/>
        <w:overflowPunct/>
        <w:topLinePunct w:val="0"/>
        <w:autoSpaceDE/>
        <w:autoSpaceDN/>
        <w:bidi w:val="0"/>
        <w:adjustRightInd/>
        <w:snapToGrid/>
        <w:ind w:firstLine="0" w:firstLineChars="0"/>
        <w:textAlignment w:val="auto"/>
        <w:rPr>
          <w:rFonts w:hint="eastAsia"/>
          <w:highlight w:val="none"/>
          <w:lang w:val="en-US" w:eastAsia="zh-CN"/>
        </w:rPr>
      </w:pPr>
      <w:r>
        <w:rPr>
          <w:rFonts w:hint="eastAsia"/>
          <w:highlight w:val="none"/>
          <w:lang w:val="en-US" w:eastAsia="zh-CN"/>
        </w:rPr>
        <w:t>Consumer purchasing behaviour will be influenced by brand recognition.Consumers prefer to buy products with more brand awareness when the quality of products given by firms is almost the same.BYD has a strong brand recognition in China but a low brand recognition in other nations.The first is to develop high-quality items that fulfil the diverse needs of consumers, gain their entire trust, and establish a strong reputation among them.The second step is to expand marketing activities in order to improve marketing effect, product brand awareness, and reputation.The third is to strengthen after-sales service and related facilities, so that consumers have no worries while buying products.Adopt customised personalised services for consumers to improve service quality and degree of service, such as: adopting a membership system, giving little presents on birthdays; providing exclusive personal customer support for clients; creating more ideal tailored car modifications, and so on.</w:t>
      </w:r>
    </w:p>
    <w:p>
      <w:pPr>
        <w:pStyle w:val="3"/>
        <w:bidi w:val="0"/>
        <w:rPr>
          <w:rFonts w:hint="eastAsia"/>
          <w:highlight w:val="none"/>
          <w:lang w:val="en-US" w:eastAsia="zh-CN"/>
        </w:rPr>
      </w:pPr>
      <w:bookmarkStart w:id="51" w:name="_Toc32610"/>
      <w:r>
        <w:rPr>
          <w:rFonts w:hint="eastAsia"/>
          <w:highlight w:val="none"/>
          <w:lang w:val="en-US" w:eastAsia="zh-CN"/>
        </w:rPr>
        <w:t>6.2 Enhance support facilities</w:t>
      </w:r>
      <w:bookmarkEnd w:id="51"/>
    </w:p>
    <w:p>
      <w:pPr>
        <w:keepNext w:val="0"/>
        <w:keepLines w:val="0"/>
        <w:pageBreakBefore w:val="0"/>
        <w:widowControl/>
        <w:kinsoku/>
        <w:wordWrap/>
        <w:overflowPunct/>
        <w:topLinePunct w:val="0"/>
        <w:autoSpaceDE/>
        <w:autoSpaceDN/>
        <w:bidi w:val="0"/>
        <w:adjustRightInd/>
        <w:snapToGrid/>
        <w:ind w:firstLine="0" w:firstLineChars="0"/>
        <w:textAlignment w:val="auto"/>
        <w:rPr>
          <w:rFonts w:hint="eastAsia"/>
          <w:highlight w:val="none"/>
          <w:lang w:val="en-US" w:eastAsia="zh-CN"/>
        </w:rPr>
      </w:pPr>
      <w:r>
        <w:rPr>
          <w:rFonts w:hint="eastAsia"/>
          <w:highlight w:val="none"/>
          <w:lang w:val="en-US" w:eastAsia="zh-CN"/>
        </w:rPr>
        <w:t>BYD can develop charging piles and recycle power batteries to compensate for a shortage of related services.BYD can negotiate an agreement with the power department and the government to build their own brand of charging heaps for the building of charging piles.Private businesses can perform charging-related activities by obtaining business licences, and local administrative bodies can supervise prices.The development of charging piles and the demand for "one car, one pile" are still far apart.New operation modes and profit points can be discovered during the charging pile construction process.BYD corporation can set up a dedicated battery recycling site, to the nearest scrapped batteries for recycling, which is not only convenient for consumers, but also reduces environmental pressure.Currently, the state has implemented a number of laws and incentives to assist BYD in researching new energy vehicle technologies and improving battery recycling and utilisation rates.</w:t>
      </w:r>
    </w:p>
    <w:p>
      <w:pPr>
        <w:keepNext w:val="0"/>
        <w:keepLines w:val="0"/>
        <w:pageBreakBefore w:val="0"/>
        <w:widowControl/>
        <w:kinsoku/>
        <w:wordWrap/>
        <w:overflowPunct/>
        <w:topLinePunct w:val="0"/>
        <w:autoSpaceDE/>
        <w:autoSpaceDN/>
        <w:bidi w:val="0"/>
        <w:adjustRightInd/>
        <w:snapToGrid/>
        <w:ind w:firstLine="0" w:firstLineChars="0"/>
        <w:textAlignment w:val="auto"/>
        <w:rPr>
          <w:rFonts w:hint="eastAsia"/>
          <w:highlight w:val="none"/>
          <w:lang w:val="en-US" w:eastAsia="zh-CN"/>
        </w:rPr>
      </w:pPr>
      <w:r>
        <w:rPr>
          <w:rFonts w:hint="eastAsia"/>
          <w:highlight w:val="none"/>
          <w:lang w:val="en-US" w:eastAsia="zh-CN"/>
        </w:rPr>
        <w:t>BYD can collaborate with companies in related industries to create new ways of operating while recycling batteries.</w:t>
      </w:r>
    </w:p>
    <w:p>
      <w:pPr>
        <w:pStyle w:val="3"/>
        <w:bidi w:val="0"/>
        <w:rPr>
          <w:rFonts w:hint="eastAsia"/>
          <w:highlight w:val="none"/>
          <w:lang w:val="en-US" w:eastAsia="zh-CN"/>
        </w:rPr>
      </w:pPr>
      <w:bookmarkStart w:id="52" w:name="_Toc24760"/>
      <w:r>
        <w:rPr>
          <w:rFonts w:hint="eastAsia"/>
          <w:highlight w:val="none"/>
          <w:lang w:val="en-US" w:eastAsia="zh-CN"/>
        </w:rPr>
        <w:t>6.3.Better corporate culture</w:t>
      </w:r>
      <w:bookmarkEnd w:id="52"/>
    </w:p>
    <w:p>
      <w:pPr>
        <w:keepNext w:val="0"/>
        <w:keepLines w:val="0"/>
        <w:pageBreakBefore w:val="0"/>
        <w:widowControl/>
        <w:kinsoku/>
        <w:wordWrap/>
        <w:overflowPunct/>
        <w:topLinePunct w:val="0"/>
        <w:autoSpaceDE/>
        <w:autoSpaceDN/>
        <w:bidi w:val="0"/>
        <w:adjustRightInd/>
        <w:snapToGrid/>
        <w:ind w:firstLine="0" w:firstLineChars="0"/>
        <w:textAlignment w:val="auto"/>
        <w:rPr>
          <w:rFonts w:hint="eastAsia"/>
          <w:highlight w:val="none"/>
          <w:lang w:val="en-US" w:eastAsia="zh-CN"/>
        </w:rPr>
      </w:pPr>
      <w:r>
        <w:rPr>
          <w:rFonts w:hint="eastAsia"/>
          <w:highlight w:val="none"/>
          <w:lang w:val="en-US" w:eastAsia="zh-CN"/>
        </w:rPr>
        <w:t>Byd in management revealed ineffective management, indicating that BYD has to enhance its corporate culture.Previously, BYD insisted on its own research and development while paying little attention to market feedback, such as consumers' jokes about the model's poor aesthetic look.To improve the design beauty, BYD changed its design director in 2016 and created the Dynasty series of new energy cars.</w:t>
      </w:r>
    </w:p>
    <w:p>
      <w:pPr>
        <w:keepNext w:val="0"/>
        <w:keepLines w:val="0"/>
        <w:pageBreakBefore w:val="0"/>
        <w:widowControl/>
        <w:kinsoku/>
        <w:wordWrap/>
        <w:overflowPunct/>
        <w:topLinePunct w:val="0"/>
        <w:autoSpaceDE/>
        <w:autoSpaceDN/>
        <w:bidi w:val="0"/>
        <w:adjustRightInd/>
        <w:snapToGrid/>
        <w:ind w:firstLine="0" w:firstLineChars="0"/>
        <w:textAlignment w:val="auto"/>
        <w:rPr>
          <w:rFonts w:hint="eastAsia"/>
          <w:highlight w:val="none"/>
          <w:lang w:val="en-US" w:eastAsia="zh-CN"/>
        </w:rPr>
      </w:pPr>
      <w:r>
        <w:rPr>
          <w:rFonts w:hint="eastAsia"/>
          <w:highlight w:val="none"/>
          <w:lang w:val="en-US" w:eastAsia="zh-CN"/>
        </w:rPr>
        <w:t>This demonstrates that BYD began to pay heed to user concerns and became more open.Furthermore, BYD's limited promotion channel underscores the company's need to strengthen its corporate culture.Byd's promotions to management positions frequently originate from inside and bring few outsiders.A closed management culture is not conducive to the long-term success of businesses.As a result, BYD must enhance its corporate culture, become more transparent and inclusive, and be adept at absorbing consumer feedback and useful talent.In response to these issues, the internal management system and incentives can be improved to increase employee enthusiasm and creativity, as well as charity and other social activities to benefit the enterprise; regular sports and cultural activities can be held to enrich employees' spiritual lives and enhance their sense of belonging.</w:t>
      </w:r>
    </w:p>
    <w:p>
      <w:pPr>
        <w:pStyle w:val="3"/>
        <w:bidi w:val="0"/>
        <w:rPr>
          <w:rFonts w:hint="eastAsia"/>
          <w:highlight w:val="none"/>
          <w:lang w:val="en-US" w:eastAsia="zh-CN"/>
        </w:rPr>
      </w:pPr>
      <w:bookmarkStart w:id="53" w:name="_Toc21804"/>
      <w:r>
        <w:rPr>
          <w:rFonts w:hint="eastAsia"/>
          <w:highlight w:val="none"/>
          <w:lang w:val="en-US" w:eastAsia="zh-CN"/>
        </w:rPr>
        <w:t>6.4.Increase the use of data analysis</w:t>
      </w:r>
      <w:bookmarkEnd w:id="53"/>
    </w:p>
    <w:p>
      <w:pPr>
        <w:keepNext w:val="0"/>
        <w:keepLines w:val="0"/>
        <w:pageBreakBefore w:val="0"/>
        <w:widowControl/>
        <w:kinsoku/>
        <w:wordWrap/>
        <w:overflowPunct/>
        <w:topLinePunct w:val="0"/>
        <w:autoSpaceDE/>
        <w:autoSpaceDN/>
        <w:bidi w:val="0"/>
        <w:adjustRightInd/>
        <w:snapToGrid/>
        <w:ind w:firstLine="0" w:firstLineChars="0"/>
        <w:textAlignment w:val="auto"/>
        <w:rPr>
          <w:rFonts w:hint="eastAsia"/>
          <w:highlight w:val="none"/>
          <w:lang w:val="en-US" w:eastAsia="zh-CN"/>
        </w:rPr>
      </w:pPr>
      <w:r>
        <w:rPr>
          <w:rFonts w:hint="eastAsia"/>
          <w:highlight w:val="none"/>
          <w:lang w:val="en-US" w:eastAsia="zh-CN"/>
        </w:rPr>
        <w:t>To improve information collection and mining capabilities.Information gathering and analysis has become a significant tool for assisting businesses in their operations.It can provide a decision-making framework for enterprise policy through data mining, analysis, and aggregation.With the rapid growth of big data technology in recent years, multidimensional data can now precisely identify user information, accurately picture persons, and discover prospective customers early.As a result, organisations are increasingly valuing data.In this regard, the Group should train dealers in system use and data index analysis skills, as well as improve the standardised process by upgrading the software and hardware system to promote standardised services.</w:t>
      </w:r>
    </w:p>
    <w:p>
      <w:pPr>
        <w:pStyle w:val="2"/>
        <w:pageBreakBefore w:val="0"/>
        <w:widowControl/>
        <w:kinsoku/>
        <w:overflowPunct/>
        <w:topLinePunct w:val="0"/>
        <w:autoSpaceDE/>
        <w:autoSpaceDN/>
        <w:bidi w:val="0"/>
        <w:adjustRightInd/>
        <w:snapToGrid/>
        <w:spacing w:line="480" w:lineRule="auto"/>
        <w:textAlignment w:val="auto"/>
        <w:rPr>
          <w:rFonts w:hint="default"/>
          <w:sz w:val="24"/>
          <w:szCs w:val="24"/>
          <w:highlight w:val="none"/>
          <w:lang w:val="en-US" w:eastAsia="zh-CN"/>
        </w:rPr>
      </w:pPr>
      <w:bookmarkStart w:id="54" w:name="_Toc17693"/>
      <w:r>
        <w:rPr>
          <w:rFonts w:hint="eastAsia"/>
          <w:highlight w:val="none"/>
          <w:lang w:val="en-US" w:eastAsia="zh-CN"/>
        </w:rPr>
        <w:t>Reference</w:t>
      </w:r>
      <w:bookmarkEnd w:id="49"/>
      <w:bookmarkEnd w:id="54"/>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highlight w:val="none"/>
          <w:lang w:val="en-US" w:eastAsia="zh-CN"/>
        </w:rPr>
      </w:pPr>
      <w:r>
        <w:rPr>
          <w:rFonts w:hint="default"/>
          <w:sz w:val="24"/>
          <w:szCs w:val="24"/>
          <w:highlight w:val="none"/>
          <w:lang w:val="en-US" w:eastAsia="zh-CN"/>
        </w:rPr>
        <w:t xml:space="preserve">Wang, Wang, X., &amp; Yang, W. (2020). Optimal design of electric vehicle battery recycling network – From the perspective of electric vehicle manufacturers. Applied Energy, 275, 115328–. </w:t>
      </w:r>
      <w:r>
        <w:rPr>
          <w:rFonts w:hint="default"/>
          <w:sz w:val="24"/>
          <w:szCs w:val="24"/>
          <w:highlight w:val="none"/>
          <w:lang w:val="en-US" w:eastAsia="zh-CN"/>
        </w:rPr>
        <w:fldChar w:fldCharType="begin"/>
      </w:r>
      <w:r>
        <w:rPr>
          <w:rFonts w:hint="default"/>
          <w:sz w:val="24"/>
          <w:szCs w:val="24"/>
          <w:highlight w:val="none"/>
          <w:lang w:val="en-US" w:eastAsia="zh-CN"/>
        </w:rPr>
        <w:instrText xml:space="preserve"> HYPERLINK "https://doi.org/10.1016/j.apenergy.2020.115328." </w:instrText>
      </w:r>
      <w:r>
        <w:rPr>
          <w:rFonts w:hint="default"/>
          <w:sz w:val="24"/>
          <w:szCs w:val="24"/>
          <w:highlight w:val="none"/>
          <w:lang w:val="en-US" w:eastAsia="zh-CN"/>
        </w:rPr>
        <w:fldChar w:fldCharType="separate"/>
      </w:r>
      <w:r>
        <w:rPr>
          <w:rStyle w:val="15"/>
          <w:rFonts w:hint="default"/>
          <w:sz w:val="24"/>
          <w:szCs w:val="24"/>
          <w:highlight w:val="none"/>
          <w:lang w:val="en-US" w:eastAsia="zh-CN"/>
        </w:rPr>
        <w:t>https://doi.org/10.1016/j.apenergy.2020.115328</w:t>
      </w:r>
      <w:r>
        <w:rPr>
          <w:rStyle w:val="15"/>
          <w:rFonts w:hint="eastAsia"/>
          <w:sz w:val="24"/>
          <w:szCs w:val="24"/>
          <w:highlight w:val="none"/>
          <w:lang w:val="en-US" w:eastAsia="zh-CN"/>
        </w:rPr>
        <w:t>.</w:t>
      </w:r>
      <w:r>
        <w:rPr>
          <w:rFonts w:hint="default"/>
          <w:sz w:val="24"/>
          <w:szCs w:val="24"/>
          <w:highlight w:val="none"/>
          <w:lang w:val="en-US" w:eastAsia="zh-CN"/>
        </w:rPr>
        <w:fldChar w:fldCharType="end"/>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highlight w:val="none"/>
          <w:lang w:val="en-US" w:eastAsia="zh-CN"/>
        </w:rPr>
      </w:pPr>
      <w:r>
        <w:rPr>
          <w:rFonts w:hint="default"/>
          <w:sz w:val="24"/>
          <w:szCs w:val="24"/>
          <w:highlight w:val="none"/>
          <w:lang w:val="en-US" w:eastAsia="zh-CN"/>
        </w:rPr>
        <w:t>Fotouhi, Auger, D. J., Propp, K., Longo, S., &amp; Wild, M. (2016). A review on electric vehicle battery modelling: From Lithium-ion toward Lithium–Sulphur. Renewable &amp; Sustainable Energy Reviews, 56, 1008–1021. https://doi.org/10.1016/j.rser.2015.12.009</w:t>
      </w:r>
      <w:r>
        <w:rPr>
          <w:rFonts w:hint="eastAsia"/>
          <w:sz w:val="24"/>
          <w:szCs w:val="24"/>
          <w:highlight w:val="none"/>
          <w:lang w:val="en-US" w:eastAsia="zh-CN"/>
        </w:rPr>
        <w:t>.</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highlight w:val="none"/>
          <w:lang w:val="en-US" w:eastAsia="zh-CN"/>
        </w:rPr>
      </w:pPr>
      <w:r>
        <w:rPr>
          <w:rFonts w:hint="default"/>
          <w:sz w:val="24"/>
          <w:szCs w:val="24"/>
          <w:highlight w:val="none"/>
          <w:lang w:val="en-US" w:eastAsia="zh-CN"/>
        </w:rPr>
        <w:t>Habib, Kamran, M., &amp; Rashid, U. (2015). Impact analysis of vehicle-to-grid technology and charging strategies of electric vehicles on distribution networks – A review. Journal of Power Sources, 277, 205–214. https://doi.org/10.1016/j.jpowsour.2014.12.020</w:t>
      </w:r>
      <w:r>
        <w:rPr>
          <w:rFonts w:hint="eastAsia"/>
          <w:sz w:val="24"/>
          <w:szCs w:val="24"/>
          <w:highlight w:val="none"/>
          <w:lang w:val="en-US" w:eastAsia="zh-CN"/>
        </w:rPr>
        <w:t>.</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highlight w:val="none"/>
          <w:lang w:val="en-US" w:eastAsia="zh-CN"/>
        </w:rPr>
      </w:pPr>
      <w:r>
        <w:rPr>
          <w:rFonts w:hint="default"/>
          <w:sz w:val="24"/>
          <w:szCs w:val="24"/>
          <w:highlight w:val="none"/>
          <w:lang w:val="en-US" w:eastAsia="zh-CN"/>
        </w:rPr>
        <w:t>Manzetti, &amp; Mariasiu, F. (2015). Electric vehicle battery technologies: From present state to future systems. Renewable &amp; Sustainable Energy Reviews, 51, 1004–1012. https://doi.org/10.1016/j.rser.2015.07.010</w:t>
      </w:r>
      <w:r>
        <w:rPr>
          <w:rFonts w:hint="eastAsia"/>
          <w:sz w:val="24"/>
          <w:szCs w:val="24"/>
          <w:highlight w:val="none"/>
          <w:lang w:val="en-US" w:eastAsia="zh-CN"/>
        </w:rPr>
        <w:t>.</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highlight w:val="none"/>
          <w:lang w:val="en-US" w:eastAsia="zh-CN"/>
        </w:rPr>
      </w:pPr>
      <w:r>
        <w:rPr>
          <w:rFonts w:hint="default"/>
          <w:sz w:val="24"/>
          <w:szCs w:val="24"/>
          <w:highlight w:val="none"/>
          <w:lang w:val="en-US" w:eastAsia="zh-CN"/>
        </w:rPr>
        <w:t>Rezvani, Jansson, J., &amp; Bodin, J. (2015). Advances in consumer electric vehicle adoption research: A review and research agenda. Transportation Research. Part D, Transport and Environment, 34, 122–136. https://doi.org/10.1016/j.trd.2014.10.010</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highlight w:val="none"/>
          <w:lang w:val="en-US" w:eastAsia="zh-CN"/>
        </w:rPr>
      </w:pPr>
      <w:r>
        <w:rPr>
          <w:rFonts w:hint="default"/>
          <w:sz w:val="24"/>
          <w:szCs w:val="24"/>
          <w:highlight w:val="none"/>
          <w:lang w:val="en-US" w:eastAsia="zh-CN"/>
        </w:rPr>
        <w:t>Breetz, &amp; Salon, D. (2018). Do electric vehicles need subsidies? Ownership costs for conventional, hybrid, and electric vehicles in 14 U.S. cities. Energy Policy, 120, 238–249. https://doi.org/10.1016/j.enpol.2018.05.038</w:t>
      </w:r>
      <w:r>
        <w:rPr>
          <w:rFonts w:hint="eastAsia"/>
          <w:sz w:val="24"/>
          <w:szCs w:val="24"/>
          <w:highlight w:val="none"/>
          <w:lang w:val="en-US" w:eastAsia="zh-CN"/>
        </w:rPr>
        <w:t>.</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highlight w:val="none"/>
          <w:lang w:val="en-US" w:eastAsia="zh-CN"/>
        </w:rPr>
      </w:pPr>
      <w:r>
        <w:rPr>
          <w:rFonts w:hint="default"/>
          <w:sz w:val="24"/>
          <w:szCs w:val="24"/>
          <w:highlight w:val="none"/>
          <w:lang w:val="en-US" w:eastAsia="zh-CN"/>
        </w:rPr>
        <w:t>Priessner, Sposato, R., &amp; Hampl, N. (2018). Predictors of electric vehicle adoption: An analysis of potential electric vehicle drivers in Austria. Energy Policy, 122, 701–714. https://doi.org/10.1016/j.enpol.2018.07.058</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highlight w:val="none"/>
          <w:lang w:val="en-US" w:eastAsia="zh-CN"/>
        </w:rPr>
      </w:pPr>
      <w:r>
        <w:rPr>
          <w:rFonts w:hint="default"/>
          <w:sz w:val="24"/>
          <w:szCs w:val="24"/>
          <w:highlight w:val="none"/>
          <w:lang w:val="en-US" w:eastAsia="zh-CN"/>
        </w:rPr>
        <w:t>Versical. (2021). Tesla’s vehicle quality is off the charts -- literally. Automotive News, 96(7014), 12–.</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highlight w:val="none"/>
          <w:lang w:val="en-US" w:eastAsia="zh-CN"/>
        </w:rPr>
      </w:pPr>
      <w:r>
        <w:rPr>
          <w:rFonts w:hint="default"/>
          <w:sz w:val="24"/>
          <w:szCs w:val="24"/>
          <w:highlight w:val="none"/>
          <w:lang w:val="en-US" w:eastAsia="zh-CN"/>
        </w:rPr>
        <w:t>Gupta, H</w:t>
      </w:r>
      <w:r>
        <w:rPr>
          <w:rFonts w:hint="eastAsia"/>
          <w:sz w:val="24"/>
          <w:szCs w:val="24"/>
          <w:highlight w:val="none"/>
          <w:lang w:val="en-US" w:eastAsia="zh-CN"/>
        </w:rPr>
        <w:t>.</w:t>
      </w:r>
      <w:r>
        <w:rPr>
          <w:rFonts w:hint="default"/>
          <w:sz w:val="24"/>
          <w:szCs w:val="24"/>
          <w:highlight w:val="none"/>
          <w:lang w:val="en-US" w:eastAsia="zh-CN"/>
        </w:rPr>
        <w:t>and Barua, M.K</w:t>
      </w:r>
      <w:r>
        <w:rPr>
          <w:rFonts w:hint="eastAsia"/>
          <w:sz w:val="24"/>
          <w:szCs w:val="24"/>
          <w:highlight w:val="none"/>
          <w:lang w:val="en-US" w:eastAsia="zh-CN"/>
        </w:rPr>
        <w:t>.</w:t>
      </w:r>
      <w:r>
        <w:rPr>
          <w:rFonts w:hint="default"/>
          <w:sz w:val="24"/>
          <w:szCs w:val="24"/>
          <w:highlight w:val="none"/>
          <w:lang w:val="en-US" w:eastAsia="zh-CN"/>
        </w:rPr>
        <w:t>(2016) “Identifying enablers of technological innovation for Indian msmes using Best–Worst Multi Criteria Decision Making Method,” Technological Forecasting and Social Change, 107, pp</w:t>
      </w:r>
      <w:r>
        <w:rPr>
          <w:rFonts w:hint="eastAsia"/>
          <w:sz w:val="24"/>
          <w:szCs w:val="24"/>
          <w:highlight w:val="none"/>
          <w:lang w:val="en-US" w:eastAsia="zh-CN"/>
        </w:rPr>
        <w:t>.</w:t>
      </w:r>
      <w:r>
        <w:rPr>
          <w:rFonts w:hint="default"/>
          <w:sz w:val="24"/>
          <w:szCs w:val="24"/>
          <w:highlight w:val="none"/>
          <w:lang w:val="en-US" w:eastAsia="zh-CN"/>
        </w:rPr>
        <w:t>69–79</w:t>
      </w:r>
      <w:r>
        <w:rPr>
          <w:rFonts w:hint="eastAsia"/>
          <w:sz w:val="24"/>
          <w:szCs w:val="24"/>
          <w:highlight w:val="none"/>
          <w:lang w:val="en-US" w:eastAsia="zh-CN"/>
        </w:rPr>
        <w:t>.</w:t>
      </w:r>
      <w:r>
        <w:rPr>
          <w:rFonts w:hint="default"/>
          <w:sz w:val="24"/>
          <w:szCs w:val="24"/>
          <w:highlight w:val="none"/>
          <w:lang w:val="en-US" w:eastAsia="zh-CN"/>
        </w:rPr>
        <w:t>Available at: https://doi.org/10.1016/j.techfore.2016.03.028</w:t>
      </w:r>
      <w:r>
        <w:rPr>
          <w:rFonts w:hint="eastAsia"/>
          <w:sz w:val="24"/>
          <w:szCs w:val="24"/>
          <w:highlight w:val="none"/>
          <w:lang w:val="en-US" w:eastAsia="zh-CN"/>
        </w:rPr>
        <w:t>.</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highlight w:val="none"/>
          <w:lang w:val="en-US" w:eastAsia="zh-CN"/>
        </w:rPr>
      </w:pPr>
      <w:r>
        <w:rPr>
          <w:rFonts w:hint="default"/>
          <w:sz w:val="24"/>
          <w:szCs w:val="24"/>
          <w:highlight w:val="none"/>
          <w:lang w:val="en-US" w:eastAsia="zh-CN"/>
        </w:rPr>
        <w:t>Santos, G</w:t>
      </w:r>
      <w:r>
        <w:rPr>
          <w:rFonts w:hint="eastAsia"/>
          <w:sz w:val="24"/>
          <w:szCs w:val="24"/>
          <w:highlight w:val="none"/>
          <w:lang w:val="en-US" w:eastAsia="zh-CN"/>
        </w:rPr>
        <w:t>.</w:t>
      </w:r>
      <w:r>
        <w:rPr>
          <w:rFonts w:hint="default"/>
          <w:sz w:val="24"/>
          <w:szCs w:val="24"/>
          <w:highlight w:val="none"/>
          <w:lang w:val="en-US" w:eastAsia="zh-CN"/>
        </w:rPr>
        <w:t>and Davies, H</w:t>
      </w:r>
      <w:r>
        <w:rPr>
          <w:rFonts w:hint="eastAsia"/>
          <w:sz w:val="24"/>
          <w:szCs w:val="24"/>
          <w:highlight w:val="none"/>
          <w:lang w:val="en-US" w:eastAsia="zh-CN"/>
        </w:rPr>
        <w:t>.</w:t>
      </w:r>
      <w:r>
        <w:rPr>
          <w:rFonts w:hint="default"/>
          <w:sz w:val="24"/>
          <w:szCs w:val="24"/>
          <w:highlight w:val="none"/>
          <w:lang w:val="en-US" w:eastAsia="zh-CN"/>
        </w:rPr>
        <w:t>(2020) “Incentives for quick penetration of electric vehicles in five European countries: Perceptions from experts and stakeholders,” Transportation Research Part A: Policy and Practice, 137, pp</w:t>
      </w:r>
      <w:r>
        <w:rPr>
          <w:rFonts w:hint="eastAsia"/>
          <w:sz w:val="24"/>
          <w:szCs w:val="24"/>
          <w:highlight w:val="none"/>
          <w:lang w:val="en-US" w:eastAsia="zh-CN"/>
        </w:rPr>
        <w:t>.</w:t>
      </w:r>
      <w:r>
        <w:rPr>
          <w:rFonts w:hint="default"/>
          <w:sz w:val="24"/>
          <w:szCs w:val="24"/>
          <w:highlight w:val="none"/>
          <w:lang w:val="en-US" w:eastAsia="zh-CN"/>
        </w:rPr>
        <w:t>326–342</w:t>
      </w:r>
      <w:r>
        <w:rPr>
          <w:rFonts w:hint="eastAsia"/>
          <w:sz w:val="24"/>
          <w:szCs w:val="24"/>
          <w:highlight w:val="none"/>
          <w:lang w:val="en-US" w:eastAsia="zh-CN"/>
        </w:rPr>
        <w:t>.</w:t>
      </w:r>
      <w:r>
        <w:rPr>
          <w:rFonts w:hint="default"/>
          <w:sz w:val="24"/>
          <w:szCs w:val="24"/>
          <w:highlight w:val="none"/>
          <w:lang w:val="en-US" w:eastAsia="zh-CN"/>
        </w:rPr>
        <w:t>Available at: https://doi.org/10.1016/j.tra.2018.10.034</w:t>
      </w:r>
      <w:r>
        <w:rPr>
          <w:rFonts w:hint="eastAsia"/>
          <w:sz w:val="24"/>
          <w:szCs w:val="24"/>
          <w:highlight w:val="none"/>
          <w:lang w:val="en-US" w:eastAsia="zh-CN"/>
        </w:rPr>
        <w:t>.</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highlight w:val="none"/>
          <w:lang w:val="en-US" w:eastAsia="zh-CN"/>
        </w:rPr>
      </w:pPr>
      <w:r>
        <w:rPr>
          <w:rFonts w:hint="default"/>
          <w:sz w:val="24"/>
          <w:szCs w:val="24"/>
          <w:highlight w:val="none"/>
          <w:lang w:val="en-US" w:eastAsia="zh-CN"/>
        </w:rPr>
        <w:t>Hu, S</w:t>
      </w:r>
      <w:r>
        <w:rPr>
          <w:rFonts w:hint="eastAsia"/>
          <w:sz w:val="24"/>
          <w:szCs w:val="24"/>
          <w:highlight w:val="none"/>
          <w:lang w:val="en-US" w:eastAsia="zh-CN"/>
        </w:rPr>
        <w:t>.</w:t>
      </w:r>
      <w:r>
        <w:rPr>
          <w:rFonts w:hint="default"/>
          <w:sz w:val="24"/>
          <w:szCs w:val="24"/>
          <w:highlight w:val="none"/>
          <w:lang w:val="en-US" w:eastAsia="zh-CN"/>
        </w:rPr>
        <w:t>et al</w:t>
      </w:r>
      <w:r>
        <w:rPr>
          <w:rFonts w:hint="eastAsia"/>
          <w:sz w:val="24"/>
          <w:szCs w:val="24"/>
          <w:highlight w:val="none"/>
          <w:lang w:val="en-US" w:eastAsia="zh-CN"/>
        </w:rPr>
        <w:t>.</w:t>
      </w:r>
      <w:r>
        <w:rPr>
          <w:rFonts w:hint="default"/>
          <w:sz w:val="24"/>
          <w:szCs w:val="24"/>
          <w:highlight w:val="none"/>
          <w:lang w:val="en-US" w:eastAsia="zh-CN"/>
        </w:rPr>
        <w:t>(2021) “Analysis on echelon utilization status of new energy vehicles batteries,” IOP Conference Series: Earth and Environmental Science, 651(2), p</w:t>
      </w:r>
      <w:r>
        <w:rPr>
          <w:rFonts w:hint="eastAsia"/>
          <w:sz w:val="24"/>
          <w:szCs w:val="24"/>
          <w:highlight w:val="none"/>
          <w:lang w:val="en-US" w:eastAsia="zh-CN"/>
        </w:rPr>
        <w:t>.</w:t>
      </w:r>
      <w:r>
        <w:rPr>
          <w:rFonts w:hint="default"/>
          <w:sz w:val="24"/>
          <w:szCs w:val="24"/>
          <w:highlight w:val="none"/>
          <w:lang w:val="en-US" w:eastAsia="zh-CN"/>
        </w:rPr>
        <w:t>022035</w:t>
      </w:r>
      <w:r>
        <w:rPr>
          <w:rFonts w:hint="eastAsia"/>
          <w:sz w:val="24"/>
          <w:szCs w:val="24"/>
          <w:highlight w:val="none"/>
          <w:lang w:val="en-US" w:eastAsia="zh-CN"/>
        </w:rPr>
        <w:t>.</w:t>
      </w:r>
      <w:r>
        <w:rPr>
          <w:rFonts w:hint="default"/>
          <w:sz w:val="24"/>
          <w:szCs w:val="24"/>
          <w:highlight w:val="none"/>
          <w:lang w:val="en-US" w:eastAsia="zh-CN"/>
        </w:rPr>
        <w:t>Available at: https://doi.org/10.1088/1755-1315/651/2/022035</w:t>
      </w:r>
      <w:r>
        <w:rPr>
          <w:rFonts w:hint="eastAsia"/>
          <w:sz w:val="24"/>
          <w:szCs w:val="24"/>
          <w:highlight w:val="none"/>
          <w:lang w:val="en-US" w:eastAsia="zh-CN"/>
        </w:rPr>
        <w:t>.</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highlight w:val="none"/>
          <w:lang w:val="en-US" w:eastAsia="zh-CN"/>
        </w:rPr>
      </w:pPr>
      <w:r>
        <w:rPr>
          <w:rFonts w:hint="default"/>
          <w:sz w:val="24"/>
          <w:szCs w:val="24"/>
          <w:highlight w:val="none"/>
          <w:lang w:val="en-US" w:eastAsia="zh-CN"/>
        </w:rPr>
        <w:t>wang, Y</w:t>
      </w:r>
      <w:r>
        <w:rPr>
          <w:rFonts w:hint="eastAsia"/>
          <w:sz w:val="24"/>
          <w:szCs w:val="24"/>
          <w:highlight w:val="none"/>
          <w:lang w:val="en-US" w:eastAsia="zh-CN"/>
        </w:rPr>
        <w:t>.</w:t>
      </w:r>
      <w:r>
        <w:rPr>
          <w:rFonts w:hint="default"/>
          <w:sz w:val="24"/>
          <w:szCs w:val="24"/>
          <w:highlight w:val="none"/>
          <w:lang w:val="en-US" w:eastAsia="zh-CN"/>
        </w:rPr>
        <w:t>and Liu, J</w:t>
      </w:r>
      <w:r>
        <w:rPr>
          <w:rFonts w:hint="eastAsia"/>
          <w:sz w:val="24"/>
          <w:szCs w:val="24"/>
          <w:highlight w:val="none"/>
          <w:lang w:val="en-US" w:eastAsia="zh-CN"/>
        </w:rPr>
        <w:t>.</w:t>
      </w:r>
      <w:r>
        <w:rPr>
          <w:rFonts w:hint="default"/>
          <w:sz w:val="24"/>
          <w:szCs w:val="24"/>
          <w:highlight w:val="none"/>
          <w:lang w:val="en-US" w:eastAsia="zh-CN"/>
        </w:rPr>
        <w:t>(2020) “Research on Wireless Charging Technology based on SSC inNew Energy Vehicles,” Frontiers in Economics and Management, 1(22), pp</w:t>
      </w:r>
      <w:r>
        <w:rPr>
          <w:rFonts w:hint="eastAsia"/>
          <w:sz w:val="24"/>
          <w:szCs w:val="24"/>
          <w:highlight w:val="none"/>
          <w:lang w:val="en-US" w:eastAsia="zh-CN"/>
        </w:rPr>
        <w:t>.</w:t>
      </w:r>
      <w:r>
        <w:rPr>
          <w:rFonts w:hint="default"/>
          <w:sz w:val="24"/>
          <w:szCs w:val="24"/>
          <w:highlight w:val="none"/>
          <w:lang w:val="en-US" w:eastAsia="zh-CN"/>
        </w:rPr>
        <w:t>870–884</w:t>
      </w:r>
      <w:r>
        <w:rPr>
          <w:rFonts w:hint="eastAsia"/>
          <w:sz w:val="24"/>
          <w:szCs w:val="24"/>
          <w:highlight w:val="none"/>
          <w:lang w:val="en-US" w:eastAsia="zh-CN"/>
        </w:rPr>
        <w:t>.</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highlight w:val="none"/>
          <w:lang w:val="en-US" w:eastAsia="zh-CN"/>
        </w:rPr>
      </w:pPr>
      <w:r>
        <w:rPr>
          <w:rFonts w:hint="default"/>
          <w:sz w:val="24"/>
          <w:szCs w:val="24"/>
          <w:highlight w:val="none"/>
          <w:lang w:val="en-US" w:eastAsia="zh-CN"/>
        </w:rPr>
        <w:t>Adrienne, S</w:t>
      </w:r>
      <w:r>
        <w:rPr>
          <w:rFonts w:hint="eastAsia"/>
          <w:sz w:val="24"/>
          <w:szCs w:val="24"/>
          <w:highlight w:val="none"/>
          <w:lang w:val="en-US" w:eastAsia="zh-CN"/>
        </w:rPr>
        <w:t>.</w:t>
      </w:r>
      <w:r>
        <w:rPr>
          <w:rFonts w:hint="default"/>
          <w:sz w:val="24"/>
          <w:szCs w:val="24"/>
          <w:highlight w:val="none"/>
          <w:lang w:val="en-US" w:eastAsia="zh-CN"/>
        </w:rPr>
        <w:t>(2014) “Brazil New Home of BYD's Electric Bus and Battery Plant,” Industry Week, 16(7), pp</w:t>
      </w:r>
      <w:r>
        <w:rPr>
          <w:rFonts w:hint="eastAsia"/>
          <w:sz w:val="24"/>
          <w:szCs w:val="24"/>
          <w:highlight w:val="none"/>
          <w:lang w:val="en-US" w:eastAsia="zh-CN"/>
        </w:rPr>
        <w:t>.</w:t>
      </w:r>
      <w:r>
        <w:rPr>
          <w:rFonts w:hint="default"/>
          <w:sz w:val="24"/>
          <w:szCs w:val="24"/>
          <w:highlight w:val="none"/>
          <w:lang w:val="en-US" w:eastAsia="zh-CN"/>
        </w:rPr>
        <w:t>430–434</w:t>
      </w:r>
      <w:r>
        <w:rPr>
          <w:rFonts w:hint="eastAsia"/>
          <w:sz w:val="24"/>
          <w:szCs w:val="24"/>
          <w:highlight w:val="none"/>
          <w:lang w:val="en-US" w:eastAsia="zh-CN"/>
        </w:rPr>
        <w:t>.</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highlight w:val="none"/>
          <w:lang w:val="en-US" w:eastAsia="zh-CN"/>
        </w:rPr>
      </w:pPr>
      <w:r>
        <w:rPr>
          <w:rFonts w:hint="default"/>
          <w:sz w:val="24"/>
          <w:szCs w:val="24"/>
          <w:highlight w:val="none"/>
          <w:lang w:val="en-US" w:eastAsia="zh-CN"/>
        </w:rPr>
        <w:t>Anonymous (2009) “BYD Auto Company Limited:2009 company profile edition 2：Chapter 6 SWOT analysis,” Just-Auto, 1(9), pp</w:t>
      </w:r>
      <w:r>
        <w:rPr>
          <w:rFonts w:hint="eastAsia"/>
          <w:sz w:val="24"/>
          <w:szCs w:val="24"/>
          <w:highlight w:val="none"/>
          <w:lang w:val="en-US" w:eastAsia="zh-CN"/>
        </w:rPr>
        <w:t>.</w:t>
      </w:r>
      <w:r>
        <w:rPr>
          <w:rFonts w:hint="default"/>
          <w:sz w:val="24"/>
          <w:szCs w:val="24"/>
          <w:highlight w:val="none"/>
          <w:lang w:val="en-US" w:eastAsia="zh-CN"/>
        </w:rPr>
        <w:t>87–96</w:t>
      </w:r>
      <w:r>
        <w:rPr>
          <w:rFonts w:hint="eastAsia"/>
          <w:sz w:val="24"/>
          <w:szCs w:val="24"/>
          <w:highlight w:val="none"/>
          <w:lang w:val="en-US" w:eastAsia="zh-CN"/>
        </w:rPr>
        <w:t>.</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highlight w:val="none"/>
          <w:lang w:val="en-US" w:eastAsia="zh-CN"/>
        </w:rPr>
      </w:pPr>
      <w:r>
        <w:rPr>
          <w:rFonts w:hint="default"/>
          <w:sz w:val="24"/>
          <w:szCs w:val="24"/>
          <w:highlight w:val="none"/>
          <w:lang w:val="en-US" w:eastAsia="zh-CN"/>
        </w:rPr>
        <w:t>Li, Y</w:t>
      </w:r>
      <w:r>
        <w:rPr>
          <w:rFonts w:hint="eastAsia"/>
          <w:sz w:val="24"/>
          <w:szCs w:val="24"/>
          <w:highlight w:val="none"/>
          <w:lang w:val="en-US" w:eastAsia="zh-CN"/>
        </w:rPr>
        <w:t>.</w:t>
      </w:r>
      <w:r>
        <w:rPr>
          <w:rFonts w:hint="default"/>
          <w:sz w:val="24"/>
          <w:szCs w:val="24"/>
          <w:highlight w:val="none"/>
          <w:lang w:val="en-US" w:eastAsia="zh-CN"/>
        </w:rPr>
        <w:t>(2020) “Retracted: Research on optimization of Urban Electric bus timetable based on computer technology for energy-saving objectives,” Journal of Physics: Conference Series, 1648(3), p</w:t>
      </w:r>
      <w:r>
        <w:rPr>
          <w:rFonts w:hint="eastAsia"/>
          <w:sz w:val="24"/>
          <w:szCs w:val="24"/>
          <w:highlight w:val="none"/>
          <w:lang w:val="en-US" w:eastAsia="zh-CN"/>
        </w:rPr>
        <w:t>.</w:t>
      </w:r>
      <w:r>
        <w:rPr>
          <w:rFonts w:hint="default"/>
          <w:sz w:val="24"/>
          <w:szCs w:val="24"/>
          <w:highlight w:val="none"/>
          <w:lang w:val="en-US" w:eastAsia="zh-CN"/>
        </w:rPr>
        <w:t>032176</w:t>
      </w:r>
      <w:r>
        <w:rPr>
          <w:rFonts w:hint="eastAsia"/>
          <w:sz w:val="24"/>
          <w:szCs w:val="24"/>
          <w:highlight w:val="none"/>
          <w:lang w:val="en-US" w:eastAsia="zh-CN"/>
        </w:rPr>
        <w:t>.</w:t>
      </w:r>
      <w:r>
        <w:rPr>
          <w:rFonts w:hint="default"/>
          <w:sz w:val="24"/>
          <w:szCs w:val="24"/>
          <w:highlight w:val="none"/>
          <w:lang w:val="en-US" w:eastAsia="zh-CN"/>
        </w:rPr>
        <w:t>Available at: https://doi.org/10.1088/1742-6596/1648/3/032176</w:t>
      </w:r>
      <w:r>
        <w:rPr>
          <w:rFonts w:hint="eastAsia"/>
          <w:sz w:val="24"/>
          <w:szCs w:val="24"/>
          <w:highlight w:val="none"/>
          <w:lang w:val="en-US" w:eastAsia="zh-CN"/>
        </w:rPr>
        <w:t>.</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highlight w:val="none"/>
          <w:lang w:val="en-US" w:eastAsia="zh-CN"/>
        </w:rPr>
      </w:pPr>
      <w:r>
        <w:rPr>
          <w:rFonts w:hint="default"/>
          <w:sz w:val="24"/>
          <w:szCs w:val="24"/>
          <w:highlight w:val="none"/>
          <w:lang w:val="en-US" w:eastAsia="zh-CN"/>
        </w:rPr>
        <w:t>Ma, X</w:t>
      </w:r>
      <w:r>
        <w:rPr>
          <w:rFonts w:hint="eastAsia"/>
          <w:sz w:val="24"/>
          <w:szCs w:val="24"/>
          <w:highlight w:val="none"/>
          <w:lang w:val="en-US" w:eastAsia="zh-CN"/>
        </w:rPr>
        <w:t>.</w:t>
      </w:r>
      <w:r>
        <w:rPr>
          <w:rFonts w:hint="default"/>
          <w:sz w:val="24"/>
          <w:szCs w:val="24"/>
          <w:highlight w:val="none"/>
          <w:lang w:val="en-US" w:eastAsia="zh-CN"/>
        </w:rPr>
        <w:t>et al</w:t>
      </w:r>
      <w:r>
        <w:rPr>
          <w:rFonts w:hint="eastAsia"/>
          <w:sz w:val="24"/>
          <w:szCs w:val="24"/>
          <w:highlight w:val="none"/>
          <w:lang w:val="en-US" w:eastAsia="zh-CN"/>
        </w:rPr>
        <w:t>.</w:t>
      </w:r>
      <w:r>
        <w:rPr>
          <w:rFonts w:hint="default"/>
          <w:sz w:val="24"/>
          <w:szCs w:val="24"/>
          <w:highlight w:val="none"/>
          <w:lang w:val="en-US" w:eastAsia="zh-CN"/>
        </w:rPr>
        <w:t>(2021) “Examining influential factors on the energy consumption of electric and diesel buses: A data-driven analysis of large-scale public transit network in Beijing,” Energy, 216, p</w:t>
      </w:r>
      <w:r>
        <w:rPr>
          <w:rFonts w:hint="eastAsia"/>
          <w:sz w:val="24"/>
          <w:szCs w:val="24"/>
          <w:highlight w:val="none"/>
          <w:lang w:val="en-US" w:eastAsia="zh-CN"/>
        </w:rPr>
        <w:t>.</w:t>
      </w:r>
      <w:r>
        <w:rPr>
          <w:rFonts w:hint="default"/>
          <w:sz w:val="24"/>
          <w:szCs w:val="24"/>
          <w:highlight w:val="none"/>
          <w:lang w:val="en-US" w:eastAsia="zh-CN"/>
        </w:rPr>
        <w:t>119196</w:t>
      </w:r>
      <w:r>
        <w:rPr>
          <w:rFonts w:hint="eastAsia"/>
          <w:sz w:val="24"/>
          <w:szCs w:val="24"/>
          <w:highlight w:val="none"/>
          <w:lang w:val="en-US" w:eastAsia="zh-CN"/>
        </w:rPr>
        <w:t>.</w:t>
      </w:r>
      <w:r>
        <w:rPr>
          <w:rFonts w:hint="default"/>
          <w:sz w:val="24"/>
          <w:szCs w:val="24"/>
          <w:highlight w:val="none"/>
          <w:lang w:val="en-US" w:eastAsia="zh-CN"/>
        </w:rPr>
        <w:t>Available at: https://doi.org/10.1016/j.energy.2020.119196</w:t>
      </w:r>
      <w:r>
        <w:rPr>
          <w:rFonts w:hint="eastAsia"/>
          <w:sz w:val="24"/>
          <w:szCs w:val="24"/>
          <w:highlight w:val="none"/>
          <w:lang w:val="en-US" w:eastAsia="zh-CN"/>
        </w:rPr>
        <w:t>.</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highlight w:val="none"/>
          <w:lang w:val="en-US" w:eastAsia="zh-CN"/>
        </w:rPr>
      </w:pPr>
      <w:r>
        <w:rPr>
          <w:rFonts w:hint="default"/>
          <w:sz w:val="24"/>
          <w:szCs w:val="24"/>
          <w:highlight w:val="none"/>
          <w:lang w:val="en-US" w:eastAsia="zh-CN"/>
        </w:rPr>
        <w:t>Thomas, A</w:t>
      </w:r>
      <w:r>
        <w:rPr>
          <w:rFonts w:hint="eastAsia"/>
          <w:sz w:val="24"/>
          <w:szCs w:val="24"/>
          <w:highlight w:val="none"/>
          <w:lang w:val="en-US" w:eastAsia="zh-CN"/>
        </w:rPr>
        <w:t>.</w:t>
      </w:r>
      <w:r>
        <w:rPr>
          <w:rFonts w:hint="default"/>
          <w:sz w:val="24"/>
          <w:szCs w:val="24"/>
          <w:highlight w:val="none"/>
          <w:lang w:val="en-US" w:eastAsia="zh-CN"/>
        </w:rPr>
        <w:t>and Erickson, J.D</w:t>
      </w:r>
      <w:r>
        <w:rPr>
          <w:rFonts w:hint="eastAsia"/>
          <w:sz w:val="24"/>
          <w:szCs w:val="24"/>
          <w:highlight w:val="none"/>
          <w:lang w:val="en-US" w:eastAsia="zh-CN"/>
        </w:rPr>
        <w:t>.</w:t>
      </w:r>
      <w:r>
        <w:rPr>
          <w:rFonts w:hint="default"/>
          <w:sz w:val="24"/>
          <w:szCs w:val="24"/>
          <w:highlight w:val="none"/>
          <w:lang w:val="en-US" w:eastAsia="zh-CN"/>
        </w:rPr>
        <w:t>(2021) “Rethinking the geography of Energy Transitions: Low Carbon Energy Pathways through energyshed design,” Energy Research &amp; Social Science, 74, p</w:t>
      </w:r>
      <w:r>
        <w:rPr>
          <w:rFonts w:hint="eastAsia"/>
          <w:sz w:val="24"/>
          <w:szCs w:val="24"/>
          <w:highlight w:val="none"/>
          <w:lang w:val="en-US" w:eastAsia="zh-CN"/>
        </w:rPr>
        <w:t>.</w:t>
      </w:r>
      <w:r>
        <w:rPr>
          <w:rFonts w:hint="default"/>
          <w:sz w:val="24"/>
          <w:szCs w:val="24"/>
          <w:highlight w:val="none"/>
          <w:lang w:val="en-US" w:eastAsia="zh-CN"/>
        </w:rPr>
        <w:t>101941</w:t>
      </w:r>
      <w:r>
        <w:rPr>
          <w:rFonts w:hint="eastAsia"/>
          <w:sz w:val="24"/>
          <w:szCs w:val="24"/>
          <w:highlight w:val="none"/>
          <w:lang w:val="en-US" w:eastAsia="zh-CN"/>
        </w:rPr>
        <w:t>.</w:t>
      </w:r>
      <w:r>
        <w:rPr>
          <w:rFonts w:hint="default"/>
          <w:sz w:val="24"/>
          <w:szCs w:val="24"/>
          <w:highlight w:val="none"/>
          <w:lang w:val="en-US" w:eastAsia="zh-CN"/>
        </w:rPr>
        <w:t>Available at: https://doi.org/10.1016/j.erss.2021.101941</w:t>
      </w:r>
      <w:r>
        <w:rPr>
          <w:rFonts w:hint="eastAsia"/>
          <w:sz w:val="24"/>
          <w:szCs w:val="24"/>
          <w:highlight w:val="none"/>
          <w:lang w:val="en-US" w:eastAsia="zh-CN"/>
        </w:rPr>
        <w:t>.</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highlight w:val="none"/>
          <w:lang w:val="en-US" w:eastAsia="zh-CN"/>
        </w:rPr>
      </w:pPr>
      <w:r>
        <w:rPr>
          <w:rFonts w:hint="default"/>
          <w:sz w:val="24"/>
          <w:szCs w:val="24"/>
          <w:highlight w:val="none"/>
          <w:lang w:val="en-US" w:eastAsia="zh-CN"/>
        </w:rPr>
        <w:t>Johanson, J</w:t>
      </w:r>
      <w:r>
        <w:rPr>
          <w:rFonts w:hint="eastAsia"/>
          <w:sz w:val="24"/>
          <w:szCs w:val="24"/>
          <w:highlight w:val="none"/>
          <w:lang w:val="en-US" w:eastAsia="zh-CN"/>
        </w:rPr>
        <w:t>.</w:t>
      </w:r>
      <w:r>
        <w:rPr>
          <w:rFonts w:hint="default"/>
          <w:sz w:val="24"/>
          <w:szCs w:val="24"/>
          <w:highlight w:val="none"/>
          <w:lang w:val="en-US" w:eastAsia="zh-CN"/>
        </w:rPr>
        <w:t>and Vahlne, J.-E</w:t>
      </w:r>
      <w:r>
        <w:rPr>
          <w:rFonts w:hint="eastAsia"/>
          <w:sz w:val="24"/>
          <w:szCs w:val="24"/>
          <w:highlight w:val="none"/>
          <w:lang w:val="en-US" w:eastAsia="zh-CN"/>
        </w:rPr>
        <w:t>.</w:t>
      </w:r>
      <w:r>
        <w:rPr>
          <w:rFonts w:hint="default"/>
          <w:sz w:val="24"/>
          <w:szCs w:val="24"/>
          <w:highlight w:val="none"/>
          <w:lang w:val="en-US" w:eastAsia="zh-CN"/>
        </w:rPr>
        <w:t>(2017) “The internationalization process of the firm—a model of knowledge development and increasing foreign market commitments,” International Business, pp</w:t>
      </w:r>
      <w:r>
        <w:rPr>
          <w:rFonts w:hint="eastAsia"/>
          <w:sz w:val="24"/>
          <w:szCs w:val="24"/>
          <w:highlight w:val="none"/>
          <w:lang w:val="en-US" w:eastAsia="zh-CN"/>
        </w:rPr>
        <w:t>.</w:t>
      </w:r>
      <w:r>
        <w:rPr>
          <w:rFonts w:hint="default"/>
          <w:sz w:val="24"/>
          <w:szCs w:val="24"/>
          <w:highlight w:val="none"/>
          <w:lang w:val="en-US" w:eastAsia="zh-CN"/>
        </w:rPr>
        <w:t>145–154</w:t>
      </w:r>
      <w:r>
        <w:rPr>
          <w:rFonts w:hint="eastAsia"/>
          <w:sz w:val="24"/>
          <w:szCs w:val="24"/>
          <w:highlight w:val="none"/>
          <w:lang w:val="en-US" w:eastAsia="zh-CN"/>
        </w:rPr>
        <w:t>.</w:t>
      </w:r>
      <w:r>
        <w:rPr>
          <w:rFonts w:hint="default"/>
          <w:sz w:val="24"/>
          <w:szCs w:val="24"/>
          <w:highlight w:val="none"/>
          <w:lang w:val="en-US" w:eastAsia="zh-CN"/>
        </w:rPr>
        <w:t>Available at: https://doi.org/10.4324/9781315199689-9</w:t>
      </w:r>
      <w:r>
        <w:rPr>
          <w:rFonts w:hint="eastAsia"/>
          <w:sz w:val="24"/>
          <w:szCs w:val="24"/>
          <w:highlight w:val="none"/>
          <w:lang w:val="en-US" w:eastAsia="zh-CN"/>
        </w:rPr>
        <w:t>.</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highlight w:val="none"/>
          <w:lang w:val="en-US" w:eastAsia="zh-CN"/>
        </w:rPr>
      </w:pPr>
      <w:r>
        <w:rPr>
          <w:rFonts w:hint="default"/>
          <w:sz w:val="24"/>
          <w:szCs w:val="24"/>
          <w:highlight w:val="none"/>
          <w:lang w:val="en-US" w:eastAsia="zh-CN"/>
        </w:rPr>
        <w:t>Kumar, M.S</w:t>
      </w:r>
      <w:r>
        <w:rPr>
          <w:rFonts w:hint="eastAsia"/>
          <w:sz w:val="24"/>
          <w:szCs w:val="24"/>
          <w:highlight w:val="none"/>
          <w:lang w:val="en-US" w:eastAsia="zh-CN"/>
        </w:rPr>
        <w:t>.</w:t>
      </w:r>
      <w:r>
        <w:rPr>
          <w:rFonts w:hint="default"/>
          <w:sz w:val="24"/>
          <w:szCs w:val="24"/>
          <w:highlight w:val="none"/>
          <w:lang w:val="en-US" w:eastAsia="zh-CN"/>
        </w:rPr>
        <w:t>and Revankar, S.T</w:t>
      </w:r>
      <w:r>
        <w:rPr>
          <w:rFonts w:hint="eastAsia"/>
          <w:sz w:val="24"/>
          <w:szCs w:val="24"/>
          <w:highlight w:val="none"/>
          <w:lang w:val="en-US" w:eastAsia="zh-CN"/>
        </w:rPr>
        <w:t>.</w:t>
      </w:r>
      <w:r>
        <w:rPr>
          <w:rFonts w:hint="default"/>
          <w:sz w:val="24"/>
          <w:szCs w:val="24"/>
          <w:highlight w:val="none"/>
          <w:lang w:val="en-US" w:eastAsia="zh-CN"/>
        </w:rPr>
        <w:t>(2017) “Development scheme and key technology of an electric vehicle: An overview,” Renewable and Sustainable Energy Reviews, 70, pp</w:t>
      </w:r>
      <w:r>
        <w:rPr>
          <w:rFonts w:hint="eastAsia"/>
          <w:sz w:val="24"/>
          <w:szCs w:val="24"/>
          <w:highlight w:val="none"/>
          <w:lang w:val="en-US" w:eastAsia="zh-CN"/>
        </w:rPr>
        <w:t>.</w:t>
      </w:r>
      <w:r>
        <w:rPr>
          <w:rFonts w:hint="default"/>
          <w:sz w:val="24"/>
          <w:szCs w:val="24"/>
          <w:highlight w:val="none"/>
          <w:lang w:val="en-US" w:eastAsia="zh-CN"/>
        </w:rPr>
        <w:t>1266–1285</w:t>
      </w:r>
      <w:r>
        <w:rPr>
          <w:rFonts w:hint="eastAsia"/>
          <w:sz w:val="24"/>
          <w:szCs w:val="24"/>
          <w:highlight w:val="none"/>
          <w:lang w:val="en-US" w:eastAsia="zh-CN"/>
        </w:rPr>
        <w:t>.</w:t>
      </w:r>
      <w:r>
        <w:rPr>
          <w:rFonts w:hint="default"/>
          <w:sz w:val="24"/>
          <w:szCs w:val="24"/>
          <w:highlight w:val="none"/>
          <w:lang w:val="en-US" w:eastAsia="zh-CN"/>
        </w:rPr>
        <w:t>Available at: https://doi.org/10.1016/j.rser.2016.12.027</w:t>
      </w:r>
      <w:r>
        <w:rPr>
          <w:rFonts w:hint="eastAsia"/>
          <w:sz w:val="24"/>
          <w:szCs w:val="24"/>
          <w:highlight w:val="none"/>
          <w:lang w:val="en-US" w:eastAsia="zh-CN"/>
        </w:rPr>
        <w:t>.</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highlight w:val="none"/>
          <w:lang w:val="en-US" w:eastAsia="zh-CN"/>
        </w:rPr>
      </w:pPr>
      <w:r>
        <w:rPr>
          <w:rFonts w:hint="default"/>
          <w:sz w:val="24"/>
          <w:szCs w:val="24"/>
          <w:highlight w:val="none"/>
          <w:lang w:val="en-US" w:eastAsia="zh-CN"/>
        </w:rPr>
        <w:t>Santos, G</w:t>
      </w:r>
      <w:r>
        <w:rPr>
          <w:rFonts w:hint="eastAsia"/>
          <w:sz w:val="24"/>
          <w:szCs w:val="24"/>
          <w:highlight w:val="none"/>
          <w:lang w:val="en-US" w:eastAsia="zh-CN"/>
        </w:rPr>
        <w:t>.</w:t>
      </w:r>
      <w:r>
        <w:rPr>
          <w:rFonts w:hint="default"/>
          <w:sz w:val="24"/>
          <w:szCs w:val="24"/>
          <w:highlight w:val="none"/>
          <w:lang w:val="en-US" w:eastAsia="zh-CN"/>
        </w:rPr>
        <w:t>and Davies, H</w:t>
      </w:r>
      <w:r>
        <w:rPr>
          <w:rFonts w:hint="eastAsia"/>
          <w:sz w:val="24"/>
          <w:szCs w:val="24"/>
          <w:highlight w:val="none"/>
          <w:lang w:val="en-US" w:eastAsia="zh-CN"/>
        </w:rPr>
        <w:t>.</w:t>
      </w:r>
      <w:r>
        <w:rPr>
          <w:rFonts w:hint="default"/>
          <w:sz w:val="24"/>
          <w:szCs w:val="24"/>
          <w:highlight w:val="none"/>
          <w:lang w:val="en-US" w:eastAsia="zh-CN"/>
        </w:rPr>
        <w:t>(2020) “Incentives for quick penetration of electric vehicles in five European countries: Perceptions from experts and stakeholders,” Transportation Research Part A: Policy and Practice, 137, pp</w:t>
      </w:r>
      <w:r>
        <w:rPr>
          <w:rFonts w:hint="eastAsia"/>
          <w:sz w:val="24"/>
          <w:szCs w:val="24"/>
          <w:highlight w:val="none"/>
          <w:lang w:val="en-US" w:eastAsia="zh-CN"/>
        </w:rPr>
        <w:t>.</w:t>
      </w:r>
      <w:r>
        <w:rPr>
          <w:rFonts w:hint="default"/>
          <w:sz w:val="24"/>
          <w:szCs w:val="24"/>
          <w:highlight w:val="none"/>
          <w:lang w:val="en-US" w:eastAsia="zh-CN"/>
        </w:rPr>
        <w:t>326–342</w:t>
      </w:r>
      <w:r>
        <w:rPr>
          <w:rFonts w:hint="eastAsia"/>
          <w:sz w:val="24"/>
          <w:szCs w:val="24"/>
          <w:highlight w:val="none"/>
          <w:lang w:val="en-US" w:eastAsia="zh-CN"/>
        </w:rPr>
        <w:t>.</w:t>
      </w:r>
      <w:r>
        <w:rPr>
          <w:rFonts w:hint="default"/>
          <w:sz w:val="24"/>
          <w:szCs w:val="24"/>
          <w:highlight w:val="none"/>
          <w:lang w:val="en-US" w:eastAsia="zh-CN"/>
        </w:rPr>
        <w:t>Available at: https://doi.org/10.1016/j.tra.2018.10.034</w:t>
      </w:r>
      <w:r>
        <w:rPr>
          <w:rFonts w:hint="eastAsia"/>
          <w:sz w:val="24"/>
          <w:szCs w:val="24"/>
          <w:highlight w:val="none"/>
          <w:lang w:val="en-US" w:eastAsia="zh-CN"/>
        </w:rPr>
        <w:t>.</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highlight w:val="none"/>
          <w:lang w:val="en-US" w:eastAsia="zh-CN"/>
        </w:rPr>
      </w:pPr>
      <w:r>
        <w:rPr>
          <w:rFonts w:hint="default"/>
          <w:sz w:val="24"/>
          <w:szCs w:val="24"/>
          <w:highlight w:val="none"/>
          <w:lang w:val="en-US" w:eastAsia="zh-CN"/>
        </w:rPr>
        <w:t>Sovacool, B.K</w:t>
      </w:r>
      <w:r>
        <w:rPr>
          <w:rFonts w:hint="eastAsia"/>
          <w:sz w:val="24"/>
          <w:szCs w:val="24"/>
          <w:highlight w:val="none"/>
          <w:lang w:val="en-US" w:eastAsia="zh-CN"/>
        </w:rPr>
        <w:t>.</w:t>
      </w:r>
      <w:r>
        <w:rPr>
          <w:rFonts w:hint="default"/>
          <w:sz w:val="24"/>
          <w:szCs w:val="24"/>
          <w:highlight w:val="none"/>
          <w:lang w:val="en-US" w:eastAsia="zh-CN"/>
        </w:rPr>
        <w:t>and Griffiths, S</w:t>
      </w:r>
      <w:r>
        <w:rPr>
          <w:rFonts w:hint="eastAsia"/>
          <w:sz w:val="24"/>
          <w:szCs w:val="24"/>
          <w:highlight w:val="none"/>
          <w:lang w:val="en-US" w:eastAsia="zh-CN"/>
        </w:rPr>
        <w:t>.</w:t>
      </w:r>
      <w:r>
        <w:rPr>
          <w:rFonts w:hint="default"/>
          <w:sz w:val="24"/>
          <w:szCs w:val="24"/>
          <w:highlight w:val="none"/>
          <w:lang w:val="en-US" w:eastAsia="zh-CN"/>
        </w:rPr>
        <w:t>(2020) “Culture and low-carbon energy transitions,” Nature Sustainability, 3(9), pp</w:t>
      </w:r>
      <w:r>
        <w:rPr>
          <w:rFonts w:hint="eastAsia"/>
          <w:sz w:val="24"/>
          <w:szCs w:val="24"/>
          <w:highlight w:val="none"/>
          <w:lang w:val="en-US" w:eastAsia="zh-CN"/>
        </w:rPr>
        <w:t>.</w:t>
      </w:r>
      <w:r>
        <w:rPr>
          <w:rFonts w:hint="default"/>
          <w:sz w:val="24"/>
          <w:szCs w:val="24"/>
          <w:highlight w:val="none"/>
          <w:lang w:val="en-US" w:eastAsia="zh-CN"/>
        </w:rPr>
        <w:t>685–693</w:t>
      </w:r>
      <w:r>
        <w:rPr>
          <w:rFonts w:hint="eastAsia"/>
          <w:sz w:val="24"/>
          <w:szCs w:val="24"/>
          <w:highlight w:val="none"/>
          <w:lang w:val="en-US" w:eastAsia="zh-CN"/>
        </w:rPr>
        <w:t>.</w:t>
      </w:r>
      <w:r>
        <w:rPr>
          <w:rFonts w:hint="default"/>
          <w:sz w:val="24"/>
          <w:szCs w:val="24"/>
          <w:highlight w:val="none"/>
          <w:lang w:val="en-US" w:eastAsia="zh-CN"/>
        </w:rPr>
        <w:t>Available at: https://doi.org/10.1038/s41893-020-0519-4</w:t>
      </w:r>
      <w:r>
        <w:rPr>
          <w:rFonts w:hint="eastAsia"/>
          <w:sz w:val="24"/>
          <w:szCs w:val="24"/>
          <w:highlight w:val="none"/>
          <w:lang w:val="en-US" w:eastAsia="zh-CN"/>
        </w:rPr>
        <w:t>.</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highlight w:val="none"/>
          <w:lang w:val="en-US" w:eastAsia="zh-CN"/>
        </w:rPr>
      </w:pPr>
      <w:r>
        <w:rPr>
          <w:rFonts w:hint="default"/>
          <w:sz w:val="24"/>
          <w:szCs w:val="24"/>
          <w:highlight w:val="none"/>
          <w:lang w:val="en-US" w:eastAsia="zh-CN"/>
        </w:rPr>
        <w:t>Wee, S., Coffman, M</w:t>
      </w:r>
      <w:r>
        <w:rPr>
          <w:rFonts w:hint="eastAsia"/>
          <w:sz w:val="24"/>
          <w:szCs w:val="24"/>
          <w:highlight w:val="none"/>
          <w:lang w:val="en-US" w:eastAsia="zh-CN"/>
        </w:rPr>
        <w:t>.</w:t>
      </w:r>
      <w:r>
        <w:rPr>
          <w:rFonts w:hint="default"/>
          <w:sz w:val="24"/>
          <w:szCs w:val="24"/>
          <w:highlight w:val="none"/>
          <w:lang w:val="en-US" w:eastAsia="zh-CN"/>
        </w:rPr>
        <w:t>and La Croix, S</w:t>
      </w:r>
      <w:r>
        <w:rPr>
          <w:rFonts w:hint="eastAsia"/>
          <w:sz w:val="24"/>
          <w:szCs w:val="24"/>
          <w:highlight w:val="none"/>
          <w:lang w:val="en-US" w:eastAsia="zh-CN"/>
        </w:rPr>
        <w:t>.</w:t>
      </w:r>
      <w:r>
        <w:rPr>
          <w:rFonts w:hint="default"/>
          <w:sz w:val="24"/>
          <w:szCs w:val="24"/>
          <w:highlight w:val="none"/>
          <w:lang w:val="en-US" w:eastAsia="zh-CN"/>
        </w:rPr>
        <w:t>(2018) “Do electric vehicle incentives matter? evidence from the 50 U.S</w:t>
      </w:r>
      <w:r>
        <w:rPr>
          <w:rFonts w:hint="eastAsia"/>
          <w:sz w:val="24"/>
          <w:szCs w:val="24"/>
          <w:highlight w:val="none"/>
          <w:lang w:val="en-US" w:eastAsia="zh-CN"/>
        </w:rPr>
        <w:t>.</w:t>
      </w:r>
      <w:r>
        <w:rPr>
          <w:rFonts w:hint="default"/>
          <w:sz w:val="24"/>
          <w:szCs w:val="24"/>
          <w:highlight w:val="none"/>
          <w:lang w:val="en-US" w:eastAsia="zh-CN"/>
        </w:rPr>
        <w:t>states,” Research Policy, 47(9), pp</w:t>
      </w:r>
      <w:r>
        <w:rPr>
          <w:rFonts w:hint="eastAsia"/>
          <w:sz w:val="24"/>
          <w:szCs w:val="24"/>
          <w:highlight w:val="none"/>
          <w:lang w:val="en-US" w:eastAsia="zh-CN"/>
        </w:rPr>
        <w:t>.</w:t>
      </w:r>
      <w:r>
        <w:rPr>
          <w:rFonts w:hint="default"/>
          <w:sz w:val="24"/>
          <w:szCs w:val="24"/>
          <w:highlight w:val="none"/>
          <w:lang w:val="en-US" w:eastAsia="zh-CN"/>
        </w:rPr>
        <w:t>1601–1610</w:t>
      </w:r>
      <w:r>
        <w:rPr>
          <w:rFonts w:hint="eastAsia"/>
          <w:sz w:val="24"/>
          <w:szCs w:val="24"/>
          <w:highlight w:val="none"/>
          <w:lang w:val="en-US" w:eastAsia="zh-CN"/>
        </w:rPr>
        <w:t>.</w:t>
      </w:r>
      <w:r>
        <w:rPr>
          <w:rFonts w:hint="default"/>
          <w:sz w:val="24"/>
          <w:szCs w:val="24"/>
          <w:highlight w:val="none"/>
          <w:lang w:val="en-US" w:eastAsia="zh-CN"/>
        </w:rPr>
        <w:t>Available at: https://doi.org/10.1016/j.respol.2018.05.003</w:t>
      </w:r>
      <w:r>
        <w:rPr>
          <w:rFonts w:hint="eastAsia"/>
          <w:sz w:val="24"/>
          <w:szCs w:val="24"/>
          <w:highlight w:val="none"/>
          <w:lang w:val="en-US" w:eastAsia="zh-CN"/>
        </w:rPr>
        <w:t>.</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highlight w:val="none"/>
          <w:lang w:val="en-US" w:eastAsia="zh-CN"/>
        </w:rPr>
      </w:pPr>
      <w:r>
        <w:rPr>
          <w:rFonts w:hint="default"/>
          <w:sz w:val="24"/>
          <w:szCs w:val="24"/>
          <w:highlight w:val="none"/>
          <w:lang w:val="en-US" w:eastAsia="zh-CN"/>
        </w:rPr>
        <w:t>McKinsey &amp; Company</w:t>
      </w:r>
      <w:r>
        <w:rPr>
          <w:rFonts w:hint="eastAsia"/>
          <w:sz w:val="24"/>
          <w:szCs w:val="24"/>
          <w:highlight w:val="none"/>
          <w:lang w:val="en-US" w:eastAsia="zh-CN"/>
        </w:rPr>
        <w:t>.</w:t>
      </w:r>
      <w:r>
        <w:rPr>
          <w:rFonts w:hint="default"/>
          <w:sz w:val="24"/>
          <w:szCs w:val="24"/>
          <w:highlight w:val="none"/>
          <w:lang w:val="en-US" w:eastAsia="zh-CN"/>
        </w:rPr>
        <w:t>(2020) The care of one-Hyperpersonalization of customer care</w:t>
      </w:r>
      <w:r>
        <w:rPr>
          <w:rFonts w:hint="eastAsia"/>
          <w:sz w:val="24"/>
          <w:szCs w:val="24"/>
          <w:highlight w:val="none"/>
          <w:lang w:val="en-US" w:eastAsia="zh-CN"/>
        </w:rPr>
        <w:t>.</w:t>
      </w:r>
      <w:r>
        <w:rPr>
          <w:rFonts w:hint="default"/>
          <w:sz w:val="24"/>
          <w:szCs w:val="24"/>
          <w:highlight w:val="none"/>
          <w:lang w:val="en-US" w:eastAsia="zh-CN"/>
        </w:rPr>
        <w:t>rep</w:t>
      </w:r>
      <w:r>
        <w:rPr>
          <w:rFonts w:hint="eastAsia"/>
          <w:sz w:val="24"/>
          <w:szCs w:val="24"/>
          <w:highlight w:val="none"/>
          <w:lang w:val="en-US" w:eastAsia="zh-CN"/>
        </w:rPr>
        <w:t>.</w:t>
      </w:r>
      <w:r>
        <w:rPr>
          <w:rFonts w:hint="default"/>
          <w:sz w:val="24"/>
          <w:szCs w:val="24"/>
          <w:highlight w:val="none"/>
          <w:lang w:val="en-US" w:eastAsia="zh-CN"/>
        </w:rPr>
        <w:t>New York: McKinsey &amp; Company, pp</w:t>
      </w:r>
      <w:r>
        <w:rPr>
          <w:rFonts w:hint="eastAsia"/>
          <w:sz w:val="24"/>
          <w:szCs w:val="24"/>
          <w:highlight w:val="none"/>
          <w:lang w:val="en-US" w:eastAsia="zh-CN"/>
        </w:rPr>
        <w:t>.</w:t>
      </w:r>
      <w:r>
        <w:rPr>
          <w:rFonts w:hint="default"/>
          <w:sz w:val="24"/>
          <w:szCs w:val="24"/>
          <w:highlight w:val="none"/>
          <w:lang w:val="en-US" w:eastAsia="zh-CN"/>
        </w:rPr>
        <w:t>21–27</w:t>
      </w:r>
      <w:r>
        <w:rPr>
          <w:rFonts w:hint="eastAsia"/>
          <w:sz w:val="24"/>
          <w:szCs w:val="24"/>
          <w:highlight w:val="none"/>
          <w:lang w:val="en-US" w:eastAsia="zh-CN"/>
        </w:rPr>
        <w:t>.</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highlight w:val="none"/>
          <w:lang w:val="en-US" w:eastAsia="zh-CN"/>
        </w:rPr>
      </w:pPr>
      <w:r>
        <w:rPr>
          <w:rFonts w:hint="default"/>
          <w:sz w:val="24"/>
          <w:szCs w:val="24"/>
          <w:highlight w:val="none"/>
          <w:lang w:val="en-US" w:eastAsia="zh-CN"/>
        </w:rPr>
        <w:t>BYD</w:t>
      </w:r>
      <w:r>
        <w:rPr>
          <w:rFonts w:hint="eastAsia"/>
          <w:sz w:val="24"/>
          <w:szCs w:val="24"/>
          <w:highlight w:val="none"/>
          <w:lang w:val="en-US" w:eastAsia="zh-CN"/>
        </w:rPr>
        <w:t>.</w:t>
      </w:r>
      <w:r>
        <w:rPr>
          <w:rFonts w:hint="default"/>
          <w:sz w:val="24"/>
          <w:szCs w:val="24"/>
          <w:highlight w:val="none"/>
          <w:lang w:val="en-US" w:eastAsia="zh-CN"/>
        </w:rPr>
        <w:t>Official website of BYD, Available at: https://www.byd.com/cn/AboutByd/CompanyIntro.html (Accessed: December 10, 2022)</w:t>
      </w:r>
      <w:r>
        <w:rPr>
          <w:rFonts w:hint="eastAsia"/>
          <w:sz w:val="24"/>
          <w:szCs w:val="24"/>
          <w:highlight w:val="none"/>
          <w:lang w:val="en-US" w:eastAsia="zh-CN"/>
        </w:rPr>
        <w:t>.</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highlight w:val="none"/>
          <w:lang w:val="en-US" w:eastAsia="zh-CN"/>
        </w:rPr>
      </w:pPr>
      <w:r>
        <w:rPr>
          <w:rFonts w:hint="default"/>
          <w:sz w:val="24"/>
          <w:szCs w:val="24"/>
          <w:highlight w:val="none"/>
          <w:lang w:val="en-US" w:eastAsia="zh-CN"/>
        </w:rPr>
        <w:t>ICCT (2021) China's New Energy Vehicle Mandate Policy (final rule), International Council on Clean Transportation</w:t>
      </w:r>
      <w:r>
        <w:rPr>
          <w:rFonts w:hint="eastAsia"/>
          <w:sz w:val="24"/>
          <w:szCs w:val="24"/>
          <w:highlight w:val="none"/>
          <w:lang w:val="en-US" w:eastAsia="zh-CN"/>
        </w:rPr>
        <w:t>.</w:t>
      </w:r>
      <w:r>
        <w:rPr>
          <w:rFonts w:hint="default"/>
          <w:sz w:val="24"/>
          <w:szCs w:val="24"/>
          <w:highlight w:val="none"/>
          <w:lang w:val="en-US" w:eastAsia="zh-CN"/>
        </w:rPr>
        <w:t>Available at: https://theicct.org/publication/chinas-new-energy-vehicle-mandate-policy-final-rule/ (Accessed: December 15, 2022)</w:t>
      </w:r>
      <w:r>
        <w:rPr>
          <w:rFonts w:hint="eastAsia"/>
          <w:sz w:val="24"/>
          <w:szCs w:val="24"/>
          <w:highlight w:val="none"/>
          <w:lang w:val="en-US" w:eastAsia="zh-CN"/>
        </w:rPr>
        <w:t>.</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highlight w:val="none"/>
          <w:lang w:val="en-US" w:eastAsia="zh-CN"/>
        </w:rPr>
      </w:pPr>
      <w:r>
        <w:rPr>
          <w:rFonts w:hint="default"/>
          <w:sz w:val="24"/>
          <w:szCs w:val="24"/>
          <w:highlight w:val="none"/>
          <w:lang w:val="en-US" w:eastAsia="zh-CN"/>
        </w:rPr>
        <w:t>ICCT (2021) Literature review on power utility best practices regarding electric vehicles, International Council on Clean Transportation</w:t>
      </w:r>
      <w:r>
        <w:rPr>
          <w:rFonts w:hint="eastAsia"/>
          <w:sz w:val="24"/>
          <w:szCs w:val="24"/>
          <w:highlight w:val="none"/>
          <w:lang w:val="en-US" w:eastAsia="zh-CN"/>
        </w:rPr>
        <w:t>.</w:t>
      </w:r>
      <w:r>
        <w:rPr>
          <w:rFonts w:hint="default"/>
          <w:sz w:val="24"/>
          <w:szCs w:val="24"/>
          <w:highlight w:val="none"/>
          <w:lang w:val="en-US" w:eastAsia="zh-CN"/>
        </w:rPr>
        <w:t>Available at: https://theicct.org/publication/literature-review-on-power-utility-best-practices-regarding-electric-vehicles/ (Accessed: December 15, 2022)</w:t>
      </w:r>
      <w:r>
        <w:rPr>
          <w:rFonts w:hint="eastAsia"/>
          <w:sz w:val="24"/>
          <w:szCs w:val="24"/>
          <w:highlight w:val="none"/>
          <w:lang w:val="en-US" w:eastAsia="zh-CN"/>
        </w:rPr>
        <w:t>.</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highlight w:val="none"/>
          <w:lang w:val="en-US" w:eastAsia="zh-CN"/>
        </w:rPr>
      </w:pPr>
      <w:r>
        <w:rPr>
          <w:rFonts w:hint="default"/>
          <w:sz w:val="24"/>
          <w:szCs w:val="24"/>
          <w:highlight w:val="none"/>
          <w:lang w:val="en-US" w:eastAsia="zh-CN"/>
        </w:rPr>
        <w:t>D1EV （2021） Sales data of China National Passenger Car Market Joint Conference from March 2020 to February 2021.Available at: http://biz.touchev.com/industry_data (Accessed: December 15, 2022)</w:t>
      </w:r>
      <w:r>
        <w:rPr>
          <w:rFonts w:hint="eastAsia"/>
          <w:sz w:val="24"/>
          <w:szCs w:val="24"/>
          <w:highlight w:val="none"/>
          <w:lang w:val="en-US" w:eastAsia="zh-CN"/>
        </w:rPr>
        <w:t>.</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highlight w:val="none"/>
          <w:lang w:val="en-US" w:eastAsia="zh-CN"/>
        </w:rPr>
      </w:pPr>
      <w:r>
        <w:rPr>
          <w:rFonts w:hint="default"/>
          <w:sz w:val="24"/>
          <w:szCs w:val="24"/>
          <w:highlight w:val="none"/>
          <w:lang w:val="en-US" w:eastAsia="zh-CN"/>
        </w:rPr>
        <w:t>BYD（2022）BYD: Production and sales report in November 2022</w:t>
      </w:r>
      <w:r>
        <w:rPr>
          <w:rFonts w:hint="eastAsia"/>
          <w:sz w:val="24"/>
          <w:szCs w:val="24"/>
          <w:highlight w:val="none"/>
          <w:lang w:val="en-US" w:eastAsia="zh-CN"/>
        </w:rPr>
        <w:t>.</w:t>
      </w:r>
      <w:r>
        <w:rPr>
          <w:rFonts w:hint="default"/>
          <w:sz w:val="24"/>
          <w:szCs w:val="24"/>
          <w:highlight w:val="none"/>
          <w:lang w:val="en-US" w:eastAsia="zh-CN"/>
        </w:rPr>
        <w:t>Available at: https://data.eastmoney.com/notices/detail/002594/AN202212021580766000,%E6%AF%94%E4%BA%9A%E8%BF%AA.html (Accessed: December 15, 2022)</w:t>
      </w:r>
      <w:r>
        <w:rPr>
          <w:rFonts w:hint="eastAsia"/>
          <w:sz w:val="24"/>
          <w:szCs w:val="24"/>
          <w:highlight w:val="none"/>
          <w:lang w:val="en-US" w:eastAsia="zh-CN"/>
        </w:rPr>
        <w:t>.</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highlight w:val="none"/>
          <w:lang w:val="en-US" w:eastAsia="zh-CN"/>
        </w:rPr>
      </w:pPr>
      <w:r>
        <w:rPr>
          <w:rFonts w:hint="default"/>
          <w:sz w:val="24"/>
          <w:szCs w:val="24"/>
          <w:highlight w:val="none"/>
          <w:lang w:val="en-US" w:eastAsia="zh-CN"/>
        </w:rPr>
        <w:t>WorldBank（2019）WorldBank Datebase.Available at: https://data.worldbank.org.cn/ (Accessed: December 15, 2022)</w:t>
      </w:r>
      <w:r>
        <w:rPr>
          <w:rFonts w:hint="eastAsia"/>
          <w:sz w:val="24"/>
          <w:szCs w:val="24"/>
          <w:highlight w:val="none"/>
          <w:lang w:val="en-US" w:eastAsia="zh-CN"/>
        </w:rPr>
        <w:t>.</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highlight w:val="none"/>
          <w:lang w:val="en-US" w:eastAsia="zh-CN"/>
        </w:rPr>
      </w:pPr>
      <w:r>
        <w:rPr>
          <w:rFonts w:hint="default"/>
          <w:sz w:val="24"/>
          <w:szCs w:val="24"/>
          <w:highlight w:val="none"/>
          <w:lang w:val="en-US" w:eastAsia="zh-CN"/>
        </w:rPr>
        <w:t>Ashley, C</w:t>
      </w:r>
      <w:r>
        <w:rPr>
          <w:rFonts w:hint="eastAsia"/>
          <w:sz w:val="24"/>
          <w:szCs w:val="24"/>
          <w:highlight w:val="none"/>
          <w:lang w:val="en-US" w:eastAsia="zh-CN"/>
        </w:rPr>
        <w:t>.</w:t>
      </w:r>
      <w:r>
        <w:rPr>
          <w:rFonts w:hint="default"/>
          <w:sz w:val="24"/>
          <w:szCs w:val="24"/>
          <w:highlight w:val="none"/>
          <w:lang w:val="en-US" w:eastAsia="zh-CN"/>
        </w:rPr>
        <w:t>(2020) ‘California approves massive electric vehicle charging program across Southern California’, nation of change, 29th August</w:t>
      </w:r>
      <w:r>
        <w:rPr>
          <w:rFonts w:hint="eastAsia"/>
          <w:sz w:val="24"/>
          <w:szCs w:val="24"/>
          <w:highlight w:val="none"/>
          <w:lang w:val="en-US" w:eastAsia="zh-CN"/>
        </w:rPr>
        <w:t>.</w:t>
      </w:r>
      <w:r>
        <w:rPr>
          <w:rFonts w:hint="default"/>
          <w:sz w:val="24"/>
          <w:szCs w:val="24"/>
          <w:highlight w:val="none"/>
          <w:lang w:val="en-US" w:eastAsia="zh-CN"/>
        </w:rPr>
        <w:t>Available at: https://www.nationofchange.org/2020/08/29/california-approves-massive-electric-vehicle-charging-program-across-southern-california/ (Accessed: December 15, 2022).</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highlight w:val="none"/>
          <w:lang w:val="en-US" w:eastAsia="zh-CN"/>
        </w:rPr>
      </w:pPr>
      <w:r>
        <w:rPr>
          <w:rFonts w:hint="default"/>
          <w:sz w:val="24"/>
          <w:szCs w:val="24"/>
          <w:highlight w:val="none"/>
          <w:lang w:val="en-US" w:eastAsia="zh-CN"/>
        </w:rPr>
        <w:t>Zheng,Xin</w:t>
      </w:r>
      <w:r>
        <w:rPr>
          <w:rFonts w:hint="eastAsia"/>
          <w:sz w:val="24"/>
          <w:szCs w:val="24"/>
          <w:highlight w:val="none"/>
          <w:lang w:val="en-US" w:eastAsia="zh-CN"/>
        </w:rPr>
        <w:t>.</w:t>
      </w:r>
      <w:r>
        <w:rPr>
          <w:rFonts w:hint="default"/>
          <w:sz w:val="24"/>
          <w:szCs w:val="24"/>
          <w:highlight w:val="none"/>
          <w:lang w:val="en-US" w:eastAsia="zh-CN"/>
        </w:rPr>
        <w:t>（2017）.‘State Grid scales up charging’, China Daily，26th January</w:t>
      </w:r>
      <w:r>
        <w:rPr>
          <w:rFonts w:hint="eastAsia"/>
          <w:sz w:val="24"/>
          <w:szCs w:val="24"/>
          <w:highlight w:val="none"/>
          <w:lang w:val="en-US" w:eastAsia="zh-CN"/>
        </w:rPr>
        <w:t>.</w:t>
      </w:r>
      <w:r>
        <w:rPr>
          <w:rFonts w:hint="default"/>
          <w:sz w:val="24"/>
          <w:szCs w:val="24"/>
          <w:highlight w:val="none"/>
          <w:lang w:val="en-US" w:eastAsia="zh-CN"/>
        </w:rPr>
        <w:t>Available at: http://www.chinadaily.com.cn/kindle/2017-01/26/content_28062214.htm(Accessed: December 15, 2022).</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highlight w:val="none"/>
          <w:lang w:val="en-US" w:eastAsia="zh-CN"/>
        </w:rPr>
      </w:pPr>
      <w:r>
        <w:rPr>
          <w:rFonts w:hint="default"/>
          <w:sz w:val="24"/>
          <w:szCs w:val="24"/>
          <w:highlight w:val="none"/>
          <w:lang w:val="en-US" w:eastAsia="zh-CN"/>
        </w:rPr>
        <w:t>Buckley, P.J</w:t>
      </w:r>
      <w:r>
        <w:rPr>
          <w:rFonts w:hint="eastAsia"/>
          <w:sz w:val="24"/>
          <w:szCs w:val="24"/>
          <w:highlight w:val="none"/>
          <w:lang w:val="en-US" w:eastAsia="zh-CN"/>
        </w:rPr>
        <w:t>.</w:t>
      </w:r>
      <w:r>
        <w:rPr>
          <w:rFonts w:hint="default"/>
          <w:sz w:val="24"/>
          <w:szCs w:val="24"/>
          <w:highlight w:val="none"/>
          <w:lang w:val="en-US" w:eastAsia="zh-CN"/>
        </w:rPr>
        <w:t>and Casson, M</w:t>
      </w:r>
      <w:r>
        <w:rPr>
          <w:rFonts w:hint="eastAsia"/>
          <w:sz w:val="24"/>
          <w:szCs w:val="24"/>
          <w:highlight w:val="none"/>
          <w:lang w:val="en-US" w:eastAsia="zh-CN"/>
        </w:rPr>
        <w:t>.</w:t>
      </w:r>
      <w:r>
        <w:rPr>
          <w:rFonts w:hint="default"/>
          <w:sz w:val="24"/>
          <w:szCs w:val="24"/>
          <w:highlight w:val="none"/>
          <w:lang w:val="en-US" w:eastAsia="zh-CN"/>
        </w:rPr>
        <w:t>(2016) The future of the multinational enterprise</w:t>
      </w:r>
      <w:r>
        <w:rPr>
          <w:rFonts w:hint="eastAsia"/>
          <w:sz w:val="24"/>
          <w:szCs w:val="24"/>
          <w:highlight w:val="none"/>
          <w:lang w:val="en-US" w:eastAsia="zh-CN"/>
        </w:rPr>
        <w:t>.</w:t>
      </w:r>
      <w:r>
        <w:rPr>
          <w:rFonts w:hint="default"/>
          <w:sz w:val="24"/>
          <w:szCs w:val="24"/>
          <w:highlight w:val="none"/>
          <w:lang w:val="en-US" w:eastAsia="zh-CN"/>
        </w:rPr>
        <w:t>Basingstoke: Palgrave Macmillan</w:t>
      </w:r>
      <w:r>
        <w:rPr>
          <w:rFonts w:hint="eastAsia"/>
          <w:sz w:val="24"/>
          <w:szCs w:val="24"/>
          <w:highlight w:val="none"/>
          <w:lang w:val="en-US" w:eastAsia="zh-CN"/>
        </w:rPr>
        <w:t>.</w:t>
      </w:r>
    </w:p>
    <w:sectPr>
      <w:footerReference r:id="rId6" w:type="default"/>
      <w:pgSz w:w="11906" w:h="16838"/>
      <w:pgMar w:top="1440" w:right="1800" w:bottom="1440" w:left="1800" w:header="851" w:footer="992" w:gutter="0"/>
      <w:pgBorders>
        <w:top w:val="none" w:sz="0" w:space="0"/>
        <w:left w:val="none" w:sz="0" w:space="0"/>
        <w:bottom w:val="none" w:sz="0" w:space="0"/>
        <w:right w:val="none" w:sz="0" w:space="0"/>
      </w:pgBorders>
      <w:pgNumType w:start="1"/>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auto"/>
    <w:pitch w:val="default"/>
    <w:sig w:usb0="E0002EFF" w:usb1="C000785B" w:usb2="00000009" w:usb3="00000000" w:csb0="400001FF" w:csb1="FFFF0000"/>
  </w:font>
  <w:font w:name="宋体">
    <w:panose1 w:val="02010600030101010101"/>
    <w:charset w:val="80"/>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楷体_GB2312">
    <w:panose1 w:val="02010609030101010101"/>
    <w:charset w:val="86"/>
    <w:family w:val="auto"/>
    <w:pitch w:val="default"/>
    <w:sig w:usb0="00000001" w:usb1="080E0000" w:usb2="0000000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8" name="文本框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MeXtc4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DHl7XOMQIAAGEEAAAOAAAAAAAAAAEAIAAAAB8BAABkcnMvZTJvRG9jLnhtbFBLBQYA&#10;AAAABgAGAFkBAADCBQ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480" w:lineRule="auto"/>
      </w:pPr>
      <w:r>
        <w:separator/>
      </w:r>
    </w:p>
  </w:footnote>
  <w:footnote w:type="continuationSeparator" w:id="1">
    <w:p>
      <w:pPr>
        <w:spacing w:line="48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4D20B27"/>
    <w:multiLevelType w:val="singleLevel"/>
    <w:tmpl w:val="94D20B27"/>
    <w:lvl w:ilvl="0" w:tentative="0">
      <w:start w:val="1"/>
      <w:numFmt w:val="decimal"/>
      <w:lvlText w:val="[%1]"/>
      <w:lvlJc w:val="left"/>
      <w:pPr>
        <w:tabs>
          <w:tab w:val="left" w:pos="420"/>
        </w:tabs>
        <w:ind w:left="425" w:hanging="425"/>
      </w:pPr>
      <w:rPr>
        <w:rFonts w:hint="default"/>
      </w:rPr>
    </w:lvl>
  </w:abstractNum>
  <w:abstractNum w:abstractNumId="1">
    <w:nsid w:val="6BE4BF9E"/>
    <w:multiLevelType w:val="singleLevel"/>
    <w:tmpl w:val="6BE4BF9E"/>
    <w:lvl w:ilvl="0" w:tentative="0">
      <w:start w:val="3"/>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2"/>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jc0YzAxZDYzYzkyZTM2Y2QxNjhlZjM1YjM4MWE5NjUifQ=="/>
    <w:docVar w:name="KSO_WPS_MARK_KEY" w:val="c2f35442-d147-4329-8bdf-b17f6015547c"/>
  </w:docVars>
  <w:rsids>
    <w:rsidRoot w:val="00172A27"/>
    <w:rsid w:val="00F5778F"/>
    <w:rsid w:val="04E13A54"/>
    <w:rsid w:val="05623BFE"/>
    <w:rsid w:val="06A64F55"/>
    <w:rsid w:val="07967DD6"/>
    <w:rsid w:val="08C96CD9"/>
    <w:rsid w:val="093D1B68"/>
    <w:rsid w:val="0A93759F"/>
    <w:rsid w:val="0AC37758"/>
    <w:rsid w:val="0B516CFE"/>
    <w:rsid w:val="0D104282"/>
    <w:rsid w:val="0EAC4F1C"/>
    <w:rsid w:val="158D7A98"/>
    <w:rsid w:val="15A274F3"/>
    <w:rsid w:val="15AD33B7"/>
    <w:rsid w:val="173C4B1A"/>
    <w:rsid w:val="18023FB5"/>
    <w:rsid w:val="1A41539A"/>
    <w:rsid w:val="1A501685"/>
    <w:rsid w:val="1A6018CB"/>
    <w:rsid w:val="1EC45B21"/>
    <w:rsid w:val="2378337E"/>
    <w:rsid w:val="237A2E51"/>
    <w:rsid w:val="243F41A0"/>
    <w:rsid w:val="256961FF"/>
    <w:rsid w:val="25C428AA"/>
    <w:rsid w:val="272954BC"/>
    <w:rsid w:val="27B065FC"/>
    <w:rsid w:val="27FF08F8"/>
    <w:rsid w:val="2A97058D"/>
    <w:rsid w:val="2BF832AE"/>
    <w:rsid w:val="303411F9"/>
    <w:rsid w:val="32AB107A"/>
    <w:rsid w:val="33E31B49"/>
    <w:rsid w:val="35695BB6"/>
    <w:rsid w:val="36A226B0"/>
    <w:rsid w:val="377D6D5D"/>
    <w:rsid w:val="392C52D2"/>
    <w:rsid w:val="3A4952BC"/>
    <w:rsid w:val="3A4E51D1"/>
    <w:rsid w:val="3A7B0277"/>
    <w:rsid w:val="3BB0423B"/>
    <w:rsid w:val="3D817513"/>
    <w:rsid w:val="3E4B1963"/>
    <w:rsid w:val="3F137A2D"/>
    <w:rsid w:val="3F2C36DD"/>
    <w:rsid w:val="3F2F3033"/>
    <w:rsid w:val="3F9E2415"/>
    <w:rsid w:val="41720889"/>
    <w:rsid w:val="420B38E3"/>
    <w:rsid w:val="430A4D44"/>
    <w:rsid w:val="43900E34"/>
    <w:rsid w:val="43B6787E"/>
    <w:rsid w:val="45EC6491"/>
    <w:rsid w:val="4678706D"/>
    <w:rsid w:val="470E1780"/>
    <w:rsid w:val="47721D0E"/>
    <w:rsid w:val="49423962"/>
    <w:rsid w:val="4C1C493F"/>
    <w:rsid w:val="4D1B2ED2"/>
    <w:rsid w:val="4D5A3970"/>
    <w:rsid w:val="4E013DEC"/>
    <w:rsid w:val="4E296E9F"/>
    <w:rsid w:val="50414974"/>
    <w:rsid w:val="520B6FE7"/>
    <w:rsid w:val="5697709C"/>
    <w:rsid w:val="579445C5"/>
    <w:rsid w:val="57AC67BD"/>
    <w:rsid w:val="589B16D6"/>
    <w:rsid w:val="59A65848"/>
    <w:rsid w:val="5AC4067B"/>
    <w:rsid w:val="5BF154A0"/>
    <w:rsid w:val="5D5C334F"/>
    <w:rsid w:val="5E20206C"/>
    <w:rsid w:val="5FA55E83"/>
    <w:rsid w:val="600F2399"/>
    <w:rsid w:val="605B3830"/>
    <w:rsid w:val="62033D80"/>
    <w:rsid w:val="63763028"/>
    <w:rsid w:val="652838E6"/>
    <w:rsid w:val="65EA2327"/>
    <w:rsid w:val="674B60AC"/>
    <w:rsid w:val="67C526CE"/>
    <w:rsid w:val="68703BF0"/>
    <w:rsid w:val="68EC0C84"/>
    <w:rsid w:val="69AF24F6"/>
    <w:rsid w:val="6A7B6EC7"/>
    <w:rsid w:val="6A837C0B"/>
    <w:rsid w:val="6B642DD9"/>
    <w:rsid w:val="7002534E"/>
    <w:rsid w:val="73C117A4"/>
    <w:rsid w:val="753E4F5B"/>
    <w:rsid w:val="78363AFC"/>
    <w:rsid w:val="784B5AE0"/>
    <w:rsid w:val="78C1031A"/>
    <w:rsid w:val="78D44497"/>
    <w:rsid w:val="79A27982"/>
    <w:rsid w:val="7A1B7E60"/>
    <w:rsid w:val="7AAB1199"/>
    <w:rsid w:val="7C2F531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qFormat="1"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480" w:lineRule="auto"/>
      <w:ind w:firstLine="0" w:firstLineChars="0"/>
      <w:jc w:val="both"/>
    </w:pPr>
    <w:rPr>
      <w:rFonts w:ascii="Times New Roman" w:hAnsi="Times New Roman" w:eastAsia="宋体" w:cs="Times New Roman"/>
      <w:kern w:val="2"/>
      <w:sz w:val="24"/>
    </w:rPr>
  </w:style>
  <w:style w:type="paragraph" w:styleId="2">
    <w:name w:val="heading 1"/>
    <w:basedOn w:val="1"/>
    <w:next w:val="1"/>
    <w:link w:val="19"/>
    <w:qFormat/>
    <w:uiPriority w:val="0"/>
    <w:pPr>
      <w:keepNext/>
      <w:keepLines/>
      <w:spacing w:before="200" w:beforeLines="0" w:beforeAutospacing="0" w:after="200" w:afterLines="0" w:afterAutospacing="0" w:line="240" w:lineRule="auto"/>
      <w:ind w:firstLine="0" w:firstLineChars="0"/>
      <w:jc w:val="left"/>
      <w:outlineLvl w:val="0"/>
    </w:pPr>
    <w:rPr>
      <w:rFonts w:ascii="Times New Roman" w:hAnsi="Times New Roman" w:eastAsia="楷体_GB2312" w:cstheme="minorBidi"/>
      <w:b/>
      <w:kern w:val="44"/>
      <w:sz w:val="28"/>
      <w:szCs w:val="22"/>
      <w:lang w:val="en-US" w:eastAsia="zh-CN" w:bidi="ar-SA"/>
    </w:rPr>
  </w:style>
  <w:style w:type="paragraph" w:styleId="3">
    <w:name w:val="heading 2"/>
    <w:basedOn w:val="1"/>
    <w:next w:val="1"/>
    <w:link w:val="18"/>
    <w:unhideWhenUsed/>
    <w:qFormat/>
    <w:uiPriority w:val="0"/>
    <w:pPr>
      <w:keepNext/>
      <w:keepLines/>
      <w:ind w:firstLine="0" w:firstLineChars="0"/>
      <w:jc w:val="left"/>
      <w:outlineLvl w:val="1"/>
    </w:pPr>
    <w:rPr>
      <w:rFonts w:ascii="Times New Roman" w:hAnsi="Times New Roman" w:eastAsia="楷体_GB2312" w:cstheme="minorBidi"/>
      <w:b/>
      <w:sz w:val="28"/>
      <w:szCs w:val="22"/>
      <w:lang w:val="en-US" w:eastAsia="zh-CN" w:bidi="ar-SA"/>
    </w:rPr>
  </w:style>
  <w:style w:type="paragraph" w:styleId="4">
    <w:name w:val="heading 3"/>
    <w:basedOn w:val="1"/>
    <w:next w:val="1"/>
    <w:unhideWhenUsed/>
    <w:qFormat/>
    <w:uiPriority w:val="0"/>
    <w:pPr>
      <w:keepNext/>
      <w:keepLines/>
      <w:ind w:firstLine="0" w:firstLineChars="0"/>
      <w:jc w:val="left"/>
      <w:outlineLvl w:val="2"/>
    </w:pPr>
    <w:rPr>
      <w:rFonts w:ascii="Times New Roman" w:hAnsi="Times New Roman" w:eastAsia="楷体_GB2312"/>
      <w:b/>
      <w:sz w:val="28"/>
      <w:szCs w:val="22"/>
      <w:lang w:val="en-US" w:eastAsia="zh-CN" w:bidi="ar-SA"/>
    </w:rPr>
  </w:style>
  <w:style w:type="paragraph" w:styleId="5">
    <w:name w:val="heading 4"/>
    <w:basedOn w:val="1"/>
    <w:next w:val="1"/>
    <w:semiHidden/>
    <w:unhideWhenUsed/>
    <w:qFormat/>
    <w:uiPriority w:val="0"/>
    <w:pPr>
      <w:keepNext/>
      <w:keepLines/>
      <w:spacing w:before="200" w:after="200" w:line="240" w:lineRule="auto"/>
      <w:outlineLvl w:val="3"/>
    </w:pPr>
    <w:rPr>
      <w:rFonts w:ascii="Arial" w:hAnsi="Arial" w:eastAsia="黑体"/>
      <w:b/>
      <w:sz w:val="28"/>
      <w:lang w:val="en-US" w:eastAsia="zh-CN" w:bidi="ar-SA"/>
    </w:rPr>
  </w:style>
  <w:style w:type="character" w:default="1" w:styleId="14">
    <w:name w:val="Default Paragraph Font"/>
    <w:semiHidden/>
    <w:unhideWhenUsed/>
    <w:qFormat/>
    <w:uiPriority w:val="1"/>
  </w:style>
  <w:style w:type="table" w:default="1" w:styleId="12">
    <w:name w:val="Normal Table"/>
    <w:semiHidden/>
    <w:qFormat/>
    <w:uiPriority w:val="0"/>
    <w:tblPr>
      <w:tblCellMar>
        <w:top w:w="0" w:type="dxa"/>
        <w:left w:w="108" w:type="dxa"/>
        <w:bottom w:w="0" w:type="dxa"/>
        <w:right w:w="108" w:type="dxa"/>
      </w:tblCellMar>
    </w:tblPr>
  </w:style>
  <w:style w:type="paragraph" w:styleId="6">
    <w:name w:val="toc 3"/>
    <w:basedOn w:val="1"/>
    <w:next w:val="1"/>
    <w:uiPriority w:val="0"/>
    <w:pPr>
      <w:ind w:left="840" w:leftChars="400"/>
    </w:pPr>
  </w:style>
  <w:style w:type="paragraph" w:styleId="7">
    <w:name w:val="footer"/>
    <w:basedOn w:val="1"/>
    <w:qFormat/>
    <w:uiPriority w:val="0"/>
    <w:pPr>
      <w:tabs>
        <w:tab w:val="center" w:pos="4153"/>
        <w:tab w:val="right" w:pos="8306"/>
      </w:tabs>
      <w:snapToGrid w:val="0"/>
      <w:jc w:val="left"/>
    </w:pPr>
    <w:rPr>
      <w:sz w:val="18"/>
    </w:rPr>
  </w:style>
  <w:style w:type="paragraph" w:styleId="8">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9">
    <w:name w:val="toc 1"/>
    <w:basedOn w:val="1"/>
    <w:next w:val="1"/>
    <w:qFormat/>
    <w:uiPriority w:val="0"/>
  </w:style>
  <w:style w:type="paragraph" w:styleId="10">
    <w:name w:val="footnote text"/>
    <w:basedOn w:val="1"/>
    <w:link w:val="17"/>
    <w:qFormat/>
    <w:uiPriority w:val="0"/>
    <w:pPr>
      <w:snapToGrid w:val="0"/>
      <w:jc w:val="left"/>
    </w:pPr>
    <w:rPr>
      <w:rFonts w:asciiTheme="minorAscii" w:hAnsiTheme="minorAscii" w:cstheme="minorBidi"/>
      <w:sz w:val="18"/>
      <w:szCs w:val="24"/>
      <w:lang w:val="en-US" w:eastAsia="zh-CN" w:bidi="ar-SA"/>
    </w:rPr>
  </w:style>
  <w:style w:type="paragraph" w:styleId="11">
    <w:name w:val="toc 2"/>
    <w:basedOn w:val="1"/>
    <w:next w:val="1"/>
    <w:qFormat/>
    <w:uiPriority w:val="0"/>
    <w:pPr>
      <w:ind w:left="420" w:leftChars="200"/>
    </w:pPr>
  </w:style>
  <w:style w:type="table" w:styleId="13">
    <w:name w:val="Table Grid"/>
    <w:basedOn w:val="1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5">
    <w:name w:val="Hyperlink"/>
    <w:basedOn w:val="14"/>
    <w:qFormat/>
    <w:uiPriority w:val="0"/>
    <w:rPr>
      <w:color w:val="0000FF"/>
      <w:u w:val="single"/>
    </w:rPr>
  </w:style>
  <w:style w:type="character" w:styleId="16">
    <w:name w:val="footnote reference"/>
    <w:basedOn w:val="14"/>
    <w:qFormat/>
    <w:uiPriority w:val="0"/>
    <w:rPr>
      <w:vertAlign w:val="superscript"/>
    </w:rPr>
  </w:style>
  <w:style w:type="character" w:customStyle="1" w:styleId="17">
    <w:name w:val="脚注文本 Char"/>
    <w:basedOn w:val="14"/>
    <w:link w:val="10"/>
    <w:qFormat/>
    <w:uiPriority w:val="0"/>
    <w:rPr>
      <w:rFonts w:eastAsia="宋体" w:asciiTheme="minorAscii" w:hAnsiTheme="minorAscii" w:cstheme="minorBidi"/>
      <w:sz w:val="18"/>
      <w:szCs w:val="24"/>
      <w:lang w:val="en-US" w:eastAsia="zh-CN" w:bidi="ar-SA"/>
    </w:rPr>
  </w:style>
  <w:style w:type="character" w:customStyle="1" w:styleId="18">
    <w:name w:val="标题 2 Char"/>
    <w:link w:val="3"/>
    <w:qFormat/>
    <w:uiPriority w:val="0"/>
    <w:rPr>
      <w:rFonts w:ascii="Times New Roman" w:hAnsi="Times New Roman" w:eastAsia="楷体_GB2312" w:cstheme="minorBidi"/>
      <w:b/>
      <w:sz w:val="28"/>
      <w:szCs w:val="22"/>
      <w:lang w:val="en-US" w:eastAsia="zh-CN" w:bidi="ar-SA"/>
    </w:rPr>
  </w:style>
  <w:style w:type="character" w:customStyle="1" w:styleId="19">
    <w:name w:val="标题 1 Char"/>
    <w:link w:val="2"/>
    <w:qFormat/>
    <w:uiPriority w:val="0"/>
    <w:rPr>
      <w:rFonts w:ascii="Times New Roman" w:hAnsi="Times New Roman" w:eastAsia="楷体_GB2312" w:cstheme="minorBidi"/>
      <w:b/>
      <w:kern w:val="44"/>
      <w:sz w:val="28"/>
      <w:szCs w:val="22"/>
      <w:lang w:val="en-US" w:eastAsia="zh-CN" w:bidi="ar-SA"/>
    </w:rPr>
  </w:style>
  <w:style w:type="table" w:customStyle="1" w:styleId="20">
    <w:name w:val="无格式表格 31"/>
    <w:basedOn w:val="12"/>
    <w:qFormat/>
    <w:uiPriority w:val="0"/>
    <w:rPr>
      <w:rFonts w:hint="eastAsia"/>
    </w:rPr>
    <w:tblStylePr w:type="firstRow">
      <w:rPr>
        <w:b/>
        <w:bCs/>
        <w:caps/>
      </w:rPr>
      <w:tcPr>
        <w:tcBorders>
          <w:bottom w:val="single" w:color="7F7F7F" w:sz="4" w:space="0"/>
        </w:tcBorders>
      </w:tcPr>
    </w:tblStylePr>
    <w:tblStylePr w:type="lastRow">
      <w:rPr>
        <w:b/>
        <w:bCs/>
        <w:caps/>
      </w:rPr>
      <w:tcPr>
        <w:tcBorders>
          <w:top w:val="nil"/>
        </w:tcBorders>
      </w:tcPr>
    </w:tblStylePr>
    <w:tblStylePr w:type="firstCol">
      <w:rPr>
        <w:b/>
        <w:bCs/>
        <w:caps/>
      </w:rPr>
      <w:tcPr>
        <w:tcBorders>
          <w:right w:val="single" w:color="7F7F7F" w:sz="4" w:space="0"/>
        </w:tcBorders>
      </w:tcPr>
    </w:tblStylePr>
    <w:tblStylePr w:type="lastCol">
      <w:rPr>
        <w:b/>
        <w:bCs/>
        <w:caps/>
      </w:rPr>
      <w:tcPr>
        <w:tcBorders>
          <w:left w:val="nil"/>
        </w:tcBorders>
      </w:tcPr>
    </w:tblStylePr>
    <w:tblStylePr w:type="band1Vert">
      <w:tcPr>
        <w:shd w:val="clear" w:color="auto" w:fill="F2F2F2"/>
      </w:tcPr>
    </w:tblStylePr>
    <w:tblStylePr w:type="band1Horz">
      <w:tcPr>
        <w:shd w:val="clear" w:color="auto" w:fill="F2F2F2"/>
      </w:tcPr>
    </w:tblStylePr>
    <w:tblStylePr w:type="neCell">
      <w:tcPr>
        <w:tcBorders>
          <w:left w:val="nil"/>
        </w:tcBorders>
      </w:tcPr>
    </w:tblStylePr>
    <w:tblStylePr w:type="nwCell">
      <w:tcPr>
        <w:tcBorders>
          <w:right w:val="nil"/>
        </w:tcBorders>
      </w:tcPr>
    </w:tblStylePr>
  </w:style>
  <w:style w:type="paragraph" w:customStyle="1" w:styleId="21">
    <w:name w:val="WPSOffice手动目录 1"/>
    <w:qFormat/>
    <w:uiPriority w:val="0"/>
    <w:pPr>
      <w:ind w:leftChars="0"/>
    </w:pPr>
    <w:rPr>
      <w:rFonts w:ascii="Times New Roman" w:hAnsi="Times New Roman" w:eastAsia="宋体" w:cs="Times New Roman"/>
      <w:sz w:val="20"/>
      <w:szCs w:val="20"/>
    </w:rPr>
  </w:style>
  <w:style w:type="paragraph" w:customStyle="1" w:styleId="22">
    <w:name w:val="WPSOffice手动目录 2"/>
    <w:qFormat/>
    <w:uiPriority w:val="0"/>
    <w:pPr>
      <w:ind w:leftChars="200"/>
    </w:pPr>
    <w:rPr>
      <w:rFonts w:ascii="Times New Roman" w:hAnsi="Times New Roman" w:eastAsia="宋体" w:cs="Times New Roman"/>
      <w:sz w:val="20"/>
      <w:szCs w:val="20"/>
    </w:rPr>
  </w:style>
  <w:style w:type="paragraph" w:customStyle="1" w:styleId="23">
    <w:name w:val="WPSOffice手动目录 3"/>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numbering" Target="numbering.xml"/><Relationship Id="rId11" Type="http://schemas.openxmlformats.org/officeDocument/2006/relationships/customXml" Target="../customXml/item1.xml"/><Relationship Id="rId10" Type="http://schemas.openxmlformats.org/officeDocument/2006/relationships/image" Target="media/image3.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31</Pages>
  <Words>6512</Words>
  <Characters>39091</Characters>
  <Lines>0</Lines>
  <Paragraphs>0</Paragraphs>
  <TotalTime>12</TotalTime>
  <ScaleCrop>false</ScaleCrop>
  <LinksUpToDate>false</LinksUpToDate>
  <CharactersWithSpaces>45523</CharactersWithSpaces>
  <Application>WPS Office_11.1.0.12651_F1E327BC-269C-435d-A152-05C5408002CA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2022-12-12T08:18:00Z</dcterms:created>
  <dc:creator>无关风月</dc:creator>
  <cp:lastModifiedBy>无关风月</cp:lastModifiedBy>
  <dcterms:modified xsi:type="dcterms:W3CDTF">2022-12-15T23:50:56Z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2052-11.1.0.12651</vt:lpwstr>
  </property>
  <property fmtid="{D5CDD505-2E9C-101B-9397-08002B2CF9AE}" pid="3" name="ICV">
    <vt:lpwstr>5C7FD35D37474D509A6D3B196CF1C963</vt:lpwstr>
  </property>
</Properties>
</file>