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7BFA" w:rsidRDefault="001D7BFA" w:rsidP="001D7BFA">
      <w:pPr>
        <w:jc w:val="center"/>
      </w:pPr>
      <w:r>
        <w:t>“</w:t>
      </w:r>
      <w:r w:rsidRPr="001D7BFA">
        <w:t>A spirit glided past my face, and the hair on my body stood on end.</w:t>
      </w:r>
      <w:r>
        <w:t>”</w:t>
      </w:r>
      <w:r>
        <w:rPr>
          <w:rStyle w:val="FootnoteReference"/>
        </w:rPr>
        <w:footnoteReference w:id="1"/>
      </w:r>
    </w:p>
    <w:p w:rsidR="001D7BFA" w:rsidRDefault="001D7BFA" w:rsidP="00E36187"/>
    <w:p w:rsidR="0034620C" w:rsidRDefault="00FD305F" w:rsidP="00E36187">
      <w:r>
        <w:t xml:space="preserve">There is something in a ghost story that audiences adore. Whether it is being scared by their unexpected presence, the thought of something coming back from the dead, or just a fun story to spook children. Modern ghost stories usually involve a malevolent spirit coming back from the dead to haunt the victim by moving objects or lurking down a dark hallway. However, in the medieval period, the stories fell into three categories. </w:t>
      </w:r>
      <w:r w:rsidR="0034620C">
        <w:t>Firstly,</w:t>
      </w:r>
      <w:r w:rsidR="0034620C">
        <w:rPr>
          <w:i/>
        </w:rPr>
        <w:t xml:space="preserve"> memento mori</w:t>
      </w:r>
      <w:r w:rsidR="0034620C">
        <w:t xml:space="preserve">: Remember you will die. There are some ghost stories that were written to serve as reminders that you too will pass one day, so you had </w:t>
      </w:r>
      <w:r w:rsidR="00070659">
        <w:t>to</w:t>
      </w:r>
      <w:r w:rsidR="0034620C">
        <w:t xml:space="preserve"> do something to prepare your soul. In these stories, a ghost might return from </w:t>
      </w:r>
      <w:r w:rsidR="00A61369">
        <w:t>Purgatory</w:t>
      </w:r>
      <w:r w:rsidR="0034620C">
        <w:t xml:space="preserve"> to ask for </w:t>
      </w:r>
      <w:r>
        <w:t xml:space="preserve">prayers. The second category is </w:t>
      </w:r>
      <w:r>
        <w:rPr>
          <w:i/>
        </w:rPr>
        <w:t xml:space="preserve">Mirabilia: </w:t>
      </w:r>
      <w:r>
        <w:t xml:space="preserve">Marvels. These stories serve as conversational pieces at a dinner party. They aim to make you think and wonder in marvel at the many creatures that inhabit the world that God has created. The third and final category is </w:t>
      </w:r>
      <w:r w:rsidRPr="00943F26">
        <w:rPr>
          <w:i/>
        </w:rPr>
        <w:t>Vivi ex Mortuis</w:t>
      </w:r>
      <w:r>
        <w:t>: The living dead. These are stories in which the dead return to the land of the living and become enemies of the living. All three of these stories serve a purpose and each ha</w:t>
      </w:r>
      <w:r w:rsidR="00A61369">
        <w:t>s</w:t>
      </w:r>
      <w:r>
        <w:t xml:space="preserve"> a specific place in the social consciousness of the middle ages. In this essay, I will be </w:t>
      </w:r>
      <w:r w:rsidR="00902AE9">
        <w:t>examining</w:t>
      </w:r>
      <w:r>
        <w:t xml:space="preserve"> each type of ghost story, and their place in society</w:t>
      </w:r>
      <w:r w:rsidR="00902AE9">
        <w:t>.</w:t>
      </w:r>
    </w:p>
    <w:p w:rsidR="00943F26" w:rsidRPr="00943F26" w:rsidRDefault="00943F26" w:rsidP="00943F26">
      <w:pPr>
        <w:jc w:val="center"/>
        <w:rPr>
          <w:u w:val="single"/>
        </w:rPr>
      </w:pPr>
      <w:r>
        <w:rPr>
          <w:i/>
          <w:u w:val="single"/>
        </w:rPr>
        <w:t>M</w:t>
      </w:r>
      <w:r w:rsidRPr="00943F26">
        <w:rPr>
          <w:i/>
          <w:u w:val="single"/>
        </w:rPr>
        <w:t xml:space="preserve">emento </w:t>
      </w:r>
      <w:r>
        <w:rPr>
          <w:i/>
          <w:u w:val="single"/>
        </w:rPr>
        <w:t>M</w:t>
      </w:r>
      <w:r w:rsidRPr="00943F26">
        <w:rPr>
          <w:i/>
          <w:u w:val="single"/>
        </w:rPr>
        <w:t>ori</w:t>
      </w:r>
    </w:p>
    <w:p w:rsidR="003D1A83" w:rsidRDefault="009B6C4C" w:rsidP="00E36187">
      <w:r>
        <w:t xml:space="preserve">Throughout history, the eternal question of what happens to the soul after you die has been one of </w:t>
      </w:r>
      <w:r w:rsidR="00A61369">
        <w:t xml:space="preserve">the </w:t>
      </w:r>
      <w:r>
        <w:t xml:space="preserve">utmost importance. The Egyptians </w:t>
      </w:r>
      <w:r w:rsidR="002A68B2">
        <w:t xml:space="preserve">believed in a system where the deceased presented their sins to a council of judges and then their heart was weighed against the feather of the God </w:t>
      </w:r>
      <w:proofErr w:type="spellStart"/>
      <w:r w:rsidR="002A68B2">
        <w:t>Ma’at</w:t>
      </w:r>
      <w:proofErr w:type="spellEnd"/>
      <w:r w:rsidR="002A68B2">
        <w:t>. If your heart and sins were deemed to be pure enough, the deceased’s soul was granted access to the Field of Reeds.</w:t>
      </w:r>
      <w:r w:rsidR="002A68B2">
        <w:rPr>
          <w:rStyle w:val="FootnoteReference"/>
        </w:rPr>
        <w:footnoteReference w:id="2"/>
      </w:r>
      <w:r w:rsidR="002A68B2">
        <w:t xml:space="preserve"> </w:t>
      </w:r>
      <w:r w:rsidR="007B78A6">
        <w:t xml:space="preserve">The Romans believed in a system where the deceased’s soul was ferried </w:t>
      </w:r>
      <w:r w:rsidR="005614FE">
        <w:t>d</w:t>
      </w:r>
      <w:r w:rsidR="007B78A6">
        <w:t xml:space="preserve">own the River Styx, made to recall their life before three judges and then sent to one of three places, the Elysian field, where warriors and hero’s rest, the Plain of Asphodel, where regular citizens rest, or </w:t>
      </w:r>
      <w:r w:rsidR="00B95066">
        <w:t xml:space="preserve">to Tartarus if you have offended the gods with acts of </w:t>
      </w:r>
      <w:r w:rsidR="00043CA2">
        <w:t>s</w:t>
      </w:r>
      <w:r w:rsidR="00B95066">
        <w:t>in.</w:t>
      </w:r>
      <w:r w:rsidR="00B95066">
        <w:rPr>
          <w:rStyle w:val="FootnoteReference"/>
        </w:rPr>
        <w:footnoteReference w:id="3"/>
      </w:r>
      <w:r w:rsidR="00D35BD9">
        <w:t xml:space="preserve"> The Christian model of </w:t>
      </w:r>
      <w:r w:rsidR="00A61369">
        <w:t>Purgatory</w:t>
      </w:r>
      <w:r w:rsidR="00D35BD9">
        <w:t xml:space="preserve"> began in the sixth century, whe</w:t>
      </w:r>
      <w:r w:rsidR="00A97CB4">
        <w:t>n Pope Gregory the Great wrote “</w:t>
      </w:r>
      <w:r w:rsidR="00A97CB4" w:rsidRPr="00A97CB4">
        <w:t xml:space="preserve">But yet we must believe that before the day of judgment there is a </w:t>
      </w:r>
      <w:r w:rsidR="00A61369">
        <w:t>Purgatory</w:t>
      </w:r>
      <w:r w:rsidR="00A97CB4" w:rsidRPr="00A97CB4">
        <w:t xml:space="preserve"> fire for certain small sins</w:t>
      </w:r>
      <w:r w:rsidR="00A97CB4">
        <w:t>”</w:t>
      </w:r>
      <w:r w:rsidR="00A97CB4">
        <w:rPr>
          <w:rStyle w:val="FootnoteReference"/>
        </w:rPr>
        <w:footnoteReference w:id="4"/>
      </w:r>
      <w:r w:rsidR="00A20116">
        <w:t xml:space="preserve"> With this, Gregory set forth the idea that there will be fire once you die that your soul will have to pass through to atone for your sins. This idea was developed further in the later medieval periods.</w:t>
      </w:r>
      <w:r w:rsidR="005614FE">
        <w:t xml:space="preserve"> Hildegard of Bingen described </w:t>
      </w:r>
      <w:r w:rsidR="00A61369">
        <w:t>Purgatory</w:t>
      </w:r>
      <w:r w:rsidR="005614FE">
        <w:t xml:space="preserve"> as a place for </w:t>
      </w:r>
      <w:r w:rsidR="00043CA2">
        <w:t>“</w:t>
      </w:r>
      <w:r w:rsidR="005614FE">
        <w:t>all souls destined to be saved, provided they have died in a state of contrition but without completing the penance owed for their sins.”</w:t>
      </w:r>
      <w:r w:rsidR="005614FE">
        <w:rPr>
          <w:rStyle w:val="FootnoteReference"/>
        </w:rPr>
        <w:footnoteReference w:id="5"/>
      </w:r>
      <w:r w:rsidR="005614FE">
        <w:t xml:space="preserve"> The </w:t>
      </w:r>
      <w:r w:rsidR="00A61369">
        <w:t>number</w:t>
      </w:r>
      <w:r w:rsidR="005614FE">
        <w:t xml:space="preserve"> of tortures that one must endure in </w:t>
      </w:r>
      <w:r w:rsidR="00A61369">
        <w:t>Purgatory</w:t>
      </w:r>
      <w:r w:rsidR="005614FE">
        <w:t xml:space="preserve"> increased from the original fires that Gregory the Great wrote about. In Hildegarde’s book</w:t>
      </w:r>
      <w:r w:rsidR="005614FE">
        <w:rPr>
          <w:i/>
        </w:rPr>
        <w:t xml:space="preserve"> </w:t>
      </w:r>
      <w:r w:rsidR="005614FE" w:rsidRPr="005614FE">
        <w:rPr>
          <w:i/>
        </w:rPr>
        <w:t>Liber</w:t>
      </w:r>
      <w:r w:rsidR="005614FE">
        <w:t xml:space="preserve"> </w:t>
      </w:r>
      <w:r w:rsidR="005614FE" w:rsidRPr="005614FE">
        <w:rPr>
          <w:i/>
        </w:rPr>
        <w:t>vitae</w:t>
      </w:r>
      <w:r w:rsidR="005614FE">
        <w:t xml:space="preserve"> </w:t>
      </w:r>
      <w:proofErr w:type="spellStart"/>
      <w:r w:rsidR="005614FE" w:rsidRPr="005614FE">
        <w:rPr>
          <w:i/>
        </w:rPr>
        <w:t>meritorum</w:t>
      </w:r>
      <w:proofErr w:type="spellEnd"/>
      <w:r w:rsidR="005614FE">
        <w:t>, she mentions darkness, fiery lakes, stinky marshes, spiked bridges, serpents and torturous demons to name but a few.</w:t>
      </w:r>
      <w:r w:rsidR="005614FE">
        <w:rPr>
          <w:rStyle w:val="FootnoteReference"/>
        </w:rPr>
        <w:footnoteReference w:id="6"/>
      </w:r>
      <w:r w:rsidR="005614FE">
        <w:t xml:space="preserve"> </w:t>
      </w:r>
    </w:p>
    <w:p w:rsidR="00F12781" w:rsidRDefault="005614FE" w:rsidP="00E36187">
      <w:r>
        <w:t xml:space="preserve">It was possible however to decrease your time spent in </w:t>
      </w:r>
      <w:r w:rsidR="00A61369">
        <w:t>Purgatory</w:t>
      </w:r>
      <w:r>
        <w:t xml:space="preserve"> by having those still in the realm of the living pray for your soul. You could </w:t>
      </w:r>
      <w:proofErr w:type="gramStart"/>
      <w:r>
        <w:t>make a donation</w:t>
      </w:r>
      <w:proofErr w:type="gramEnd"/>
      <w:r>
        <w:t xml:space="preserve"> to a local monastery and have them pray </w:t>
      </w:r>
      <w:r>
        <w:lastRenderedPageBreak/>
        <w:t xml:space="preserve">for you, or even a local church if you were influential enough. However, these methods were costly and took time to establish before your death. This is where the first category of ghost stories appears. People asking for prayers so that they might pass through the fires of </w:t>
      </w:r>
      <w:r w:rsidR="00A61369">
        <w:t>Purgatory</w:t>
      </w:r>
      <w:r>
        <w:t xml:space="preserve"> sooner. One example of this comes from</w:t>
      </w:r>
      <w:r w:rsidR="003D1A83">
        <w:t xml:space="preserve"> </w:t>
      </w:r>
      <w:r w:rsidR="002154A2">
        <w:t>the Dialogues of Gregory the Great</w:t>
      </w:r>
      <w:r w:rsidR="002E14FD">
        <w:t>, written in the late sixth century</w:t>
      </w:r>
      <w:r w:rsidR="002154A2">
        <w:t xml:space="preserve">. In book four of these dialogues, Gregory recalls the story of Paschasius the Deacon who lives a remarkably holy life. Paschasius supported someone who </w:t>
      </w:r>
      <w:proofErr w:type="gramStart"/>
      <w:r w:rsidR="002154A2">
        <w:t>desired</w:t>
      </w:r>
      <w:proofErr w:type="gramEnd"/>
      <w:r w:rsidR="002154A2">
        <w:t xml:space="preserve"> to be </w:t>
      </w:r>
      <w:r w:rsidR="00A61369">
        <w:t>Bishop</w:t>
      </w:r>
      <w:r w:rsidR="002154A2">
        <w:t xml:space="preserve">, who the other </w:t>
      </w:r>
      <w:r w:rsidR="00A61369">
        <w:t>Bishop</w:t>
      </w:r>
      <w:r w:rsidR="002154A2">
        <w:t xml:space="preserve">s did not support. For this, Paschasius was sent to </w:t>
      </w:r>
      <w:r w:rsidR="00A61369">
        <w:t>Purgatory</w:t>
      </w:r>
      <w:r w:rsidR="002154A2">
        <w:t xml:space="preserve"> after he passed and remained there for some time. However, one night a </w:t>
      </w:r>
      <w:r w:rsidR="00A61369">
        <w:t>Bishop</w:t>
      </w:r>
      <w:r w:rsidR="002154A2">
        <w:t xml:space="preserve"> of Capua spotted Paschasius in public baths. Paschasius asked the </w:t>
      </w:r>
      <w:r w:rsidR="00A61369">
        <w:t>Bishop</w:t>
      </w:r>
      <w:r w:rsidR="002154A2">
        <w:t xml:space="preserve"> to pray unto the lord on his behalf, so that he may pass through </w:t>
      </w:r>
      <w:r w:rsidR="00A61369">
        <w:t>Purgatory</w:t>
      </w:r>
      <w:r w:rsidR="002154A2">
        <w:t xml:space="preserve"> quickly. The </w:t>
      </w:r>
      <w:r w:rsidR="00A61369">
        <w:t>Bishop</w:t>
      </w:r>
      <w:r w:rsidR="002154A2">
        <w:t xml:space="preserve"> completed the request and returned to the bathhouse to find no sign of Paschasius who had passed on into </w:t>
      </w:r>
      <w:r w:rsidR="00A61369">
        <w:t>Heaven</w:t>
      </w:r>
      <w:r w:rsidR="002154A2">
        <w:t>.</w:t>
      </w:r>
      <w:r w:rsidR="008C2F56">
        <w:rPr>
          <w:rStyle w:val="FootnoteReference"/>
        </w:rPr>
        <w:footnoteReference w:id="7"/>
      </w:r>
      <w:r w:rsidR="002154A2">
        <w:t xml:space="preserve"> </w:t>
      </w:r>
    </w:p>
    <w:p w:rsidR="00F12781" w:rsidRDefault="00480C3F" w:rsidP="00E36187">
      <w:r>
        <w:t xml:space="preserve">Stories of this sort might have been used once upon a time to teach lessons about backing the wrong person in an election, stating that you would spend time in </w:t>
      </w:r>
      <w:r w:rsidR="00A61369">
        <w:t>Purgatory</w:t>
      </w:r>
      <w:r>
        <w:t xml:space="preserve"> because of them, however, it is much more likely that they were simply an example to show how praying for someone in the afterlife can help them to pass through </w:t>
      </w:r>
      <w:r w:rsidR="00A61369">
        <w:t>Purgatory</w:t>
      </w:r>
      <w:r>
        <w:t xml:space="preserve"> sooner. There are a number of similar stories in which the spirit appears in the public baths. Andrew Joynes writes that “the public baths … might well be an extension of the belief … that sources of fresh water were numinous places, frequented by minor deities.”</w:t>
      </w:r>
      <w:r>
        <w:rPr>
          <w:rStyle w:val="FootnoteReference"/>
        </w:rPr>
        <w:footnoteReference w:id="8"/>
      </w:r>
      <w:r w:rsidR="005277B1">
        <w:t xml:space="preserve"> However, this conflicts with the idea that </w:t>
      </w:r>
      <w:r w:rsidR="00A61369">
        <w:t>Purgatory</w:t>
      </w:r>
      <w:r w:rsidR="005277B1">
        <w:t xml:space="preserve"> is a place that all Christian people will pass through to get to </w:t>
      </w:r>
      <w:r w:rsidR="00A61369">
        <w:t>Heaven</w:t>
      </w:r>
      <w:r w:rsidR="00045B8E">
        <w:t xml:space="preserve">. If the ghosts are to be considered minor deities, then why are they not already in </w:t>
      </w:r>
      <w:r w:rsidR="00A61369">
        <w:t>Heaven</w:t>
      </w:r>
      <w:r w:rsidR="00045B8E">
        <w:t xml:space="preserve">? Saints pass straight through to </w:t>
      </w:r>
      <w:r w:rsidR="00A61369">
        <w:t>Heaven and</w:t>
      </w:r>
      <w:r w:rsidR="00045B8E">
        <w:t xml:space="preserve"> are not considered minor deities. I believe that the popularity of the public house is to make the story more believable and relatable, because every single person who heard the story would have visited a public house at least once in their life. </w:t>
      </w:r>
      <w:r w:rsidR="005277B1">
        <w:t xml:space="preserve"> </w:t>
      </w:r>
    </w:p>
    <w:p w:rsidR="00F12781" w:rsidRDefault="00DA50F5" w:rsidP="00E36187">
      <w:r>
        <w:t xml:space="preserve">Another story in a similar genre to Paschasius is the story of the burning spear. This comes from the ‘Book of Visions’ of Otloh of St Emmeram, from the eleventh century. In this story, a father who passed in battle comes to visit his sons who have become greedy. He states that they are to give back the land that he stole in his life, so that his armour might stop burning with intolerable fire, caused by his sins. The sons do not believe him and ask for proof. The father hands the son his weapon, a spear, which instantly burns the sons’ hand. </w:t>
      </w:r>
      <w:r w:rsidR="00F12781">
        <w:t xml:space="preserve">The brothers agree to give back the land and pray for their father. In doing so, the father passes through to </w:t>
      </w:r>
      <w:r w:rsidR="00A61369">
        <w:t>Heaven</w:t>
      </w:r>
      <w:r w:rsidR="00F12781">
        <w:t>.</w:t>
      </w:r>
      <w:r w:rsidR="00F12781">
        <w:rPr>
          <w:rStyle w:val="FootnoteReference"/>
        </w:rPr>
        <w:footnoteReference w:id="9"/>
      </w:r>
      <w:r w:rsidR="00F12781">
        <w:t xml:space="preserve"> This story was told to Otloh by Pope Leo, who told him “In order that you might recognise how great a peril hangs over those who seize monastic property, let me tell you a certain memorable story.”</w:t>
      </w:r>
      <w:r w:rsidR="00F12781">
        <w:rPr>
          <w:rStyle w:val="FootnoteReference"/>
        </w:rPr>
        <w:footnoteReference w:id="10"/>
      </w:r>
      <w:r>
        <w:t xml:space="preserve"> </w:t>
      </w:r>
      <w:r w:rsidR="00F12781">
        <w:t xml:space="preserve">This story certainly tells more of a lesson than the story of Paschasius, however it still asks for penance on behalf of the father. </w:t>
      </w:r>
    </w:p>
    <w:p w:rsidR="007F0A71" w:rsidRDefault="00F12781" w:rsidP="00E36187">
      <w:r>
        <w:t>These types of story are very important for gaining information about the social history of the middle age</w:t>
      </w:r>
      <w:r w:rsidR="002F1E5D">
        <w:t>s.</w:t>
      </w:r>
      <w:r w:rsidR="002E14FD">
        <w:t xml:space="preserve"> From the early stories as retold by Saint Gregory the Great, to the late middle ages and the </w:t>
      </w:r>
      <w:r w:rsidR="00A61369">
        <w:t>R</w:t>
      </w:r>
      <w:r w:rsidR="002E14FD">
        <w:t xml:space="preserve">enaissance, the idea of </w:t>
      </w:r>
      <w:r w:rsidR="00A61369">
        <w:t>Purgatory</w:t>
      </w:r>
      <w:r w:rsidR="002E14FD">
        <w:t xml:space="preserve"> has been present, however it was only made doctrine in 1274, at the </w:t>
      </w:r>
      <w:r w:rsidR="00BF7995">
        <w:t xml:space="preserve">Council of Lyons where the church made known it’s official stance on </w:t>
      </w:r>
      <w:r w:rsidR="00A61369">
        <w:t>Purgatory</w:t>
      </w:r>
      <w:r w:rsidR="00BF7995">
        <w:t xml:space="preserve">: “If they die truly repentant in charity before they have made satisfaction by worthy fruits of penance for sins committed and omitted, their souls are cleansed after death by purgatorical or purifying </w:t>
      </w:r>
      <w:r w:rsidR="00BF7995">
        <w:lastRenderedPageBreak/>
        <w:t>punishments”</w:t>
      </w:r>
      <w:r w:rsidR="00197C00">
        <w:rPr>
          <w:rStyle w:val="FootnoteReference"/>
        </w:rPr>
        <w:footnoteReference w:id="11"/>
      </w:r>
      <w:r w:rsidR="00BF7995">
        <w:t xml:space="preserve"> </w:t>
      </w:r>
      <w:r w:rsidR="00A72472">
        <w:t xml:space="preserve">Although the theory of </w:t>
      </w:r>
      <w:r w:rsidR="00A61369">
        <w:t>Purgatory</w:t>
      </w:r>
      <w:r w:rsidR="00A72472">
        <w:t xml:space="preserve"> was present from at least the sixth century,</w:t>
      </w:r>
      <w:r w:rsidR="00532D0D">
        <w:t xml:space="preserve"> some people would not have accepted the idea until it officially became doctrine. Therefore, it is to be expected that there were some people that were new to the idea of </w:t>
      </w:r>
      <w:r w:rsidR="00A61369">
        <w:t>Purgatory</w:t>
      </w:r>
      <w:r w:rsidR="00532D0D">
        <w:t xml:space="preserve">. To explain this tough concept to someone, especially a young person, </w:t>
      </w:r>
      <w:r w:rsidR="007F0A71">
        <w:t>an</w:t>
      </w:r>
      <w:r w:rsidR="00532D0D">
        <w:t xml:space="preserve"> analogy would have been useful. Like in modern times, we tell our children of the Tortoise and the Hare to teach them patience, or the Lion and the Mouse to teach them not to look down on others. Ghost stories too, have their place in </w:t>
      </w:r>
      <w:r w:rsidR="00ED13DE">
        <w:t>storytelling</w:t>
      </w:r>
      <w:r w:rsidR="00532D0D">
        <w:t xml:space="preserve"> and give the reader something to think about. As Joynes writes: “stories of ghosts and apparitions were perhaps used as a means of fostering philosophical speculation.”</w:t>
      </w:r>
      <w:r w:rsidR="00532D0D">
        <w:rPr>
          <w:rStyle w:val="FootnoteReference"/>
        </w:rPr>
        <w:footnoteReference w:id="12"/>
      </w:r>
      <w:r w:rsidR="007D11F4">
        <w:t xml:space="preserve"> </w:t>
      </w:r>
      <w:r w:rsidR="007F0A71">
        <w:t xml:space="preserve">To tell someone a story with relatable characters and places that they might have come across in their life means that tough concepts, like </w:t>
      </w:r>
      <w:r w:rsidR="00A61369">
        <w:t>Purgatory</w:t>
      </w:r>
      <w:r w:rsidR="007F0A71">
        <w:t xml:space="preserve"> and the concept of sinning, would have been easier to explain to those learning about them. </w:t>
      </w:r>
    </w:p>
    <w:p w:rsidR="00AE512E" w:rsidRDefault="007F0A71" w:rsidP="00E36187">
      <w:r>
        <w:t xml:space="preserve">Of course, these types of stories cannot be without criticism. Hearing someone’s story from the land of </w:t>
      </w:r>
      <w:r w:rsidR="00A61369">
        <w:t>Purgatory</w:t>
      </w:r>
      <w:r>
        <w:t xml:space="preserve"> means that people might begin to question why they really do good in this life, if they can just atone for their sins in the afterlife, assuming they act properly on their death bed and die in a state of contrition. “Sure knowledge of a soul’s fate after death is also contrary to God’s intention, reducing commitment to charitable acts for that soul.”</w:t>
      </w:r>
      <w:r>
        <w:rPr>
          <w:rStyle w:val="FootnoteReference"/>
        </w:rPr>
        <w:footnoteReference w:id="13"/>
      </w:r>
      <w:r w:rsidR="00593BBB">
        <w:t xml:space="preserve">  As well as leading people to consider not doing right in their life and sinning, only to act in contrition on their death bed, the existence of </w:t>
      </w:r>
      <w:r w:rsidR="00A61369">
        <w:t>Purgatory</w:t>
      </w:r>
      <w:r w:rsidR="00593BBB">
        <w:t xml:space="preserve"> might lead some people to pray for their souls because they believe they have to, or have been asked to by someone, and not because they truly believe that what they are doing is honouring God. </w:t>
      </w:r>
      <w:r w:rsidR="00ED2EA5">
        <w:t xml:space="preserve">Dives and Pauper, from </w:t>
      </w:r>
      <w:r w:rsidR="002E137E">
        <w:t>whom</w:t>
      </w:r>
      <w:r w:rsidR="00ED2EA5">
        <w:t xml:space="preserve"> this quote originates, explain that God does </w:t>
      </w:r>
      <w:r w:rsidR="00E04C1F">
        <w:t>sometimes</w:t>
      </w:r>
      <w:r w:rsidR="00ED2EA5">
        <w:t xml:space="preserve"> allow </w:t>
      </w:r>
      <w:r w:rsidR="00AE512E">
        <w:t>souls</w:t>
      </w:r>
      <w:r w:rsidR="00ED2EA5">
        <w:t xml:space="preserve"> to visit earth once they are in </w:t>
      </w:r>
      <w:r w:rsidR="00A61369">
        <w:t>Purgatory</w:t>
      </w:r>
      <w:r w:rsidR="00ED2EA5">
        <w:t xml:space="preserve">, but only in rare circumstances. This might have had the effect of quelling any suggestions that one could control their soul’s journey through </w:t>
      </w:r>
      <w:r w:rsidR="00A61369">
        <w:t>Purgatory</w:t>
      </w:r>
      <w:r w:rsidR="00ED2EA5">
        <w:t xml:space="preserve"> from </w:t>
      </w:r>
      <w:r w:rsidR="00A61369">
        <w:t>Purgatory</w:t>
      </w:r>
      <w:r w:rsidR="00ED2EA5">
        <w:t xml:space="preserve"> itself.</w:t>
      </w:r>
      <w:r w:rsidR="00AE512E">
        <w:rPr>
          <w:rStyle w:val="FootnoteReference"/>
        </w:rPr>
        <w:footnoteReference w:id="14"/>
      </w:r>
      <w:r w:rsidR="00ED2EA5">
        <w:t xml:space="preserve"> </w:t>
      </w:r>
    </w:p>
    <w:p w:rsidR="00762C42" w:rsidRPr="00762C42" w:rsidRDefault="00762C42" w:rsidP="00E36187">
      <w:r>
        <w:t xml:space="preserve">A ghost story that reinforces this argument comes from Walter Map’s </w:t>
      </w:r>
      <w:r>
        <w:rPr>
          <w:i/>
        </w:rPr>
        <w:t xml:space="preserve">Courtiers’ Trifles, </w:t>
      </w:r>
      <w:r>
        <w:t>A collection of stories told to Map by various people of the court in the thirteenth century. In this story, a spirit appears to a knight and reveals himself to</w:t>
      </w:r>
      <w:r w:rsidR="002E137E">
        <w:t xml:space="preserve"> have been </w:t>
      </w:r>
      <w:r>
        <w:t>excommunicated for the “unrighteous withholding of tithes”</w:t>
      </w:r>
      <w:r>
        <w:rPr>
          <w:rStyle w:val="FootnoteReference"/>
        </w:rPr>
        <w:footnoteReference w:id="15"/>
      </w:r>
      <w:r>
        <w:t xml:space="preserve">. The spirit states that he has been allowed to return to ask for absolution, to have his sins purged. The local priest grants the spirit absolution and he </w:t>
      </w:r>
      <w:proofErr w:type="gramStart"/>
      <w:r w:rsidR="001C49C5">
        <w:t>returns</w:t>
      </w:r>
      <w:proofErr w:type="gramEnd"/>
      <w:r>
        <w:t xml:space="preserve"> to his grave.</w:t>
      </w:r>
      <w:r w:rsidR="001C49C5">
        <w:t xml:space="preserve"> This is another example of what Dives and Pauper would consider </w:t>
      </w:r>
      <w:r w:rsidR="00C458E6">
        <w:t>being</w:t>
      </w:r>
      <w:r w:rsidR="001C49C5">
        <w:t xml:space="preserve"> against God’s intention. If one </w:t>
      </w:r>
      <w:proofErr w:type="gramStart"/>
      <w:r w:rsidR="001C49C5">
        <w:t>is able to</w:t>
      </w:r>
      <w:proofErr w:type="gramEnd"/>
      <w:r w:rsidR="001C49C5">
        <w:t xml:space="preserve"> return and ask for absolution, then why try to be good and holy in life?  </w:t>
      </w:r>
    </w:p>
    <w:p w:rsidR="00AE512E" w:rsidRDefault="00AE512E" w:rsidP="00E36187">
      <w:r>
        <w:t xml:space="preserve">One must also consider the argument of whether the creation of ghost stories led to the creation of </w:t>
      </w:r>
      <w:r w:rsidR="00A61369">
        <w:t>Purgatory</w:t>
      </w:r>
      <w:r>
        <w:t xml:space="preserve"> or did </w:t>
      </w:r>
      <w:r w:rsidR="00A61369">
        <w:t>Purgatory</w:t>
      </w:r>
      <w:r>
        <w:t xml:space="preserve"> lead to an increase </w:t>
      </w:r>
      <w:r w:rsidR="00C458E6">
        <w:t>in</w:t>
      </w:r>
      <w:r>
        <w:t xml:space="preserve"> ghost stories? Certainly, when reading ghost stories that have been found in monastic orders, it seems like the creation of </w:t>
      </w:r>
      <w:r w:rsidR="00A61369">
        <w:t>Purgatory</w:t>
      </w:r>
      <w:r>
        <w:t xml:space="preserve"> led to an increase of ghost stories. </w:t>
      </w:r>
      <w:proofErr w:type="gramStart"/>
      <w:r>
        <w:t>Perhaps this</w:t>
      </w:r>
      <w:proofErr w:type="gramEnd"/>
      <w:r>
        <w:t xml:space="preserve"> was to convince people to the existence of </w:t>
      </w:r>
      <w:r w:rsidR="00A61369">
        <w:t>Purgatory</w:t>
      </w:r>
      <w:r>
        <w:t xml:space="preserve">, or even just to get people to think about what will happen to their soul once they die. However, I believe that the existence </w:t>
      </w:r>
      <w:r w:rsidR="00C458E6">
        <w:t xml:space="preserve">of </w:t>
      </w:r>
      <w:r>
        <w:t xml:space="preserve">ghost stories might have had a part to play in the existence of </w:t>
      </w:r>
      <w:r w:rsidR="00A61369">
        <w:t>Purgatory</w:t>
      </w:r>
      <w:r w:rsidR="004C11C4">
        <w:t xml:space="preserve">. The mere existence of ghosts leads one to imagine that there is some place that they </w:t>
      </w:r>
      <w:proofErr w:type="gramStart"/>
      <w:r w:rsidR="004C11C4">
        <w:t>reside</w:t>
      </w:r>
      <w:proofErr w:type="gramEnd"/>
      <w:r w:rsidR="00C458E6">
        <w:t xml:space="preserve"> in</w:t>
      </w:r>
      <w:r w:rsidR="004C11C4">
        <w:t xml:space="preserve">. Surely it must not be </w:t>
      </w:r>
      <w:r w:rsidR="00A61369">
        <w:t>Heaven</w:t>
      </w:r>
      <w:r w:rsidR="004C11C4">
        <w:t xml:space="preserve">, for why would </w:t>
      </w:r>
      <w:r w:rsidR="00652CDE">
        <w:t>O</w:t>
      </w:r>
      <w:r w:rsidR="004C11C4">
        <w:t>ne leave the kingdom of God</w:t>
      </w:r>
      <w:r w:rsidR="00025D81">
        <w:t xml:space="preserve">? Apparitions of saints did not leave </w:t>
      </w:r>
      <w:r w:rsidR="00A61369">
        <w:lastRenderedPageBreak/>
        <w:t>Heaven</w:t>
      </w:r>
      <w:r w:rsidR="00025D81">
        <w:t xml:space="preserve">, but appeared most often in dreams, and visions. Ghosts however, are often found in perfectly normal everyday scenarios, as was the case with Paschasius, who appeared in the bathhouse. This then must mean that there was some </w:t>
      </w:r>
      <w:r w:rsidR="000C3C6E">
        <w:t>third</w:t>
      </w:r>
      <w:r w:rsidR="00025D81">
        <w:t xml:space="preserve"> place that only spirits who had not yet entered </w:t>
      </w:r>
      <w:r w:rsidR="00A61369">
        <w:t>Heaven</w:t>
      </w:r>
      <w:r w:rsidR="00025D81">
        <w:t xml:space="preserve"> </w:t>
      </w:r>
      <w:r w:rsidR="000C3C6E">
        <w:t xml:space="preserve">or </w:t>
      </w:r>
      <w:r w:rsidR="00A61369">
        <w:t>Hell</w:t>
      </w:r>
      <w:r w:rsidR="000C3C6E">
        <w:t xml:space="preserve"> </w:t>
      </w:r>
      <w:proofErr w:type="gramStart"/>
      <w:r w:rsidR="00025D81">
        <w:t>resided</w:t>
      </w:r>
      <w:proofErr w:type="gramEnd"/>
      <w:r w:rsidR="00025D81">
        <w:t>.</w:t>
      </w:r>
      <w:r w:rsidR="004C11C4">
        <w:t xml:space="preserve"> </w:t>
      </w:r>
    </w:p>
    <w:p w:rsidR="00943F26" w:rsidRDefault="00943F26" w:rsidP="00E36187"/>
    <w:p w:rsidR="00943F26" w:rsidRPr="00943F26" w:rsidRDefault="00943F26" w:rsidP="00943F26">
      <w:pPr>
        <w:jc w:val="center"/>
        <w:rPr>
          <w:u w:val="single"/>
        </w:rPr>
      </w:pPr>
      <w:r w:rsidRPr="00943F26">
        <w:rPr>
          <w:i/>
          <w:u w:val="single"/>
        </w:rPr>
        <w:t>Mirabilia</w:t>
      </w:r>
    </w:p>
    <w:p w:rsidR="00DB46F0" w:rsidRDefault="007F0A71" w:rsidP="00E36187">
      <w:r>
        <w:t xml:space="preserve">Of course, imparting lessons and gaining a quick journey through </w:t>
      </w:r>
      <w:r w:rsidR="00A61369">
        <w:t>Purgatory</w:t>
      </w:r>
      <w:r>
        <w:t xml:space="preserve"> are not the only use of ghost stories. Ghost stories, as in modern times</w:t>
      </w:r>
      <w:r w:rsidR="00242D10">
        <w:t>,</w:t>
      </w:r>
      <w:r>
        <w:t xml:space="preserve"> were used to impart a sense of the unknown, and to make people wonder in amazement at the world that God had created</w:t>
      </w:r>
      <w:r w:rsidR="00805E53">
        <w:t>.</w:t>
      </w:r>
      <w:r w:rsidR="008B45E3">
        <w:t xml:space="preserve"> This increase of ghost stories as marvels or </w:t>
      </w:r>
      <w:r w:rsidR="008B45E3">
        <w:rPr>
          <w:i/>
        </w:rPr>
        <w:t>Mirabilia</w:t>
      </w:r>
      <w:r w:rsidR="008B45E3">
        <w:rPr>
          <w:rStyle w:val="FootnoteReference"/>
          <w:i/>
        </w:rPr>
        <w:footnoteReference w:id="16"/>
      </w:r>
      <w:r w:rsidR="008B45E3">
        <w:t xml:space="preserve"> arose as a result of </w:t>
      </w:r>
      <w:r w:rsidR="00242D10">
        <w:t xml:space="preserve">the </w:t>
      </w:r>
      <w:r w:rsidR="008B45E3">
        <w:t>emergence of the powerful monarchies that arose in the twelfth century.</w:t>
      </w:r>
      <w:r w:rsidR="008B45E3">
        <w:rPr>
          <w:rStyle w:val="FootnoteReference"/>
        </w:rPr>
        <w:footnoteReference w:id="17"/>
      </w:r>
      <w:r w:rsidR="008B45E3">
        <w:t xml:space="preserve"> The monarchs were patrons of the ‘court clerics’ who would collect thought</w:t>
      </w:r>
      <w:r w:rsidR="00A61369">
        <w:t>-</w:t>
      </w:r>
      <w:r w:rsidR="008B45E3">
        <w:t xml:space="preserve">provoking stories and tales of the unknown to provide a sense of wonder and something to talk about with the royal guests. While not the </w:t>
      </w:r>
      <w:proofErr w:type="gramStart"/>
      <w:r w:rsidR="008B45E3">
        <w:t>main focus</w:t>
      </w:r>
      <w:proofErr w:type="gramEnd"/>
      <w:r w:rsidR="008B45E3">
        <w:t xml:space="preserve">, ghost stories emerged as a popular theme in these collections. </w:t>
      </w:r>
    </w:p>
    <w:p w:rsidR="00DB46F0" w:rsidRDefault="008B45E3" w:rsidP="00E36187">
      <w:r>
        <w:t xml:space="preserve">One example comes from </w:t>
      </w:r>
      <w:r w:rsidR="00F85AAB">
        <w:t xml:space="preserve"> </w:t>
      </w:r>
      <w:r w:rsidR="004B329D">
        <w:t xml:space="preserve">the writings of William of Malmesbury, </w:t>
      </w:r>
      <w:r w:rsidR="0004497F">
        <w:t>a historian from the eleventh century. He recalls a tale of a woman “was accustomed to wickedness and to the practice of ancient methods of augury and soothsaying.”</w:t>
      </w:r>
      <w:r w:rsidR="0004497F">
        <w:rPr>
          <w:rStyle w:val="FootnoteReference"/>
        </w:rPr>
        <w:footnoteReference w:id="18"/>
      </w:r>
      <w:r>
        <w:t xml:space="preserve"> </w:t>
      </w:r>
      <w:r w:rsidR="0004497F">
        <w:t>This woman wishes to cast aside her evil ways after hearing the news of the death of her son. Upon her death she makes the following request for her body: “sew me up in the hide of a deer, and then place me face upwards in a stone sarcophagus, the lid sealed with lead and iron. Bind the stone with three heavy iron chains, and let there be fifty psalms sun each night, and masses said each day to lessen the ferocious attacks of my enemies.”</w:t>
      </w:r>
      <w:r w:rsidR="0004497F">
        <w:rPr>
          <w:rStyle w:val="FootnoteReference"/>
        </w:rPr>
        <w:footnoteReference w:id="19"/>
      </w:r>
      <w:r w:rsidR="0004497F">
        <w:t xml:space="preserve"> Her children fulfil the witches’ wishes, however she is ultimately attacked by demons and torn from her sarcophagus and carried off by said demons. This story is one that would have fascinated the people of the king’s court. A woman giving up her evil ways and </w:t>
      </w:r>
      <w:proofErr w:type="gramStart"/>
      <w:r w:rsidR="0004497F">
        <w:t>attempting</w:t>
      </w:r>
      <w:proofErr w:type="gramEnd"/>
      <w:r w:rsidR="0004497F">
        <w:t xml:space="preserve"> to salvage her soul and be sent to </w:t>
      </w:r>
      <w:r w:rsidR="00A61369">
        <w:t>Heaven</w:t>
      </w:r>
      <w:r w:rsidR="0004497F">
        <w:t>. Although the demons do not get a description, one can assume that there was a cultural understanding of how terrifying and horrible the demons looked. One is described as “larger and more terrible than the others”</w:t>
      </w:r>
      <w:r w:rsidR="0004497F">
        <w:rPr>
          <w:rStyle w:val="FootnoteReference"/>
        </w:rPr>
        <w:footnoteReference w:id="20"/>
      </w:r>
      <w:r w:rsidR="0004497F">
        <w:t xml:space="preserve"> and causes priests to “[stand] rigid with dread, ‘hair on end and voices stopped in their throats’</w:t>
      </w:r>
      <w:r w:rsidR="0061146A">
        <w:t>.</w:t>
      </w:r>
      <w:r w:rsidR="0004497F">
        <w:t>”</w:t>
      </w:r>
      <w:r w:rsidR="0004497F">
        <w:rPr>
          <w:rStyle w:val="FootnoteReference"/>
        </w:rPr>
        <w:footnoteReference w:id="21"/>
      </w:r>
      <w:r w:rsidR="0061146A">
        <w:t xml:space="preserve"> </w:t>
      </w:r>
    </w:p>
    <w:p w:rsidR="00071702" w:rsidRDefault="0061146A" w:rsidP="00E36187">
      <w:r>
        <w:t>Th</w:t>
      </w:r>
      <w:r w:rsidR="00DB46F0">
        <w:t>e</w:t>
      </w:r>
      <w:r>
        <w:t xml:space="preserve"> story</w:t>
      </w:r>
      <w:r w:rsidR="00DB46F0">
        <w:t xml:space="preserve"> of the Witch of </w:t>
      </w:r>
      <w:proofErr w:type="spellStart"/>
      <w:r w:rsidR="00DB46F0">
        <w:t>Berkely</w:t>
      </w:r>
      <w:proofErr w:type="spellEnd"/>
      <w:r>
        <w:t xml:space="preserve"> gives us an insight into the minds of the members of the king’s courts and the beliefs they held. Firstly, witches </w:t>
      </w:r>
      <w:proofErr w:type="gramStart"/>
      <w:r>
        <w:t>were considered to be</w:t>
      </w:r>
      <w:proofErr w:type="gramEnd"/>
      <w:r>
        <w:t xml:space="preserve"> “pagans doing the Devil’s work</w:t>
      </w:r>
      <w:r w:rsidR="00FB2B8A">
        <w:t>.”</w:t>
      </w:r>
      <w:r w:rsidR="00FB2B8A">
        <w:rPr>
          <w:rStyle w:val="FootnoteReference"/>
        </w:rPr>
        <w:footnoteReference w:id="22"/>
      </w:r>
      <w:r>
        <w:t xml:space="preserve"> </w:t>
      </w:r>
      <w:r w:rsidR="009A6298">
        <w:t>So there was obviously a prejudice there from the early days of Christianity. The Devil was one to be feared, so many people hearing the story would be frightened to hear that a woman was working with the  devil. There are many fantasy elements that someone could engage with and that might encourage conversation about what might happen if they existed in the real world. Not only the demons and devils, but the thought of soothsaying, the gift of prophecy, and augury, the interpretation of evil signs.</w:t>
      </w:r>
      <w:r w:rsidR="00DB46F0">
        <w:t xml:space="preserve"> </w:t>
      </w:r>
      <w:proofErr w:type="gramStart"/>
      <w:r w:rsidR="00DB46F0">
        <w:t>Perhaps the</w:t>
      </w:r>
      <w:proofErr w:type="gramEnd"/>
      <w:r w:rsidR="00DB46F0">
        <w:t xml:space="preserve"> most </w:t>
      </w:r>
      <w:r w:rsidR="00071702">
        <w:t>thought-provoking</w:t>
      </w:r>
      <w:r w:rsidR="00DB46F0">
        <w:t xml:space="preserve"> </w:t>
      </w:r>
      <w:r w:rsidR="00071702">
        <w:t xml:space="preserve">aspect of the story is the demons. Demons were there to “tempt humans away from God and have them die in an unrepentant </w:t>
      </w:r>
      <w:r w:rsidR="00071702">
        <w:lastRenderedPageBreak/>
        <w:t>state.”</w:t>
      </w:r>
      <w:r w:rsidR="00071702">
        <w:rPr>
          <w:rStyle w:val="FootnoteReference"/>
        </w:rPr>
        <w:footnoteReference w:id="23"/>
      </w:r>
      <w:r w:rsidR="00071702">
        <w:t xml:space="preserve"> As previously discussed, dying in an unrepentant state meant that you would not go to </w:t>
      </w:r>
      <w:r w:rsidR="00A61369">
        <w:t>Purgatory</w:t>
      </w:r>
      <w:r w:rsidR="00071702">
        <w:t xml:space="preserve"> after you die, and therefore would not get to one day enter the Kingdom of </w:t>
      </w:r>
      <w:r w:rsidR="00A61369">
        <w:t>Heaven</w:t>
      </w:r>
      <w:r w:rsidR="00071702">
        <w:t xml:space="preserve">. This might have served as a reminder to the people of the court not to be tempted by their own demons and to live a holy life, so they do not suffer the same fate as the Witch.  </w:t>
      </w:r>
    </w:p>
    <w:p w:rsidR="00DB46F0" w:rsidRPr="00242D10" w:rsidRDefault="00DB46F0" w:rsidP="00E36187">
      <w:r>
        <w:t xml:space="preserve">Throughout the middle ages, where Christianity was the most important religion, and one was to believe everything the church presented as fact, such evilness as witches were something to be feared. But that fear brings with it wonder and amazement and a factor of ‘what if?’ </w:t>
      </w:r>
      <w:r w:rsidR="00242D10">
        <w:t xml:space="preserve">This factor presents the most important factor of </w:t>
      </w:r>
      <w:r w:rsidR="00242D10">
        <w:rPr>
          <w:i/>
        </w:rPr>
        <w:t>Mirabilia</w:t>
      </w:r>
      <w:r w:rsidR="00242D10">
        <w:t xml:space="preserve">. Stories presented as a philosophical exercise that got the reader or listener to think about what Christianity means to them. </w:t>
      </w:r>
    </w:p>
    <w:p w:rsidR="008C5C32" w:rsidRDefault="008C5C32" w:rsidP="00E36187">
      <w:r>
        <w:t xml:space="preserve">In his book </w:t>
      </w:r>
      <w:r>
        <w:rPr>
          <w:i/>
        </w:rPr>
        <w:t xml:space="preserve">De </w:t>
      </w:r>
      <w:proofErr w:type="spellStart"/>
      <w:r>
        <w:rPr>
          <w:i/>
        </w:rPr>
        <w:t>Nugis</w:t>
      </w:r>
      <w:proofErr w:type="spellEnd"/>
      <w:r>
        <w:rPr>
          <w:i/>
        </w:rPr>
        <w:t xml:space="preserve"> </w:t>
      </w:r>
      <w:proofErr w:type="spellStart"/>
      <w:r>
        <w:rPr>
          <w:i/>
        </w:rPr>
        <w:t>Curialium</w:t>
      </w:r>
      <w:proofErr w:type="spellEnd"/>
      <w:r>
        <w:t xml:space="preserve">, Walter Map makes the distinction that demons </w:t>
      </w:r>
      <w:proofErr w:type="gramStart"/>
      <w:r>
        <w:t>are able to</w:t>
      </w:r>
      <w:proofErr w:type="gramEnd"/>
      <w:r>
        <w:t xml:space="preserve"> take on the form of people or “Phantoms” and are able to walk on the earth under the direct </w:t>
      </w:r>
      <w:r w:rsidR="0086516E">
        <w:t>permission</w:t>
      </w:r>
      <w:r>
        <w:t xml:space="preserve"> of God. Map states that “</w:t>
      </w:r>
      <w:r w:rsidR="0086516E">
        <w:t>He who permits the appearance of phantoms either pretexts the observers or abandons them and thus allows them to be tempted. Again, to a member of the Kings court, who would be hearing these stories, this would serve as a reminder that God is almighty and powerful. It would also remind them not to stray from God’s light, and to remember their Christian faith. Stories such as the Witch, where someone has been tricked into trusting the demons and have strayed away from God’s light, might encourage the listener to emphasise with the witch, to think “What if I were presented with a demon?”</w:t>
      </w:r>
      <w:r w:rsidR="0034620C">
        <w:t xml:space="preserve"> </w:t>
      </w:r>
      <w:proofErr w:type="gramStart"/>
      <w:r w:rsidR="0034620C">
        <w:t>Perhaps in</w:t>
      </w:r>
      <w:proofErr w:type="gramEnd"/>
      <w:r w:rsidR="0034620C">
        <w:t xml:space="preserve"> our ghost stories, the spirits that return from the dead are demons under the disguise of a </w:t>
      </w:r>
      <w:r w:rsidR="00902AE9">
        <w:t>phantom?</w:t>
      </w:r>
    </w:p>
    <w:p w:rsidR="00943F26" w:rsidRPr="00943F26" w:rsidRDefault="00943F26" w:rsidP="00943F26">
      <w:pPr>
        <w:jc w:val="center"/>
        <w:rPr>
          <w:u w:val="single"/>
        </w:rPr>
      </w:pPr>
      <w:r w:rsidRPr="00943F26">
        <w:rPr>
          <w:i/>
          <w:u w:val="single"/>
        </w:rPr>
        <w:t>Vivi ex Mortuis</w:t>
      </w:r>
    </w:p>
    <w:p w:rsidR="00902AE9" w:rsidRDefault="00943F26" w:rsidP="00E36187">
      <w:r>
        <w:t xml:space="preserve">Imparting wisdom and lessons and making one wonder in amazement at the weird is a perfectly acceptable use of ghost stories, </w:t>
      </w:r>
      <w:proofErr w:type="spellStart"/>
      <w:r>
        <w:t>however</w:t>
      </w:r>
      <w:proofErr w:type="spellEnd"/>
      <w:r>
        <w:t xml:space="preserve"> there is another use for them.</w:t>
      </w:r>
      <w:r w:rsidR="00902AE9">
        <w:t xml:space="preserve"> These are the stories that were primarily destined to scare people. Stories that one might tell around a fire on a dark night. </w:t>
      </w:r>
      <w:r w:rsidR="00AA70DA">
        <w:t>Many of these stories originate in Iceland, where an influential character in ghost stories is the</w:t>
      </w:r>
      <w:r w:rsidR="00AA70DA">
        <w:rPr>
          <w:i/>
        </w:rPr>
        <w:t xml:space="preserve"> draugr</w:t>
      </w:r>
      <w:r w:rsidR="00AA70DA">
        <w:t xml:space="preserve">. </w:t>
      </w:r>
      <w:r w:rsidR="00F5635B">
        <w:t>A corpse that has been raised back to life by a supernatural cause. Often, these draugr are the foe that the hero of the story must vanquish to achieve peace in a village or get rich from the treasure the draugr hordes. One example of this comes from the fourteenth century, in which an unlikely hero, Grettir Asmundsson, described as “lazy, quick to anger, and a murderer.”</w:t>
      </w:r>
      <w:r w:rsidR="00F5635B">
        <w:rPr>
          <w:rStyle w:val="FootnoteReference"/>
        </w:rPr>
        <w:footnoteReference w:id="24"/>
      </w:r>
      <w:r w:rsidR="00AA70DA">
        <w:t xml:space="preserve"> </w:t>
      </w:r>
      <w:r w:rsidR="00F5635B">
        <w:t>A series of tales about Grettir, the Grettis Saga,</w:t>
      </w:r>
      <w:r w:rsidR="00F5635B">
        <w:rPr>
          <w:rStyle w:val="FootnoteReference"/>
        </w:rPr>
        <w:footnoteReference w:id="25"/>
      </w:r>
      <w:r w:rsidR="00F5635B">
        <w:t xml:space="preserve"> describes his encounters with draugr. Grettir rises to fame after vanquishing Kar the Old, a draugr that exists in a tomb underground, as draugr often do in these stories. Grettir attempts to escape the tomb with Kar’s treasure, but is quickly stopped by the corpse. A battle ensues and Kar is slain. Grettir then becomes the village’s saviour and goes on adventures slaying draugr, removing their heads and burning the corpses.</w:t>
      </w:r>
      <w:r w:rsidR="00F7793C">
        <w:rPr>
          <w:rStyle w:val="FootnoteReference"/>
        </w:rPr>
        <w:footnoteReference w:id="26"/>
      </w:r>
      <w:r w:rsidR="00F5635B">
        <w:t xml:space="preserve"> </w:t>
      </w:r>
    </w:p>
    <w:p w:rsidR="009B6894" w:rsidRDefault="009B6894" w:rsidP="00E36187">
      <w:r>
        <w:t xml:space="preserve">In comparison to the adventures of Grettir Asmundsson, we have the tale of </w:t>
      </w:r>
      <w:r w:rsidR="00F7793C">
        <w:t xml:space="preserve">The Buckinghamshire Ghost. This tale from the book </w:t>
      </w:r>
      <w:r w:rsidR="00F7793C">
        <w:rPr>
          <w:i/>
        </w:rPr>
        <w:t>Historia Rerum Anglicarum</w:t>
      </w:r>
      <w:r w:rsidR="00F7793C">
        <w:t xml:space="preserve"> written by William of Newburgh in the twelfth century features a man who passes away and is buried for death in the usual Christian fashion of being buried in a grave with full customary rites. However, once his wife prepares for bed, her husband walks into the room and lies next to her. This continues and eventually she </w:t>
      </w:r>
      <w:proofErr w:type="gramStart"/>
      <w:r w:rsidR="00F7793C">
        <w:t>has to</w:t>
      </w:r>
      <w:proofErr w:type="gramEnd"/>
      <w:r w:rsidR="00F7793C">
        <w:t xml:space="preserve"> get some friends to watch her room while she sleeps</w:t>
      </w:r>
      <w:r w:rsidR="007465BD">
        <w:t>,</w:t>
      </w:r>
      <w:r w:rsidR="00F7793C">
        <w:t xml:space="preserve"> to ward the husband off. The husband however starts haunting her friends’ rooms. This continues until eventually the ghost is haunting everyone in </w:t>
      </w:r>
      <w:r w:rsidR="00F7793C">
        <w:lastRenderedPageBreak/>
        <w:t xml:space="preserve">the village. Rightfully scared, the villagers go to the local </w:t>
      </w:r>
      <w:r w:rsidR="00A61369">
        <w:t>Bishop</w:t>
      </w:r>
      <w:r w:rsidR="00F7793C">
        <w:t xml:space="preserve"> and asking him to dig up and cremate the body. The </w:t>
      </w:r>
      <w:r w:rsidR="00A61369">
        <w:t>Bishop</w:t>
      </w:r>
      <w:r w:rsidR="00F7793C">
        <w:t xml:space="preserve"> says no and places a scroll of absolution in the grave instead. The </w:t>
      </w:r>
      <w:r w:rsidR="00A61369">
        <w:t>Bishop</w:t>
      </w:r>
      <w:r w:rsidR="00F7793C">
        <w:t xml:space="preserve"> refuses to cremate the body on the grounds that he believes that that would be unseemly and sacrilegious.</w:t>
      </w:r>
      <w:r w:rsidR="00F7793C">
        <w:rPr>
          <w:rStyle w:val="FootnoteReference"/>
        </w:rPr>
        <w:footnoteReference w:id="27"/>
      </w:r>
      <w:r w:rsidR="00F7793C">
        <w:t xml:space="preserve"> Comparing this story to the adventures of Grettir, in which he is nonplussed about removing the head of the draugr and burning the body shows a difference in culture. It is likely that Grettir practiced a different faith, or </w:t>
      </w:r>
      <w:proofErr w:type="gramStart"/>
      <w:r w:rsidR="00F7793C">
        <w:t>none at all</w:t>
      </w:r>
      <w:proofErr w:type="gramEnd"/>
      <w:r w:rsidR="00F7793C">
        <w:t xml:space="preserve">, because the Christian faith believes that the body will one day be resurrected on the </w:t>
      </w:r>
      <w:r w:rsidR="00A05885">
        <w:t xml:space="preserve">Last Judgement </w:t>
      </w:r>
      <w:r w:rsidR="00F7793C">
        <w:t>and the soul will be returned to the body.</w:t>
      </w:r>
      <w:r w:rsidR="003B0E0A">
        <w:rPr>
          <w:rStyle w:val="FootnoteReference"/>
        </w:rPr>
        <w:footnoteReference w:id="28"/>
      </w:r>
      <w:r w:rsidR="00F7793C">
        <w:t xml:space="preserve"> If there is no body, then the soul cannot return to this earth. </w:t>
      </w:r>
    </w:p>
    <w:p w:rsidR="00B34EC8" w:rsidRDefault="00C50230" w:rsidP="00E36187">
      <w:r>
        <w:t xml:space="preserve">It is difficult to examine the effect that these living dead stories might have had on people’s views on </w:t>
      </w:r>
      <w:r w:rsidR="00A61369">
        <w:t>Purgatory</w:t>
      </w:r>
      <w:r>
        <w:t xml:space="preserve">. In a way it must be up to the reader to decide what the stories meant to themselves. I </w:t>
      </w:r>
      <w:r w:rsidR="00A05885">
        <w:t>believe</w:t>
      </w:r>
      <w:r>
        <w:t xml:space="preserve"> that someone learning about </w:t>
      </w:r>
      <w:r w:rsidR="00A61369">
        <w:t>Purgatory</w:t>
      </w:r>
      <w:r>
        <w:t xml:space="preserve"> might have had a difficult time processing these stories as they go against what they have learnt. </w:t>
      </w:r>
      <w:r w:rsidR="00A05885">
        <w:t>T</w:t>
      </w:r>
      <w:r>
        <w:t xml:space="preserve">he body does not go to </w:t>
      </w:r>
      <w:r w:rsidR="00A61369">
        <w:t>Purgatory</w:t>
      </w:r>
      <w:r>
        <w:t xml:space="preserve">, instead it </w:t>
      </w:r>
      <w:proofErr w:type="gramStart"/>
      <w:r>
        <w:t>remains</w:t>
      </w:r>
      <w:proofErr w:type="gramEnd"/>
      <w:r>
        <w:t xml:space="preserve"> in the ground, and </w:t>
      </w:r>
      <w:r w:rsidR="00A05885">
        <w:t xml:space="preserve">in these stories </w:t>
      </w:r>
      <w:r>
        <w:t xml:space="preserve">a visage of the body, or sometimes the body itself </w:t>
      </w:r>
      <w:r w:rsidR="00A05885">
        <w:t>reanimates and comes</w:t>
      </w:r>
      <w:r>
        <w:t xml:space="preserve"> out of the ground. </w:t>
      </w:r>
      <w:r w:rsidR="00A05885">
        <w:t xml:space="preserve">One might link this event to the Last Judgement, where your soul is judged and you are sent to Heaven or </w:t>
      </w:r>
      <w:r w:rsidR="00A61369">
        <w:t>Hell</w:t>
      </w:r>
      <w:r w:rsidR="00A05885">
        <w:t xml:space="preserve">, however only one person is being resurrected. </w:t>
      </w:r>
      <w:r>
        <w:t>If one looks at Christian beliefs, possession of the body by demons might seem like a fitting explanation for why they have suddenly woken. The bible states: “</w:t>
      </w:r>
      <w:r w:rsidRPr="00C50230">
        <w:t>for the living know that they will die; but the dead know nothing… their love, their hatred, and their envy have now perished</w:t>
      </w:r>
      <w:r>
        <w:t>.”</w:t>
      </w:r>
      <w:r>
        <w:rPr>
          <w:rStyle w:val="FootnoteReference"/>
        </w:rPr>
        <w:footnoteReference w:id="29"/>
      </w:r>
      <w:r>
        <w:t xml:space="preserve"> We can interpret this as the body going into a catatonic state to await the souls return upon the </w:t>
      </w:r>
      <w:r w:rsidR="002C2C7F">
        <w:t>Last Judgement</w:t>
      </w:r>
      <w:r>
        <w:t xml:space="preserve">. </w:t>
      </w:r>
      <w:r w:rsidR="006B1A1E">
        <w:t>This separation of the body and the soul can also be seen in the following passage: “</w:t>
      </w:r>
      <w:r w:rsidR="006B1A1E" w:rsidRPr="006B1A1E">
        <w:t>The dust returns to the ground it came from, and the spirit returns to God who gave it</w:t>
      </w:r>
      <w:r w:rsidR="006B1A1E">
        <w:t>”</w:t>
      </w:r>
      <w:r w:rsidR="006B1A1E">
        <w:rPr>
          <w:rStyle w:val="FootnoteReference"/>
        </w:rPr>
        <w:footnoteReference w:id="30"/>
      </w:r>
      <w:r w:rsidR="00E14CF7">
        <w:t xml:space="preserve"> </w:t>
      </w:r>
      <w:r w:rsidR="002C2C7F">
        <w:t xml:space="preserve">With these two passages, we can infer that the soul and the body are separate, and therefore upon death, when the soul leaves the body, it is possible for a demon to inhabit the now empty space. This information would have increased the fear of demons that Christians </w:t>
      </w:r>
      <w:proofErr w:type="gramStart"/>
      <w:r w:rsidR="002C2C7F">
        <w:t>possess</w:t>
      </w:r>
      <w:proofErr w:type="gramEnd"/>
      <w:r w:rsidR="002C2C7F">
        <w:t xml:space="preserve">, and increase the belief that God is testing them by attempting to tempt them to the Devil by using people that they know. Surely then, it would have increased God’s love for the person if they fought the temptation and said no to the demons.  </w:t>
      </w:r>
    </w:p>
    <w:p w:rsidR="00C50230" w:rsidRDefault="00B34EC8" w:rsidP="00E36187">
      <w:r>
        <w:t xml:space="preserve">In conclusion, all three types of ghost stories </w:t>
      </w:r>
      <w:proofErr w:type="gramStart"/>
      <w:r>
        <w:t>have an effect on</w:t>
      </w:r>
      <w:proofErr w:type="gramEnd"/>
      <w:r>
        <w:t xml:space="preserve"> the living, whether it be one of wonder and amazement or one of fright and horror. Aside from these effects, all three lead one to think about </w:t>
      </w:r>
      <w:r w:rsidR="00A61369">
        <w:t>Purgatory</w:t>
      </w:r>
      <w:r>
        <w:t xml:space="preserve"> and what ghosts coming back to earth and haunting the living means for it. It is possible to return and ask for </w:t>
      </w:r>
      <w:r w:rsidR="00043CA2">
        <w:t>penance. I</w:t>
      </w:r>
      <w:r>
        <w:t xml:space="preserve">t is possible to return and haunt the ones who </w:t>
      </w:r>
      <w:proofErr w:type="gramStart"/>
      <w:r>
        <w:t>perhaps did</w:t>
      </w:r>
      <w:proofErr w:type="gramEnd"/>
      <w:r>
        <w:t xml:space="preserve"> not treat you so nicely in your life. </w:t>
      </w:r>
      <w:r w:rsidR="00043CA2">
        <w:t xml:space="preserve">But the most important thing that one should take from the ghost stories is that you should be preparing for your death, because even if God does allow you visitation to earth from </w:t>
      </w:r>
      <w:r w:rsidR="00A61369">
        <w:t>Purgatory</w:t>
      </w:r>
      <w:r w:rsidR="00043CA2">
        <w:t>, it is not guaranteed, and those you ask for penance might not give it to you if you were a sinful person in your life.</w:t>
      </w:r>
      <w:r w:rsidR="00AC6F5A">
        <w:t xml:space="preserve"> </w:t>
      </w:r>
    </w:p>
    <w:p w:rsidR="007E1207" w:rsidRDefault="007E1207" w:rsidP="00E36187"/>
    <w:p w:rsidR="007E1207" w:rsidRDefault="007E1207" w:rsidP="00E36187"/>
    <w:p w:rsidR="007E1207" w:rsidRDefault="007E1207" w:rsidP="00E36187"/>
    <w:p w:rsidR="007E1207" w:rsidRDefault="007E1207" w:rsidP="00E36187"/>
    <w:p w:rsidR="005F0B86" w:rsidRPr="00943F26" w:rsidRDefault="005F0B86" w:rsidP="00447F89">
      <w:pPr>
        <w:jc w:val="center"/>
        <w:rPr>
          <w:u w:val="single"/>
        </w:rPr>
      </w:pPr>
      <w:bookmarkStart w:id="0" w:name="_GoBack"/>
      <w:bookmarkEnd w:id="0"/>
      <w:r w:rsidRPr="00943F26">
        <w:rPr>
          <w:u w:val="single"/>
        </w:rPr>
        <w:lastRenderedPageBreak/>
        <w:t>Bibliography</w:t>
      </w:r>
    </w:p>
    <w:p w:rsidR="007E1207" w:rsidRPr="007E1207" w:rsidRDefault="007E1207" w:rsidP="007E1207">
      <w:r>
        <w:t>“</w:t>
      </w:r>
      <w:r w:rsidRPr="007E1207">
        <w:t xml:space="preserve">Afterlife - </w:t>
      </w:r>
      <w:proofErr w:type="spellStart"/>
      <w:r w:rsidRPr="007E1207">
        <w:t>Novaroma</w:t>
      </w:r>
      <w:proofErr w:type="spellEnd"/>
      <w:r w:rsidRPr="007E1207">
        <w:t>", </w:t>
      </w:r>
      <w:r w:rsidRPr="007E1207">
        <w:rPr>
          <w:i/>
          <w:iCs/>
        </w:rPr>
        <w:t>Novaroma.Org</w:t>
      </w:r>
      <w:r w:rsidRPr="007E1207">
        <w:t>, 2009 &lt;http://www.novaroma.org/nr/Afterlife&gt; [Accessed 19 April 2019].</w:t>
      </w:r>
    </w:p>
    <w:p w:rsidR="007E1207" w:rsidRPr="007E1207" w:rsidRDefault="007E1207" w:rsidP="007E1207">
      <w:r w:rsidRPr="007E1207">
        <w:t>Bible (Ecclesiastes 9:5 &amp; 12:7</w:t>
      </w:r>
      <w:r w:rsidR="001D7BFA">
        <w:t>, and Job 4:15</w:t>
      </w:r>
      <w:r w:rsidRPr="007E1207">
        <w:t>)</w:t>
      </w:r>
    </w:p>
    <w:p w:rsidR="007E1207" w:rsidRPr="007E1207" w:rsidRDefault="007E1207" w:rsidP="007E1207">
      <w:r w:rsidRPr="007E1207">
        <w:t xml:space="preserve">Brubaker, Leslie, "Byzantine Visions </w:t>
      </w:r>
      <w:proofErr w:type="gramStart"/>
      <w:r w:rsidRPr="007E1207">
        <w:t>Of</w:t>
      </w:r>
      <w:proofErr w:type="gramEnd"/>
      <w:r w:rsidRPr="007E1207">
        <w:t xml:space="preserve"> The End", </w:t>
      </w:r>
      <w:r w:rsidRPr="007E1207">
        <w:rPr>
          <w:i/>
          <w:iCs/>
        </w:rPr>
        <w:t>Studies In Church History</w:t>
      </w:r>
      <w:r w:rsidRPr="007E1207">
        <w:t>, 45 (2009), 97-119 &lt;https://doi.org/10.1017/s042420840000245x&gt;</w:t>
      </w:r>
    </w:p>
    <w:p w:rsidR="007E1207" w:rsidRPr="007E1207" w:rsidRDefault="007E1207" w:rsidP="007E1207">
      <w:r w:rsidRPr="007E1207">
        <w:t xml:space="preserve">Dal Santo, Matthew J., "Philosophy, Hagiology </w:t>
      </w:r>
      <w:proofErr w:type="gramStart"/>
      <w:r w:rsidRPr="007E1207">
        <w:t>And</w:t>
      </w:r>
      <w:proofErr w:type="gramEnd"/>
      <w:r w:rsidRPr="007E1207">
        <w:t xml:space="preserve"> The Early Byzantine Origins Of Purgatory", </w:t>
      </w:r>
      <w:r w:rsidRPr="007E1207">
        <w:rPr>
          <w:i/>
          <w:iCs/>
        </w:rPr>
        <w:t>Studies In Church History</w:t>
      </w:r>
      <w:r w:rsidRPr="007E1207">
        <w:t>, 45 (2009), 41-51 &lt;https://doi.org/10.1017/s0424208400002400&gt;</w:t>
      </w:r>
    </w:p>
    <w:p w:rsidR="007E1207" w:rsidRPr="007E1207" w:rsidRDefault="007E1207" w:rsidP="007E1207">
      <w:r>
        <w:t>“</w:t>
      </w:r>
      <w:proofErr w:type="spellStart"/>
      <w:r w:rsidRPr="007E1207">
        <w:t>Denzinger</w:t>
      </w:r>
      <w:proofErr w:type="spellEnd"/>
      <w:r w:rsidRPr="007E1207">
        <w:t xml:space="preserve"> EN 824", </w:t>
      </w:r>
      <w:r w:rsidRPr="007E1207">
        <w:rPr>
          <w:i/>
          <w:iCs/>
        </w:rPr>
        <w:t>Clerus.Org</w:t>
      </w:r>
      <w:r w:rsidRPr="007E1207">
        <w:t>&lt;http://www.clerus.org/bibliaclerusonline/en/dw0.htm&gt; [Accessed 24 April 2019]</w:t>
      </w:r>
    </w:p>
    <w:p w:rsidR="007E1207" w:rsidRPr="007E1207" w:rsidRDefault="007E1207" w:rsidP="007E1207">
      <w:r w:rsidRPr="007E1207">
        <w:t>Foot, Sarah, "Anglo-Saxon ‘Purgatory’", </w:t>
      </w:r>
      <w:r w:rsidRPr="007E1207">
        <w:rPr>
          <w:i/>
          <w:iCs/>
        </w:rPr>
        <w:t xml:space="preserve">Studies </w:t>
      </w:r>
      <w:proofErr w:type="gramStart"/>
      <w:r w:rsidRPr="007E1207">
        <w:rPr>
          <w:i/>
          <w:iCs/>
        </w:rPr>
        <w:t>In</w:t>
      </w:r>
      <w:proofErr w:type="gramEnd"/>
      <w:r w:rsidRPr="007E1207">
        <w:rPr>
          <w:i/>
          <w:iCs/>
        </w:rPr>
        <w:t xml:space="preserve"> Church History</w:t>
      </w:r>
      <w:r w:rsidRPr="007E1207">
        <w:t>, 45 (2009), 87-96 &lt;https://doi.org/10.1017/s0424208400002448&gt;</w:t>
      </w:r>
    </w:p>
    <w:p w:rsidR="007E1207" w:rsidRPr="007E1207" w:rsidRDefault="007E1207" w:rsidP="007E1207">
      <w:r>
        <w:t>“</w:t>
      </w:r>
      <w:r w:rsidRPr="007E1207">
        <w:t>Gregory The Great, Dialogues (1911) Book 4.  Pp. 177-258.", </w:t>
      </w:r>
      <w:r w:rsidRPr="007E1207">
        <w:rPr>
          <w:i/>
          <w:iCs/>
        </w:rPr>
        <w:t>Tertullian.Org</w:t>
      </w:r>
      <w:r w:rsidRPr="007E1207">
        <w:t>, 2004 &lt;http://www.tertullian.org/fathers/gregory_04_dialogues_book4.htm#C39&gt; [Accessed 7 May 2019]</w:t>
      </w:r>
    </w:p>
    <w:p w:rsidR="007E1207" w:rsidRPr="007E1207" w:rsidRDefault="007E1207" w:rsidP="007E1207">
      <w:r>
        <w:t>“</w:t>
      </w:r>
      <w:r w:rsidRPr="007E1207">
        <w:t xml:space="preserve">History </w:t>
      </w:r>
      <w:proofErr w:type="gramStart"/>
      <w:r w:rsidRPr="007E1207">
        <w:t>Of</w:t>
      </w:r>
      <w:proofErr w:type="gramEnd"/>
      <w:r w:rsidRPr="007E1207">
        <w:t xml:space="preserve"> Witches", </w:t>
      </w:r>
      <w:r w:rsidRPr="007E1207">
        <w:rPr>
          <w:i/>
          <w:iCs/>
        </w:rPr>
        <w:t>HISTORY</w:t>
      </w:r>
      <w:r w:rsidRPr="007E1207">
        <w:t>, 2018 &lt;https://www.history.com/topics/folklore/history-of-witches&gt; [Accessed 2 May 2019]</w:t>
      </w:r>
    </w:p>
    <w:p w:rsidR="007E1207" w:rsidRPr="007E1207" w:rsidRDefault="007E1207" w:rsidP="007E1207">
      <w:r w:rsidRPr="007E1207">
        <w:t xml:space="preserve">Hoffman, Donald L., "Medieval Ghost Stories: An Anthology </w:t>
      </w:r>
      <w:proofErr w:type="gramStart"/>
      <w:r w:rsidRPr="007E1207">
        <w:t>Of</w:t>
      </w:r>
      <w:proofErr w:type="gramEnd"/>
      <w:r w:rsidRPr="007E1207">
        <w:t xml:space="preserve"> Miracles, Marvels, And Prodigies Edited By Andrew Joynes", </w:t>
      </w:r>
      <w:r w:rsidRPr="007E1207">
        <w:rPr>
          <w:i/>
          <w:iCs/>
        </w:rPr>
        <w:t>Arthuriana</w:t>
      </w:r>
      <w:r w:rsidRPr="007E1207">
        <w:t>, 14 (2004), 102-104 &lt;https://doi.org/10.1353/art.2004.0007&gt;</w:t>
      </w:r>
    </w:p>
    <w:p w:rsidR="007E1207" w:rsidRPr="007E1207" w:rsidRDefault="007E1207" w:rsidP="007E1207">
      <w:r w:rsidRPr="007E1207">
        <w:t>Joynes, Andrew, </w:t>
      </w:r>
      <w:r w:rsidRPr="007E1207">
        <w:rPr>
          <w:i/>
          <w:iCs/>
        </w:rPr>
        <w:t>Medieval Ghost Stories</w:t>
      </w:r>
      <w:r w:rsidRPr="007E1207">
        <w:t> (Woodbridge: Boydell Press, 2006)</w:t>
      </w:r>
    </w:p>
    <w:p w:rsidR="007E1207" w:rsidRPr="007E1207" w:rsidRDefault="007E1207" w:rsidP="007E1207">
      <w:r w:rsidRPr="007E1207">
        <w:t>Knight, Kevin, "CATHOLIC ENCYCLOPEDIA: Cremation", </w:t>
      </w:r>
      <w:r w:rsidRPr="007E1207">
        <w:rPr>
          <w:i/>
          <w:iCs/>
        </w:rPr>
        <w:t>Newadvent.Org</w:t>
      </w:r>
      <w:r w:rsidRPr="007E1207">
        <w:t>, 2017 &lt;http://www.newadvent.org/cathen/04481c.htm&gt; [Accessed 6 May 2019]</w:t>
      </w:r>
    </w:p>
    <w:p w:rsidR="007E1207" w:rsidRPr="007E1207" w:rsidRDefault="007E1207" w:rsidP="007E1207">
      <w:r w:rsidRPr="007E1207">
        <w:t xml:space="preserve">Mark, Joshua, "The Egyptian Afterlife &amp; The Feather </w:t>
      </w:r>
      <w:proofErr w:type="gramStart"/>
      <w:r w:rsidRPr="007E1207">
        <w:t>Of</w:t>
      </w:r>
      <w:proofErr w:type="gramEnd"/>
      <w:r w:rsidRPr="007E1207">
        <w:t xml:space="preserve"> Truth", </w:t>
      </w:r>
      <w:proofErr w:type="spellStart"/>
      <w:r w:rsidRPr="007E1207">
        <w:rPr>
          <w:i/>
          <w:iCs/>
        </w:rPr>
        <w:t>Ancient.Eu</w:t>
      </w:r>
      <w:proofErr w:type="spellEnd"/>
      <w:r w:rsidRPr="007E1207">
        <w:t>, 2018 &lt;https://www.ancient.eu/article/42/the-egyptian-afterlife--the-feather-of-truth/&gt; [Accessed 19 April 2019]</w:t>
      </w:r>
    </w:p>
    <w:p w:rsidR="007E1207" w:rsidRPr="007E1207" w:rsidRDefault="007E1207" w:rsidP="007E1207">
      <w:r w:rsidRPr="007E1207">
        <w:t xml:space="preserve">Newman, Barbara, "Hildegard Of Bingen And The ‘Birth </w:t>
      </w:r>
      <w:proofErr w:type="gramStart"/>
      <w:r w:rsidRPr="007E1207">
        <w:t>Of</w:t>
      </w:r>
      <w:proofErr w:type="gramEnd"/>
      <w:r w:rsidRPr="007E1207">
        <w:t xml:space="preserve"> Purgatory.’", </w:t>
      </w:r>
      <w:r w:rsidRPr="007E1207">
        <w:rPr>
          <w:i/>
          <w:iCs/>
        </w:rPr>
        <w:t>Mystics Quarterly</w:t>
      </w:r>
      <w:r w:rsidRPr="007E1207">
        <w:t>, 19 (1993), 90-97</w:t>
      </w:r>
    </w:p>
    <w:p w:rsidR="007E1207" w:rsidRPr="007E1207" w:rsidRDefault="007E1207" w:rsidP="007E1207">
      <w:r w:rsidRPr="007E1207">
        <w:t xml:space="preserve">O’Hara, Alexander, "Death </w:t>
      </w:r>
      <w:proofErr w:type="gramStart"/>
      <w:r w:rsidRPr="007E1207">
        <w:t>And</w:t>
      </w:r>
      <w:proofErr w:type="gramEnd"/>
      <w:r w:rsidRPr="007E1207">
        <w:t xml:space="preserve"> The Afterlife In Jonas Of </w:t>
      </w:r>
      <w:proofErr w:type="spellStart"/>
      <w:r w:rsidRPr="007E1207">
        <w:t>Bobbio’S</w:t>
      </w:r>
      <w:proofErr w:type="spellEnd"/>
      <w:r w:rsidRPr="007E1207">
        <w:t xml:space="preserve"> Vita </w:t>
      </w:r>
      <w:proofErr w:type="spellStart"/>
      <w:r w:rsidRPr="007E1207">
        <w:t>Columbani</w:t>
      </w:r>
      <w:proofErr w:type="spellEnd"/>
      <w:r w:rsidRPr="007E1207">
        <w:t>", </w:t>
      </w:r>
      <w:r w:rsidRPr="007E1207">
        <w:rPr>
          <w:i/>
          <w:iCs/>
        </w:rPr>
        <w:t>Studies In Church History</w:t>
      </w:r>
      <w:r w:rsidRPr="007E1207">
        <w:t>, 45 (2009), 64-73 &lt;https://doi.org/10.1017/s0424208400002424&gt;</w:t>
      </w:r>
    </w:p>
    <w:p w:rsidR="007E1207" w:rsidRPr="007E1207" w:rsidRDefault="007E1207" w:rsidP="007E1207">
      <w:proofErr w:type="spellStart"/>
      <w:r w:rsidRPr="007E1207">
        <w:t>Papadogiannakis</w:t>
      </w:r>
      <w:proofErr w:type="spellEnd"/>
      <w:r w:rsidRPr="007E1207">
        <w:t xml:space="preserve">, Yannis, "Michael </w:t>
      </w:r>
      <w:proofErr w:type="spellStart"/>
      <w:r w:rsidRPr="007E1207">
        <w:t>Glykas</w:t>
      </w:r>
      <w:proofErr w:type="spellEnd"/>
      <w:r w:rsidRPr="007E1207">
        <w:t xml:space="preserve"> And </w:t>
      </w:r>
      <w:proofErr w:type="gramStart"/>
      <w:r w:rsidRPr="007E1207">
        <w:t>The</w:t>
      </w:r>
      <w:proofErr w:type="gramEnd"/>
      <w:r w:rsidRPr="007E1207">
        <w:t xml:space="preserve"> Afterlife In Twelfth-Century Byzantium", </w:t>
      </w:r>
      <w:r w:rsidRPr="007E1207">
        <w:rPr>
          <w:i/>
          <w:iCs/>
        </w:rPr>
        <w:t>Studies In Church History</w:t>
      </w:r>
      <w:r w:rsidRPr="007E1207">
        <w:t>, 45 (2009), 130-142 &lt;https://doi.org/10.1017/s0424208400002473&gt;</w:t>
      </w:r>
    </w:p>
    <w:p w:rsidR="007E1207" w:rsidRPr="007E1207" w:rsidRDefault="007E1207" w:rsidP="007E1207">
      <w:r w:rsidRPr="007E1207">
        <w:t xml:space="preserve">Rider, Catherine, "Agreements </w:t>
      </w:r>
      <w:proofErr w:type="gramStart"/>
      <w:r w:rsidRPr="007E1207">
        <w:t>To</w:t>
      </w:r>
      <w:proofErr w:type="gramEnd"/>
      <w:r w:rsidRPr="007E1207">
        <w:t xml:space="preserve"> Return From The Afterlife In Late Medieval Exempla", </w:t>
      </w:r>
      <w:r w:rsidRPr="007E1207">
        <w:rPr>
          <w:i/>
          <w:iCs/>
        </w:rPr>
        <w:t>Studies In Church History</w:t>
      </w:r>
      <w:r w:rsidRPr="007E1207">
        <w:t>, 45 (2009), 174-183 &lt;https://doi.org/10.1017/s0424208400002497&gt;</w:t>
      </w:r>
    </w:p>
    <w:p w:rsidR="007E1207" w:rsidRPr="007E1207" w:rsidRDefault="007E1207" w:rsidP="007E1207">
      <w:proofErr w:type="spellStart"/>
      <w:r w:rsidRPr="007E1207">
        <w:t>Ruys</w:t>
      </w:r>
      <w:proofErr w:type="spellEnd"/>
      <w:r w:rsidRPr="007E1207">
        <w:t xml:space="preserve">, Juanita, "Demons </w:t>
      </w:r>
      <w:proofErr w:type="gramStart"/>
      <w:r w:rsidRPr="007E1207">
        <w:t>In</w:t>
      </w:r>
      <w:proofErr w:type="gramEnd"/>
      <w:r w:rsidRPr="007E1207">
        <w:t xml:space="preserve"> The Middle Ages Q&amp;A", </w:t>
      </w:r>
      <w:r w:rsidRPr="007E1207">
        <w:rPr>
          <w:i/>
          <w:iCs/>
        </w:rPr>
        <w:t>Arc Humanities Press</w:t>
      </w:r>
      <w:r w:rsidRPr="007E1207">
        <w:t>&lt;https://arc-humanities.org/blog/2017/08/28/demons-in-the-middle-ages-qa/&gt; [Accessed 28 April 2019]</w:t>
      </w:r>
    </w:p>
    <w:p w:rsidR="007E1207" w:rsidRPr="007E1207" w:rsidRDefault="007E1207" w:rsidP="007E1207">
      <w:r w:rsidRPr="007E1207">
        <w:t xml:space="preserve">Swanson, R. N., "Ghosts </w:t>
      </w:r>
      <w:proofErr w:type="gramStart"/>
      <w:r w:rsidRPr="007E1207">
        <w:t>And</w:t>
      </w:r>
      <w:proofErr w:type="gramEnd"/>
      <w:r w:rsidRPr="007E1207">
        <w:t xml:space="preserve"> Ghostbusters In The Middle Ages", </w:t>
      </w:r>
      <w:r w:rsidRPr="007E1207">
        <w:rPr>
          <w:i/>
          <w:iCs/>
        </w:rPr>
        <w:t>Studies In Church History</w:t>
      </w:r>
      <w:r w:rsidRPr="007E1207">
        <w:t>, 45 (2009), 143-173 &lt;https://doi.org/10.1017/s0424208400002485&gt;</w:t>
      </w:r>
    </w:p>
    <w:p w:rsidR="007E1207" w:rsidRPr="007E1207" w:rsidRDefault="007E1207" w:rsidP="007E1207">
      <w:r w:rsidRPr="007E1207">
        <w:lastRenderedPageBreak/>
        <w:t>Thomas of Monmouth, and Miri Rubin, </w:t>
      </w:r>
      <w:r w:rsidRPr="007E1207">
        <w:rPr>
          <w:i/>
          <w:iCs/>
        </w:rPr>
        <w:t xml:space="preserve">The Life </w:t>
      </w:r>
      <w:proofErr w:type="gramStart"/>
      <w:r w:rsidRPr="007E1207">
        <w:rPr>
          <w:i/>
          <w:iCs/>
        </w:rPr>
        <w:t>And</w:t>
      </w:r>
      <w:proofErr w:type="gramEnd"/>
      <w:r w:rsidRPr="007E1207">
        <w:rPr>
          <w:i/>
          <w:iCs/>
        </w:rPr>
        <w:t xml:space="preserve"> Passion Of William Of Norwich</w:t>
      </w:r>
      <w:r w:rsidRPr="007E1207">
        <w:t>(London: Penguin Books, 2014)</w:t>
      </w:r>
    </w:p>
    <w:p w:rsidR="007E1207" w:rsidRPr="007E1207" w:rsidRDefault="007E1207" w:rsidP="007E1207">
      <w:r w:rsidRPr="007E1207">
        <w:t xml:space="preserve">Watkins, C. S., "Sin, Penance </w:t>
      </w:r>
      <w:proofErr w:type="gramStart"/>
      <w:r w:rsidRPr="007E1207">
        <w:t>And</w:t>
      </w:r>
      <w:proofErr w:type="gramEnd"/>
      <w:r w:rsidRPr="007E1207">
        <w:t xml:space="preserve"> Purgatory In The Anglo-Norman Realm: The Evidence Of Visions And Ghost Stories", </w:t>
      </w:r>
      <w:r w:rsidRPr="007E1207">
        <w:rPr>
          <w:i/>
          <w:iCs/>
        </w:rPr>
        <w:t>Past &amp; Present</w:t>
      </w:r>
      <w:r w:rsidRPr="007E1207">
        <w:t>, 175 (2002), 24 &lt;https://doi.org/10.1093/past/175.1.3&gt;</w:t>
      </w:r>
    </w:p>
    <w:p w:rsidR="007E1207" w:rsidRPr="00F7793C" w:rsidRDefault="007E1207" w:rsidP="00E36187"/>
    <w:sectPr w:rsidR="007E1207" w:rsidRPr="00F779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5DC1" w:rsidRDefault="003C5DC1" w:rsidP="002A68B2">
      <w:pPr>
        <w:spacing w:after="0" w:line="240" w:lineRule="auto"/>
      </w:pPr>
      <w:r>
        <w:separator/>
      </w:r>
    </w:p>
  </w:endnote>
  <w:endnote w:type="continuationSeparator" w:id="0">
    <w:p w:rsidR="003C5DC1" w:rsidRDefault="003C5DC1" w:rsidP="002A6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5DC1" w:rsidRDefault="003C5DC1" w:rsidP="002A68B2">
      <w:pPr>
        <w:spacing w:after="0" w:line="240" w:lineRule="auto"/>
      </w:pPr>
      <w:r>
        <w:separator/>
      </w:r>
    </w:p>
  </w:footnote>
  <w:footnote w:type="continuationSeparator" w:id="0">
    <w:p w:rsidR="003C5DC1" w:rsidRDefault="003C5DC1" w:rsidP="002A68B2">
      <w:pPr>
        <w:spacing w:after="0" w:line="240" w:lineRule="auto"/>
      </w:pPr>
      <w:r>
        <w:continuationSeparator/>
      </w:r>
    </w:p>
  </w:footnote>
  <w:footnote w:id="1">
    <w:p w:rsidR="001D7BFA" w:rsidRDefault="001D7BFA">
      <w:pPr>
        <w:pStyle w:val="FootnoteText"/>
      </w:pPr>
      <w:r>
        <w:rPr>
          <w:rStyle w:val="FootnoteReference"/>
        </w:rPr>
        <w:footnoteRef/>
      </w:r>
      <w:r>
        <w:t xml:space="preserve"> Bible (Job 4:15)</w:t>
      </w:r>
    </w:p>
  </w:footnote>
  <w:footnote w:id="2">
    <w:p w:rsidR="00902AE9" w:rsidRDefault="00902AE9">
      <w:pPr>
        <w:pStyle w:val="FootnoteText"/>
      </w:pPr>
      <w:r>
        <w:rPr>
          <w:rStyle w:val="FootnoteReference"/>
        </w:rPr>
        <w:footnoteRef/>
      </w:r>
      <w:r>
        <w:t xml:space="preserve"> </w:t>
      </w:r>
      <w:r w:rsidRPr="002A68B2">
        <w:t xml:space="preserve">Joshua Mark, "The Egyptian Afterlife &amp; The Feather </w:t>
      </w:r>
      <w:proofErr w:type="gramStart"/>
      <w:r w:rsidRPr="002A68B2">
        <w:t>Of</w:t>
      </w:r>
      <w:proofErr w:type="gramEnd"/>
      <w:r w:rsidRPr="002A68B2">
        <w:t xml:space="preserve"> Truth", </w:t>
      </w:r>
      <w:proofErr w:type="spellStart"/>
      <w:r w:rsidRPr="002A68B2">
        <w:rPr>
          <w:i/>
          <w:iCs/>
        </w:rPr>
        <w:t>Ancient.Eu</w:t>
      </w:r>
      <w:proofErr w:type="spellEnd"/>
      <w:r w:rsidRPr="002A68B2">
        <w:t>, 2018 &lt;https://www.ancient.eu/article/42/the-egyptian-afterlife--the-feather-of-truth/&gt; [Accessed 19 April 2019].</w:t>
      </w:r>
    </w:p>
  </w:footnote>
  <w:footnote w:id="3">
    <w:p w:rsidR="00902AE9" w:rsidRDefault="00902AE9">
      <w:pPr>
        <w:pStyle w:val="FootnoteText"/>
      </w:pPr>
      <w:r>
        <w:rPr>
          <w:rStyle w:val="FootnoteReference"/>
        </w:rPr>
        <w:footnoteRef/>
      </w:r>
      <w:r>
        <w:t xml:space="preserve"> </w:t>
      </w:r>
      <w:r w:rsidRPr="00B95066">
        <w:t xml:space="preserve">"Afterlife - </w:t>
      </w:r>
      <w:proofErr w:type="spellStart"/>
      <w:r w:rsidRPr="00B95066">
        <w:t>Novaroma</w:t>
      </w:r>
      <w:proofErr w:type="spellEnd"/>
      <w:r w:rsidRPr="00B95066">
        <w:t>", </w:t>
      </w:r>
      <w:r w:rsidRPr="00B95066">
        <w:rPr>
          <w:i/>
          <w:iCs/>
        </w:rPr>
        <w:t>Novaroma.Org</w:t>
      </w:r>
      <w:r w:rsidRPr="00B95066">
        <w:t>, 2009 &lt;http://www.novaroma.org/nr/Afterlife&gt; [Accessed 19 April 2019].</w:t>
      </w:r>
    </w:p>
  </w:footnote>
  <w:footnote w:id="4">
    <w:p w:rsidR="00902AE9" w:rsidRDefault="00902AE9">
      <w:pPr>
        <w:pStyle w:val="FootnoteText"/>
      </w:pPr>
      <w:r>
        <w:rPr>
          <w:rStyle w:val="FootnoteReference"/>
        </w:rPr>
        <w:footnoteRef/>
      </w:r>
      <w:r>
        <w:t xml:space="preserve"> </w:t>
      </w:r>
      <w:r w:rsidRPr="00A97CB4">
        <w:t>"Gregory The Great, Dialogues (1911) Book 4.  Pp. 177-258.", </w:t>
      </w:r>
      <w:r w:rsidRPr="00A97CB4">
        <w:rPr>
          <w:i/>
          <w:iCs/>
        </w:rPr>
        <w:t>Tertullian.Org</w:t>
      </w:r>
      <w:r w:rsidRPr="00A97CB4">
        <w:t>, 2004 &lt;http://www.tertullian.org/fathers/gregory_04_dialogues_book4.htm#C39&gt; [Accessed 7 May 2019].</w:t>
      </w:r>
    </w:p>
  </w:footnote>
  <w:footnote w:id="5">
    <w:p w:rsidR="00902AE9" w:rsidRDefault="00902AE9">
      <w:pPr>
        <w:pStyle w:val="FootnoteText"/>
      </w:pPr>
      <w:r>
        <w:rPr>
          <w:rStyle w:val="FootnoteReference"/>
        </w:rPr>
        <w:footnoteRef/>
      </w:r>
      <w:r>
        <w:t xml:space="preserve"> </w:t>
      </w:r>
      <w:r w:rsidRPr="005614FE">
        <w:t xml:space="preserve">Barbara Newman, "Hildegard Of Bingen And The ‘Birth </w:t>
      </w:r>
      <w:proofErr w:type="gramStart"/>
      <w:r w:rsidRPr="005614FE">
        <w:t>Of</w:t>
      </w:r>
      <w:proofErr w:type="gramEnd"/>
      <w:r w:rsidRPr="005614FE">
        <w:t xml:space="preserve"> Purgatory.’", </w:t>
      </w:r>
      <w:r w:rsidRPr="005614FE">
        <w:rPr>
          <w:i/>
          <w:iCs/>
        </w:rPr>
        <w:t>Mystics Quarterly</w:t>
      </w:r>
      <w:r w:rsidRPr="005614FE">
        <w:t>, 19.3 (1993), 92.</w:t>
      </w:r>
    </w:p>
  </w:footnote>
  <w:footnote w:id="6">
    <w:p w:rsidR="00902AE9" w:rsidRDefault="00902AE9">
      <w:pPr>
        <w:pStyle w:val="FootnoteText"/>
      </w:pPr>
      <w:r>
        <w:rPr>
          <w:rStyle w:val="FootnoteReference"/>
        </w:rPr>
        <w:footnoteRef/>
      </w:r>
      <w:r>
        <w:t xml:space="preserve"> Ibid. </w:t>
      </w:r>
    </w:p>
  </w:footnote>
  <w:footnote w:id="7">
    <w:p w:rsidR="00902AE9" w:rsidRDefault="00902AE9">
      <w:pPr>
        <w:pStyle w:val="FootnoteText"/>
      </w:pPr>
      <w:r>
        <w:rPr>
          <w:rStyle w:val="FootnoteReference"/>
        </w:rPr>
        <w:footnoteRef/>
      </w:r>
      <w:r>
        <w:t xml:space="preserve"> </w:t>
      </w:r>
      <w:r w:rsidRPr="008C2F56">
        <w:t>Andrew Joynes, </w:t>
      </w:r>
      <w:r w:rsidRPr="008C2F56">
        <w:rPr>
          <w:i/>
          <w:iCs/>
        </w:rPr>
        <w:t>Medieval Ghost Stories</w:t>
      </w:r>
      <w:r w:rsidRPr="008C2F56">
        <w:t> (Woodbridge: Boydell Press, 2006)</w:t>
      </w:r>
      <w:r>
        <w:t>, p. 6.</w:t>
      </w:r>
    </w:p>
  </w:footnote>
  <w:footnote w:id="8">
    <w:p w:rsidR="00902AE9" w:rsidRDefault="00902AE9">
      <w:pPr>
        <w:pStyle w:val="FootnoteText"/>
      </w:pPr>
      <w:r>
        <w:rPr>
          <w:rStyle w:val="FootnoteReference"/>
        </w:rPr>
        <w:footnoteRef/>
      </w:r>
      <w:r>
        <w:t xml:space="preserve"> Joynes, p. 6.</w:t>
      </w:r>
    </w:p>
  </w:footnote>
  <w:footnote w:id="9">
    <w:p w:rsidR="00902AE9" w:rsidRDefault="00902AE9">
      <w:pPr>
        <w:pStyle w:val="FootnoteText"/>
      </w:pPr>
      <w:r>
        <w:rPr>
          <w:rStyle w:val="FootnoteReference"/>
        </w:rPr>
        <w:footnoteRef/>
      </w:r>
      <w:r>
        <w:t xml:space="preserve"> Ibid, p. 18.</w:t>
      </w:r>
    </w:p>
  </w:footnote>
  <w:footnote w:id="10">
    <w:p w:rsidR="00902AE9" w:rsidRDefault="00902AE9">
      <w:pPr>
        <w:pStyle w:val="FootnoteText"/>
      </w:pPr>
      <w:r>
        <w:rPr>
          <w:rStyle w:val="FootnoteReference"/>
        </w:rPr>
        <w:footnoteRef/>
      </w:r>
      <w:r>
        <w:t xml:space="preserve"> Ibid.</w:t>
      </w:r>
    </w:p>
  </w:footnote>
  <w:footnote w:id="11">
    <w:p w:rsidR="00902AE9" w:rsidRDefault="00902AE9">
      <w:pPr>
        <w:pStyle w:val="FootnoteText"/>
      </w:pPr>
      <w:r>
        <w:rPr>
          <w:rStyle w:val="FootnoteReference"/>
        </w:rPr>
        <w:footnoteRef/>
      </w:r>
      <w:r>
        <w:t xml:space="preserve"> </w:t>
      </w:r>
      <w:r w:rsidRPr="00197C00">
        <w:t>"</w:t>
      </w:r>
      <w:proofErr w:type="spellStart"/>
      <w:r w:rsidRPr="00197C00">
        <w:t>Denzinger</w:t>
      </w:r>
      <w:proofErr w:type="spellEnd"/>
      <w:r w:rsidRPr="00197C00">
        <w:t xml:space="preserve"> EN 824", </w:t>
      </w:r>
      <w:r w:rsidRPr="00197C00">
        <w:rPr>
          <w:i/>
          <w:iCs/>
        </w:rPr>
        <w:t>Clerus.Org</w:t>
      </w:r>
      <w:r w:rsidRPr="00197C00">
        <w:t>&lt;http://www.clerus.org/bibliaclerusonline/en/dw0.htm&gt; [Accessed 24 April 2019].</w:t>
      </w:r>
    </w:p>
  </w:footnote>
  <w:footnote w:id="12">
    <w:p w:rsidR="00902AE9" w:rsidRDefault="00902AE9">
      <w:pPr>
        <w:pStyle w:val="FootnoteText"/>
      </w:pPr>
      <w:r>
        <w:rPr>
          <w:rStyle w:val="FootnoteReference"/>
        </w:rPr>
        <w:footnoteRef/>
      </w:r>
      <w:r>
        <w:t xml:space="preserve"> Joynes, p. xii. </w:t>
      </w:r>
    </w:p>
  </w:footnote>
  <w:footnote w:id="13">
    <w:p w:rsidR="00902AE9" w:rsidRDefault="00902AE9">
      <w:pPr>
        <w:pStyle w:val="FootnoteText"/>
      </w:pPr>
      <w:r>
        <w:rPr>
          <w:rStyle w:val="FootnoteReference"/>
        </w:rPr>
        <w:footnoteRef/>
      </w:r>
      <w:r>
        <w:t xml:space="preserve"> </w:t>
      </w:r>
      <w:r w:rsidRPr="00593BBB">
        <w:t xml:space="preserve">R. N. Swanson, "Ghosts </w:t>
      </w:r>
      <w:proofErr w:type="gramStart"/>
      <w:r w:rsidRPr="00593BBB">
        <w:t>And</w:t>
      </w:r>
      <w:proofErr w:type="gramEnd"/>
      <w:r w:rsidRPr="00593BBB">
        <w:t xml:space="preserve"> Ghostbusters In The Middle Ages", </w:t>
      </w:r>
      <w:r w:rsidRPr="00593BBB">
        <w:rPr>
          <w:i/>
          <w:iCs/>
        </w:rPr>
        <w:t>Studies In Church History</w:t>
      </w:r>
      <w:r w:rsidRPr="00593BBB">
        <w:t>, 45 (2009), 143-173 &lt;https://doi.org/10.1017/s0424208400002485&gt;. p. 150.</w:t>
      </w:r>
      <w:r>
        <w:t xml:space="preserve"> </w:t>
      </w:r>
    </w:p>
  </w:footnote>
  <w:footnote w:id="14">
    <w:p w:rsidR="00902AE9" w:rsidRDefault="00902AE9">
      <w:pPr>
        <w:pStyle w:val="FootnoteText"/>
      </w:pPr>
      <w:r>
        <w:rPr>
          <w:rStyle w:val="FootnoteReference"/>
        </w:rPr>
        <w:footnoteRef/>
      </w:r>
      <w:r>
        <w:t xml:space="preserve"> Ibid. </w:t>
      </w:r>
    </w:p>
  </w:footnote>
  <w:footnote w:id="15">
    <w:p w:rsidR="00902AE9" w:rsidRDefault="00902AE9">
      <w:pPr>
        <w:pStyle w:val="FootnoteText"/>
      </w:pPr>
      <w:r>
        <w:rPr>
          <w:rStyle w:val="FootnoteReference"/>
        </w:rPr>
        <w:footnoteRef/>
      </w:r>
      <w:r>
        <w:t xml:space="preserve"> </w:t>
      </w:r>
      <w:r w:rsidRPr="00762C42">
        <w:t xml:space="preserve">C. S. Watkins, "Sin, Penance </w:t>
      </w:r>
      <w:proofErr w:type="gramStart"/>
      <w:r w:rsidRPr="00762C42">
        <w:t>And</w:t>
      </w:r>
      <w:proofErr w:type="gramEnd"/>
      <w:r w:rsidRPr="00762C42">
        <w:t xml:space="preserve"> Purgatory In The Anglo-Norman Realm: The Evidence Of Visions And Ghost Stories", </w:t>
      </w:r>
      <w:r w:rsidRPr="00762C42">
        <w:rPr>
          <w:i/>
          <w:iCs/>
        </w:rPr>
        <w:t>Past &amp; Present</w:t>
      </w:r>
      <w:r w:rsidRPr="00762C42">
        <w:t>, 175.1 (2002), 24 &lt;https://doi.org/10.1093/past/175.1.3&gt;.</w:t>
      </w:r>
    </w:p>
  </w:footnote>
  <w:footnote w:id="16">
    <w:p w:rsidR="00902AE9" w:rsidRDefault="00902AE9">
      <w:pPr>
        <w:pStyle w:val="FootnoteText"/>
      </w:pPr>
      <w:r>
        <w:rPr>
          <w:rStyle w:val="FootnoteReference"/>
        </w:rPr>
        <w:footnoteRef/>
      </w:r>
      <w:r>
        <w:t xml:space="preserve"> Joynes, p. 45.</w:t>
      </w:r>
    </w:p>
  </w:footnote>
  <w:footnote w:id="17">
    <w:p w:rsidR="00902AE9" w:rsidRDefault="00902AE9">
      <w:pPr>
        <w:pStyle w:val="FootnoteText"/>
      </w:pPr>
      <w:r>
        <w:rPr>
          <w:rStyle w:val="FootnoteReference"/>
        </w:rPr>
        <w:footnoteRef/>
      </w:r>
      <w:r>
        <w:t xml:space="preserve"> Ibid.</w:t>
      </w:r>
    </w:p>
  </w:footnote>
  <w:footnote w:id="18">
    <w:p w:rsidR="00902AE9" w:rsidRDefault="00902AE9">
      <w:pPr>
        <w:pStyle w:val="FootnoteText"/>
      </w:pPr>
      <w:r>
        <w:rPr>
          <w:rStyle w:val="FootnoteReference"/>
        </w:rPr>
        <w:footnoteRef/>
      </w:r>
      <w:r>
        <w:t xml:space="preserve"> Ibid, p. 56.  </w:t>
      </w:r>
    </w:p>
  </w:footnote>
  <w:footnote w:id="19">
    <w:p w:rsidR="00902AE9" w:rsidRDefault="00902AE9">
      <w:pPr>
        <w:pStyle w:val="FootnoteText"/>
      </w:pPr>
      <w:r>
        <w:rPr>
          <w:rStyle w:val="FootnoteReference"/>
        </w:rPr>
        <w:footnoteRef/>
      </w:r>
      <w:r>
        <w:t xml:space="preserve"> Ibid, p. 57. </w:t>
      </w:r>
    </w:p>
  </w:footnote>
  <w:footnote w:id="20">
    <w:p w:rsidR="00902AE9" w:rsidRDefault="00902AE9">
      <w:pPr>
        <w:pStyle w:val="FootnoteText"/>
      </w:pPr>
      <w:r>
        <w:rPr>
          <w:rStyle w:val="FootnoteReference"/>
        </w:rPr>
        <w:footnoteRef/>
      </w:r>
      <w:r>
        <w:t xml:space="preserve"> Ibid.</w:t>
      </w:r>
    </w:p>
  </w:footnote>
  <w:footnote w:id="21">
    <w:p w:rsidR="00902AE9" w:rsidRDefault="00902AE9">
      <w:pPr>
        <w:pStyle w:val="FootnoteText"/>
      </w:pPr>
      <w:r>
        <w:rPr>
          <w:rStyle w:val="FootnoteReference"/>
        </w:rPr>
        <w:footnoteRef/>
      </w:r>
      <w:r>
        <w:t xml:space="preserve"> Ibid. </w:t>
      </w:r>
    </w:p>
  </w:footnote>
  <w:footnote w:id="22">
    <w:p w:rsidR="00902AE9" w:rsidRDefault="00902AE9">
      <w:pPr>
        <w:pStyle w:val="FootnoteText"/>
      </w:pPr>
      <w:r>
        <w:rPr>
          <w:rStyle w:val="FootnoteReference"/>
        </w:rPr>
        <w:footnoteRef/>
      </w:r>
      <w:r>
        <w:t xml:space="preserve"> </w:t>
      </w:r>
      <w:r w:rsidRPr="00FB2B8A">
        <w:t xml:space="preserve">"History </w:t>
      </w:r>
      <w:proofErr w:type="gramStart"/>
      <w:r w:rsidRPr="00FB2B8A">
        <w:t>Of</w:t>
      </w:r>
      <w:proofErr w:type="gramEnd"/>
      <w:r w:rsidRPr="00FB2B8A">
        <w:t xml:space="preserve"> Witches", </w:t>
      </w:r>
      <w:r w:rsidRPr="00FB2B8A">
        <w:rPr>
          <w:i/>
          <w:iCs/>
        </w:rPr>
        <w:t>HISTORY</w:t>
      </w:r>
      <w:r w:rsidRPr="00FB2B8A">
        <w:t>, 2018 &lt;https://www.history.com/topics/folklore/history-of-witches&gt; [Accessed 2 May 2019].</w:t>
      </w:r>
    </w:p>
  </w:footnote>
  <w:footnote w:id="23">
    <w:p w:rsidR="00902AE9" w:rsidRDefault="00902AE9">
      <w:pPr>
        <w:pStyle w:val="FootnoteText"/>
      </w:pPr>
      <w:r>
        <w:rPr>
          <w:rStyle w:val="FootnoteReference"/>
        </w:rPr>
        <w:footnoteRef/>
      </w:r>
      <w:r>
        <w:t xml:space="preserve"> </w:t>
      </w:r>
      <w:r w:rsidRPr="00071702">
        <w:t xml:space="preserve">Juanita </w:t>
      </w:r>
      <w:proofErr w:type="spellStart"/>
      <w:r w:rsidRPr="00071702">
        <w:t>Ruys</w:t>
      </w:r>
      <w:proofErr w:type="spellEnd"/>
      <w:r w:rsidRPr="00071702">
        <w:t xml:space="preserve">, "Demons </w:t>
      </w:r>
      <w:proofErr w:type="gramStart"/>
      <w:r w:rsidRPr="00071702">
        <w:t>In</w:t>
      </w:r>
      <w:proofErr w:type="gramEnd"/>
      <w:r w:rsidRPr="00071702">
        <w:t xml:space="preserve"> The Middle Ages Q&amp;A", </w:t>
      </w:r>
      <w:r w:rsidRPr="00071702">
        <w:rPr>
          <w:i/>
          <w:iCs/>
        </w:rPr>
        <w:t>Arc Humanities Press</w:t>
      </w:r>
      <w:r w:rsidRPr="00071702">
        <w:t> &lt;https://arc-humanities.org/blog/2017/08/28/demons-in-the-middle-ages-qa/&gt; [Accessed 28 April 2019].</w:t>
      </w:r>
    </w:p>
  </w:footnote>
  <w:footnote w:id="24">
    <w:p w:rsidR="00F5635B" w:rsidRDefault="00F5635B">
      <w:pPr>
        <w:pStyle w:val="FootnoteText"/>
      </w:pPr>
      <w:r>
        <w:rPr>
          <w:rStyle w:val="FootnoteReference"/>
        </w:rPr>
        <w:footnoteRef/>
      </w:r>
      <w:r>
        <w:t xml:space="preserve"> Joynes, p. 114. </w:t>
      </w:r>
    </w:p>
  </w:footnote>
  <w:footnote w:id="25">
    <w:p w:rsidR="00F5635B" w:rsidRDefault="00F5635B">
      <w:pPr>
        <w:pStyle w:val="FootnoteText"/>
      </w:pPr>
      <w:r>
        <w:rPr>
          <w:rStyle w:val="FootnoteReference"/>
        </w:rPr>
        <w:footnoteRef/>
      </w:r>
      <w:r>
        <w:t xml:space="preserve"> Ibid.</w:t>
      </w:r>
    </w:p>
  </w:footnote>
  <w:footnote w:id="26">
    <w:p w:rsidR="00F7793C" w:rsidRDefault="00F7793C">
      <w:pPr>
        <w:pStyle w:val="FootnoteText"/>
      </w:pPr>
      <w:r>
        <w:rPr>
          <w:rStyle w:val="FootnoteReference"/>
        </w:rPr>
        <w:footnoteRef/>
      </w:r>
      <w:r>
        <w:t xml:space="preserve"> Ibid. pp. 114-115.</w:t>
      </w:r>
    </w:p>
  </w:footnote>
  <w:footnote w:id="27">
    <w:p w:rsidR="00F7793C" w:rsidRDefault="00F7793C">
      <w:pPr>
        <w:pStyle w:val="FootnoteText"/>
      </w:pPr>
      <w:r>
        <w:rPr>
          <w:rStyle w:val="FootnoteReference"/>
        </w:rPr>
        <w:footnoteRef/>
      </w:r>
      <w:r>
        <w:t xml:space="preserve"> Ibid, pp. 97-98.</w:t>
      </w:r>
    </w:p>
  </w:footnote>
  <w:footnote w:id="28">
    <w:p w:rsidR="003B0E0A" w:rsidRDefault="003B0E0A">
      <w:pPr>
        <w:pStyle w:val="FootnoteText"/>
      </w:pPr>
      <w:r>
        <w:rPr>
          <w:rStyle w:val="FootnoteReference"/>
        </w:rPr>
        <w:footnoteRef/>
      </w:r>
      <w:r>
        <w:t xml:space="preserve"> </w:t>
      </w:r>
      <w:r w:rsidRPr="003B0E0A">
        <w:t>Kevin Knight, "CATHOLIC ENCYCLOPEDIA: Cremation", </w:t>
      </w:r>
      <w:r w:rsidRPr="003B0E0A">
        <w:rPr>
          <w:i/>
          <w:iCs/>
        </w:rPr>
        <w:t>Newadvent.Org</w:t>
      </w:r>
      <w:r w:rsidRPr="003B0E0A">
        <w:t>, 2017 &lt;http://www.newadvent.org/cathen/04481c.htm&gt; [Accessed 6 May 2019].</w:t>
      </w:r>
    </w:p>
  </w:footnote>
  <w:footnote w:id="29">
    <w:p w:rsidR="00C50230" w:rsidRDefault="00C50230">
      <w:pPr>
        <w:pStyle w:val="FootnoteText"/>
      </w:pPr>
      <w:r>
        <w:rPr>
          <w:rStyle w:val="FootnoteReference"/>
        </w:rPr>
        <w:footnoteRef/>
      </w:r>
      <w:r>
        <w:t xml:space="preserve"> Bible (Ecclesiastes 9:5)</w:t>
      </w:r>
    </w:p>
  </w:footnote>
  <w:footnote w:id="30">
    <w:p w:rsidR="006B1A1E" w:rsidRDefault="006B1A1E">
      <w:pPr>
        <w:pStyle w:val="FootnoteText"/>
      </w:pPr>
      <w:r>
        <w:rPr>
          <w:rStyle w:val="FootnoteReference"/>
        </w:rPr>
        <w:footnoteRef/>
      </w:r>
      <w:r>
        <w:t xml:space="preserve"> Bible (Ecclesiastes 12:7)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22634"/>
    <w:multiLevelType w:val="hybridMultilevel"/>
    <w:tmpl w:val="AC3C26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6E324F"/>
    <w:multiLevelType w:val="hybridMultilevel"/>
    <w:tmpl w:val="9208C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E55"/>
    <w:rsid w:val="0002361D"/>
    <w:rsid w:val="00025D81"/>
    <w:rsid w:val="00043CA2"/>
    <w:rsid w:val="0004497F"/>
    <w:rsid w:val="00045B8E"/>
    <w:rsid w:val="00063135"/>
    <w:rsid w:val="00070659"/>
    <w:rsid w:val="00071702"/>
    <w:rsid w:val="000A13AC"/>
    <w:rsid w:val="000C3C6E"/>
    <w:rsid w:val="00133F99"/>
    <w:rsid w:val="00197C00"/>
    <w:rsid w:val="001C49C5"/>
    <w:rsid w:val="001D7BFA"/>
    <w:rsid w:val="00212506"/>
    <w:rsid w:val="002154A2"/>
    <w:rsid w:val="00242D10"/>
    <w:rsid w:val="002A68B2"/>
    <w:rsid w:val="002C2C7F"/>
    <w:rsid w:val="002E137E"/>
    <w:rsid w:val="002E14FD"/>
    <w:rsid w:val="002F1E5D"/>
    <w:rsid w:val="0034620C"/>
    <w:rsid w:val="003B0E0A"/>
    <w:rsid w:val="003C5DC1"/>
    <w:rsid w:val="003D1A83"/>
    <w:rsid w:val="00447F89"/>
    <w:rsid w:val="00480C3F"/>
    <w:rsid w:val="004B329D"/>
    <w:rsid w:val="004C11C4"/>
    <w:rsid w:val="004E774B"/>
    <w:rsid w:val="005277B1"/>
    <w:rsid w:val="00532D0D"/>
    <w:rsid w:val="005614FE"/>
    <w:rsid w:val="00584A7F"/>
    <w:rsid w:val="00593BBB"/>
    <w:rsid w:val="005F0B86"/>
    <w:rsid w:val="0061146A"/>
    <w:rsid w:val="0064008C"/>
    <w:rsid w:val="00652CDE"/>
    <w:rsid w:val="006B1A1E"/>
    <w:rsid w:val="007465BD"/>
    <w:rsid w:val="00762C42"/>
    <w:rsid w:val="007B78A6"/>
    <w:rsid w:val="007D11F4"/>
    <w:rsid w:val="007E1207"/>
    <w:rsid w:val="007F0A71"/>
    <w:rsid w:val="00805E53"/>
    <w:rsid w:val="008445A0"/>
    <w:rsid w:val="00844948"/>
    <w:rsid w:val="008603B9"/>
    <w:rsid w:val="0086516E"/>
    <w:rsid w:val="008B13DC"/>
    <w:rsid w:val="008B45E3"/>
    <w:rsid w:val="008C2F56"/>
    <w:rsid w:val="008C5C32"/>
    <w:rsid w:val="00902AE9"/>
    <w:rsid w:val="00924FD7"/>
    <w:rsid w:val="00927D31"/>
    <w:rsid w:val="00943F26"/>
    <w:rsid w:val="0099608F"/>
    <w:rsid w:val="009A6298"/>
    <w:rsid w:val="009B6894"/>
    <w:rsid w:val="009B6C4C"/>
    <w:rsid w:val="009E066B"/>
    <w:rsid w:val="00A05885"/>
    <w:rsid w:val="00A20116"/>
    <w:rsid w:val="00A61369"/>
    <w:rsid w:val="00A72472"/>
    <w:rsid w:val="00A97CB4"/>
    <w:rsid w:val="00AA096A"/>
    <w:rsid w:val="00AA70DA"/>
    <w:rsid w:val="00AC6F5A"/>
    <w:rsid w:val="00AE512E"/>
    <w:rsid w:val="00B34EC8"/>
    <w:rsid w:val="00B95066"/>
    <w:rsid w:val="00BF7995"/>
    <w:rsid w:val="00C458E6"/>
    <w:rsid w:val="00C50230"/>
    <w:rsid w:val="00CA208E"/>
    <w:rsid w:val="00CC780A"/>
    <w:rsid w:val="00D01E55"/>
    <w:rsid w:val="00D25A88"/>
    <w:rsid w:val="00D35BD9"/>
    <w:rsid w:val="00D96B2B"/>
    <w:rsid w:val="00DA50F5"/>
    <w:rsid w:val="00DB46F0"/>
    <w:rsid w:val="00E04C1F"/>
    <w:rsid w:val="00E14CF7"/>
    <w:rsid w:val="00E33DC4"/>
    <w:rsid w:val="00E36187"/>
    <w:rsid w:val="00ED13DE"/>
    <w:rsid w:val="00ED2EA5"/>
    <w:rsid w:val="00EF7BFB"/>
    <w:rsid w:val="00F021AB"/>
    <w:rsid w:val="00F12781"/>
    <w:rsid w:val="00F5635B"/>
    <w:rsid w:val="00F7793C"/>
    <w:rsid w:val="00F85AAB"/>
    <w:rsid w:val="00FB2B8A"/>
    <w:rsid w:val="00FD30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E6A80D"/>
  <w15:chartTrackingRefBased/>
  <w15:docId w15:val="{915F295C-9F7B-4FDE-B78C-1CEA74EAE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1E55"/>
    <w:pPr>
      <w:ind w:left="720"/>
      <w:contextualSpacing/>
    </w:pPr>
  </w:style>
  <w:style w:type="paragraph" w:styleId="FootnoteText">
    <w:name w:val="footnote text"/>
    <w:basedOn w:val="Normal"/>
    <w:link w:val="FootnoteTextChar"/>
    <w:uiPriority w:val="99"/>
    <w:semiHidden/>
    <w:unhideWhenUsed/>
    <w:rsid w:val="002A68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68B2"/>
    <w:rPr>
      <w:sz w:val="20"/>
      <w:szCs w:val="20"/>
    </w:rPr>
  </w:style>
  <w:style w:type="character" w:styleId="FootnoteReference">
    <w:name w:val="footnote reference"/>
    <w:basedOn w:val="DefaultParagraphFont"/>
    <w:uiPriority w:val="99"/>
    <w:semiHidden/>
    <w:unhideWhenUsed/>
    <w:rsid w:val="002A68B2"/>
    <w:rPr>
      <w:vertAlign w:val="superscript"/>
    </w:rPr>
  </w:style>
  <w:style w:type="character" w:styleId="Hyperlink">
    <w:name w:val="Hyperlink"/>
    <w:basedOn w:val="DefaultParagraphFont"/>
    <w:uiPriority w:val="99"/>
    <w:unhideWhenUsed/>
    <w:rsid w:val="00A97CB4"/>
    <w:rPr>
      <w:color w:val="0563C1" w:themeColor="hyperlink"/>
      <w:u w:val="single"/>
    </w:rPr>
  </w:style>
  <w:style w:type="character" w:styleId="UnresolvedMention">
    <w:name w:val="Unresolved Mention"/>
    <w:basedOn w:val="DefaultParagraphFont"/>
    <w:uiPriority w:val="99"/>
    <w:semiHidden/>
    <w:unhideWhenUsed/>
    <w:rsid w:val="00A97C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A06D2-52F7-49D5-9EE4-18458C345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1897</TotalTime>
  <Pages>8</Pages>
  <Words>4180</Words>
  <Characters>19440</Characters>
  <Application>Microsoft Office Word</Application>
  <DocSecurity>0</DocSecurity>
  <Lines>252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58</cp:revision>
  <dcterms:created xsi:type="dcterms:W3CDTF">2019-05-04T13:40:00Z</dcterms:created>
  <dcterms:modified xsi:type="dcterms:W3CDTF">2019-05-09T20:50:00Z</dcterms:modified>
</cp:coreProperties>
</file>