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b/>
          <w:bCs/>
          <w:sz w:val="36"/>
          <w:szCs w:val="36"/>
        </w:rPr>
        <w:id w:val="-913011405"/>
        <w:docPartObj>
          <w:docPartGallery w:val="Cover Pages"/>
          <w:docPartUnique/>
        </w:docPartObj>
      </w:sdtPr>
      <w:sdtEndPr>
        <w:rPr>
          <w:rFonts w:ascii="Times New Roman" w:hAnsi="Times New Roman" w:cs="Times New Roman"/>
          <w:b w:val="0"/>
          <w:bCs w:val="0"/>
          <w:sz w:val="24"/>
          <w:szCs w:val="24"/>
        </w:rPr>
      </w:sdtEndPr>
      <w:sdtContent>
        <w:p w14:paraId="49A5DB5E" w14:textId="3E153779" w:rsidR="00274565" w:rsidRPr="00274565" w:rsidRDefault="00274565" w:rsidP="00274565">
          <w:pPr>
            <w:jc w:val="center"/>
            <w:rPr>
              <w:b/>
              <w:bCs/>
            </w:rPr>
          </w:pPr>
          <w:r w:rsidRPr="00274565">
            <w:rPr>
              <w:b/>
              <w:bCs/>
              <w:sz w:val="36"/>
              <w:szCs w:val="36"/>
            </w:rPr>
            <w:t>"Comprehensive Financial Analysis of Waitrose: Performance, Investments, and Dividend Trends"</w:t>
          </w:r>
        </w:p>
        <w:p w14:paraId="49FDEDCF" w14:textId="20A0B09A" w:rsidR="00274565" w:rsidRDefault="00274565">
          <w:pPr>
            <w:rPr>
              <w:rFonts w:ascii="Times New Roman" w:hAnsi="Times New Roman" w:cs="Times New Roman"/>
              <w:sz w:val="24"/>
              <w:szCs w:val="24"/>
            </w:rPr>
          </w:pPr>
          <w:r>
            <w:rPr>
              <w:rFonts w:ascii="Times New Roman" w:hAnsi="Times New Roman" w:cs="Times New Roman"/>
              <w:sz w:val="24"/>
              <w:szCs w:val="24"/>
            </w:rPr>
            <w:br w:type="page"/>
          </w:r>
        </w:p>
      </w:sdtContent>
    </w:sdt>
    <w:sdt>
      <w:sdtPr>
        <w:rPr>
          <w:rFonts w:asciiTheme="minorHAnsi" w:eastAsiaTheme="minorHAnsi" w:hAnsiTheme="minorHAnsi" w:cstheme="minorBidi"/>
          <w:color w:val="auto"/>
          <w:sz w:val="22"/>
          <w:szCs w:val="22"/>
        </w:rPr>
        <w:id w:val="1896925930"/>
        <w:docPartObj>
          <w:docPartGallery w:val="Table of Contents"/>
          <w:docPartUnique/>
        </w:docPartObj>
      </w:sdtPr>
      <w:sdtEndPr>
        <w:rPr>
          <w:b/>
          <w:bCs/>
          <w:noProof/>
        </w:rPr>
      </w:sdtEndPr>
      <w:sdtContent>
        <w:p w14:paraId="6E2BE103" w14:textId="5125F72E" w:rsidR="00274565" w:rsidRDefault="00274565">
          <w:pPr>
            <w:pStyle w:val="TOCHeading"/>
          </w:pPr>
          <w:r>
            <w:t>Table of Contents</w:t>
          </w:r>
        </w:p>
        <w:p w14:paraId="2AEE6654" w14:textId="5471E6EE" w:rsidR="00091741" w:rsidRDefault="00000000">
          <w:pPr>
            <w:pStyle w:val="TOC1"/>
            <w:tabs>
              <w:tab w:val="right" w:leader="dot" w:pos="9350"/>
            </w:tabs>
            <w:rPr>
              <w:rFonts w:eastAsiaTheme="minorEastAsia"/>
              <w:noProof/>
              <w:kern w:val="2"/>
              <w14:ligatures w14:val="standardContextual"/>
            </w:rPr>
          </w:pPr>
          <w:hyperlink w:anchor="_Toc172677013" w:history="1">
            <w:r w:rsidR="00091741" w:rsidRPr="00504099">
              <w:rPr>
                <w:rStyle w:val="Hyperlink"/>
                <w:noProof/>
              </w:rPr>
              <w:t>Part A: Introduction</w:t>
            </w:r>
            <w:r w:rsidR="00091741">
              <w:rPr>
                <w:noProof/>
                <w:webHidden/>
              </w:rPr>
              <w:tab/>
            </w:r>
            <w:r w:rsidR="00091741">
              <w:rPr>
                <w:noProof/>
                <w:webHidden/>
              </w:rPr>
              <w:fldChar w:fldCharType="begin"/>
            </w:r>
            <w:r w:rsidR="00091741">
              <w:rPr>
                <w:noProof/>
                <w:webHidden/>
              </w:rPr>
              <w:instrText xml:space="preserve"> PAGEREF _Toc172677013 \h </w:instrText>
            </w:r>
            <w:r w:rsidR="00091741">
              <w:rPr>
                <w:noProof/>
                <w:webHidden/>
              </w:rPr>
            </w:r>
            <w:r w:rsidR="00091741">
              <w:rPr>
                <w:noProof/>
                <w:webHidden/>
              </w:rPr>
              <w:fldChar w:fldCharType="separate"/>
            </w:r>
            <w:r w:rsidR="00091741">
              <w:rPr>
                <w:noProof/>
                <w:webHidden/>
              </w:rPr>
              <w:t>2</w:t>
            </w:r>
            <w:r w:rsidR="00091741">
              <w:rPr>
                <w:noProof/>
                <w:webHidden/>
              </w:rPr>
              <w:fldChar w:fldCharType="end"/>
            </w:r>
          </w:hyperlink>
        </w:p>
        <w:p w14:paraId="16D860B0" w14:textId="6F01C6AB" w:rsidR="00091741" w:rsidRDefault="00000000">
          <w:pPr>
            <w:pStyle w:val="TOC2"/>
            <w:tabs>
              <w:tab w:val="right" w:leader="dot" w:pos="9350"/>
            </w:tabs>
            <w:rPr>
              <w:rFonts w:eastAsiaTheme="minorEastAsia"/>
              <w:noProof/>
              <w:kern w:val="2"/>
              <w14:ligatures w14:val="standardContextual"/>
            </w:rPr>
          </w:pPr>
          <w:hyperlink w:anchor="_Toc172677014" w:history="1">
            <w:r w:rsidR="00091741" w:rsidRPr="00504099">
              <w:rPr>
                <w:rStyle w:val="Hyperlink"/>
                <w:noProof/>
              </w:rPr>
              <w:t>Brief History of Waitrose</w:t>
            </w:r>
            <w:r w:rsidR="00091741">
              <w:rPr>
                <w:noProof/>
                <w:webHidden/>
              </w:rPr>
              <w:tab/>
              <w:t>2</w:t>
            </w:r>
          </w:hyperlink>
        </w:p>
        <w:p w14:paraId="0601EDF3" w14:textId="049F0976" w:rsidR="00091741" w:rsidRDefault="00000000">
          <w:pPr>
            <w:pStyle w:val="TOC2"/>
            <w:tabs>
              <w:tab w:val="right" w:leader="dot" w:pos="9350"/>
            </w:tabs>
            <w:rPr>
              <w:rFonts w:eastAsiaTheme="minorEastAsia"/>
              <w:noProof/>
              <w:kern w:val="2"/>
              <w14:ligatures w14:val="standardContextual"/>
            </w:rPr>
          </w:pPr>
          <w:hyperlink w:anchor="_Toc172677015" w:history="1">
            <w:r w:rsidR="00091741" w:rsidRPr="00504099">
              <w:rPr>
                <w:rStyle w:val="Hyperlink"/>
                <w:noProof/>
              </w:rPr>
              <w:t>Key Corporate Events over the Past Five Years</w:t>
            </w:r>
            <w:r w:rsidR="00091741">
              <w:rPr>
                <w:noProof/>
                <w:webHidden/>
              </w:rPr>
              <w:tab/>
              <w:t>2</w:t>
            </w:r>
          </w:hyperlink>
        </w:p>
        <w:p w14:paraId="131224A0" w14:textId="0F56DD51" w:rsidR="00091741" w:rsidRDefault="00000000">
          <w:pPr>
            <w:pStyle w:val="TOC1"/>
            <w:tabs>
              <w:tab w:val="right" w:leader="dot" w:pos="9350"/>
            </w:tabs>
            <w:rPr>
              <w:rFonts w:eastAsiaTheme="minorEastAsia"/>
              <w:noProof/>
              <w:kern w:val="2"/>
              <w14:ligatures w14:val="standardContextual"/>
            </w:rPr>
          </w:pPr>
          <w:hyperlink w:anchor="_Toc172677016" w:history="1">
            <w:r w:rsidR="00091741" w:rsidRPr="00504099">
              <w:rPr>
                <w:rStyle w:val="Hyperlink"/>
                <w:noProof/>
              </w:rPr>
              <w:t>Part B: Financial Performance and Alternative Capital Structure Considerations</w:t>
            </w:r>
            <w:r w:rsidR="00091741">
              <w:rPr>
                <w:noProof/>
                <w:webHidden/>
              </w:rPr>
              <w:tab/>
              <w:t>3</w:t>
            </w:r>
          </w:hyperlink>
        </w:p>
        <w:p w14:paraId="3A13BB15" w14:textId="1C53CCED" w:rsidR="00091741" w:rsidRDefault="00000000">
          <w:pPr>
            <w:pStyle w:val="TOC2"/>
            <w:tabs>
              <w:tab w:val="right" w:leader="dot" w:pos="9350"/>
            </w:tabs>
            <w:rPr>
              <w:rFonts w:eastAsiaTheme="minorEastAsia"/>
              <w:noProof/>
              <w:kern w:val="2"/>
              <w14:ligatures w14:val="standardContextual"/>
            </w:rPr>
          </w:pPr>
          <w:hyperlink w:anchor="_Toc172677017" w:history="1">
            <w:r w:rsidR="00091741" w:rsidRPr="00504099">
              <w:rPr>
                <w:rStyle w:val="Hyperlink"/>
                <w:noProof/>
              </w:rPr>
              <w:t>B1. Critical Analysis of Financial Performance</w:t>
            </w:r>
            <w:r w:rsidR="00091741">
              <w:rPr>
                <w:noProof/>
                <w:webHidden/>
              </w:rPr>
              <w:tab/>
              <w:t>3</w:t>
            </w:r>
          </w:hyperlink>
        </w:p>
        <w:p w14:paraId="21FCEDDF" w14:textId="731F189D" w:rsidR="00091741" w:rsidRDefault="00000000">
          <w:pPr>
            <w:pStyle w:val="TOC2"/>
            <w:tabs>
              <w:tab w:val="right" w:leader="dot" w:pos="9350"/>
            </w:tabs>
            <w:rPr>
              <w:rFonts w:eastAsiaTheme="minorEastAsia"/>
              <w:noProof/>
              <w:kern w:val="2"/>
              <w14:ligatures w14:val="standardContextual"/>
            </w:rPr>
          </w:pPr>
          <w:hyperlink w:anchor="_Toc172677018" w:history="1">
            <w:r w:rsidR="00091741" w:rsidRPr="00504099">
              <w:rPr>
                <w:rStyle w:val="Hyperlink"/>
                <w:noProof/>
              </w:rPr>
              <w:t>B2. Review of Alternative Capital Structure Theories and Their Implications</w:t>
            </w:r>
            <w:r w:rsidR="00091741">
              <w:rPr>
                <w:noProof/>
                <w:webHidden/>
              </w:rPr>
              <w:tab/>
              <w:t>10</w:t>
            </w:r>
          </w:hyperlink>
        </w:p>
        <w:p w14:paraId="7F3E444C" w14:textId="69FA110A" w:rsidR="00091741" w:rsidRDefault="00000000">
          <w:pPr>
            <w:pStyle w:val="TOC1"/>
            <w:tabs>
              <w:tab w:val="right" w:leader="dot" w:pos="9350"/>
            </w:tabs>
            <w:rPr>
              <w:rFonts w:eastAsiaTheme="minorEastAsia"/>
              <w:noProof/>
              <w:kern w:val="2"/>
              <w14:ligatures w14:val="standardContextual"/>
            </w:rPr>
          </w:pPr>
          <w:hyperlink w:anchor="_Toc172677019" w:history="1">
            <w:r w:rsidR="00091741" w:rsidRPr="00504099">
              <w:rPr>
                <w:rStyle w:val="Hyperlink"/>
                <w:noProof/>
              </w:rPr>
              <w:t>Part C: Investment Activities and Dividend Pay-outs</w:t>
            </w:r>
            <w:r w:rsidR="00091741">
              <w:rPr>
                <w:noProof/>
                <w:webHidden/>
              </w:rPr>
              <w:tab/>
              <w:t>13</w:t>
            </w:r>
          </w:hyperlink>
        </w:p>
        <w:p w14:paraId="12CF11F8" w14:textId="4E32EFE1" w:rsidR="00091741" w:rsidRDefault="00000000">
          <w:pPr>
            <w:pStyle w:val="TOC2"/>
            <w:tabs>
              <w:tab w:val="right" w:leader="dot" w:pos="9350"/>
            </w:tabs>
            <w:rPr>
              <w:rFonts w:eastAsiaTheme="minorEastAsia"/>
              <w:noProof/>
              <w:kern w:val="2"/>
              <w14:ligatures w14:val="standardContextual"/>
            </w:rPr>
          </w:pPr>
          <w:hyperlink w:anchor="_Toc172677020" w:history="1">
            <w:r w:rsidR="00091741" w:rsidRPr="00504099">
              <w:rPr>
                <w:rStyle w:val="Hyperlink"/>
                <w:noProof/>
              </w:rPr>
              <w:t>Investment Activities</w:t>
            </w:r>
            <w:r w:rsidR="00091741">
              <w:rPr>
                <w:noProof/>
                <w:webHidden/>
              </w:rPr>
              <w:tab/>
              <w:t>13</w:t>
            </w:r>
          </w:hyperlink>
        </w:p>
        <w:p w14:paraId="2CF12266" w14:textId="72640909" w:rsidR="00091741" w:rsidRDefault="00000000">
          <w:pPr>
            <w:pStyle w:val="TOC2"/>
            <w:tabs>
              <w:tab w:val="right" w:leader="dot" w:pos="9350"/>
            </w:tabs>
            <w:rPr>
              <w:rFonts w:eastAsiaTheme="minorEastAsia"/>
              <w:noProof/>
              <w:kern w:val="2"/>
              <w14:ligatures w14:val="standardContextual"/>
            </w:rPr>
          </w:pPr>
          <w:hyperlink w:anchor="_Toc172677021" w:history="1">
            <w:r w:rsidR="00091741" w:rsidRPr="00504099">
              <w:rPr>
                <w:rStyle w:val="Hyperlink"/>
                <w:noProof/>
              </w:rPr>
              <w:t>Dividend Pay-outs</w:t>
            </w:r>
            <w:r w:rsidR="00091741">
              <w:rPr>
                <w:noProof/>
                <w:webHidden/>
              </w:rPr>
              <w:tab/>
              <w:t>17</w:t>
            </w:r>
          </w:hyperlink>
        </w:p>
        <w:p w14:paraId="39C16B96" w14:textId="1B0EC175" w:rsidR="00091741" w:rsidRDefault="00000000">
          <w:pPr>
            <w:pStyle w:val="TOC1"/>
            <w:tabs>
              <w:tab w:val="right" w:leader="dot" w:pos="9350"/>
            </w:tabs>
            <w:rPr>
              <w:rFonts w:eastAsiaTheme="minorEastAsia"/>
              <w:noProof/>
              <w:kern w:val="2"/>
              <w14:ligatures w14:val="standardContextual"/>
            </w:rPr>
          </w:pPr>
          <w:hyperlink w:anchor="_Toc172677022" w:history="1">
            <w:r w:rsidR="00091741" w:rsidRPr="00504099">
              <w:rPr>
                <w:rStyle w:val="Hyperlink"/>
                <w:noProof/>
              </w:rPr>
              <w:t>Reference list</w:t>
            </w:r>
            <w:r w:rsidR="00091741">
              <w:rPr>
                <w:noProof/>
                <w:webHidden/>
              </w:rPr>
              <w:tab/>
              <w:t>20</w:t>
            </w:r>
          </w:hyperlink>
        </w:p>
        <w:p w14:paraId="24642295" w14:textId="4C492CBD" w:rsidR="00274565" w:rsidRDefault="00000000"/>
      </w:sdtContent>
    </w:sdt>
    <w:p w14:paraId="1E62A6CD" w14:textId="77777777" w:rsidR="00E9772A" w:rsidRDefault="00E9772A" w:rsidP="0075577A">
      <w:pPr>
        <w:spacing w:line="360" w:lineRule="auto"/>
        <w:jc w:val="both"/>
        <w:rPr>
          <w:rFonts w:ascii="Times New Roman" w:hAnsi="Times New Roman" w:cs="Times New Roman"/>
          <w:sz w:val="24"/>
          <w:szCs w:val="24"/>
        </w:rPr>
      </w:pPr>
    </w:p>
    <w:p w14:paraId="76D2ED74" w14:textId="77777777" w:rsidR="00274565" w:rsidRDefault="00274565" w:rsidP="0075577A">
      <w:pPr>
        <w:spacing w:line="360" w:lineRule="auto"/>
        <w:jc w:val="both"/>
        <w:rPr>
          <w:rFonts w:ascii="Times New Roman" w:hAnsi="Times New Roman" w:cs="Times New Roman"/>
          <w:sz w:val="24"/>
          <w:szCs w:val="24"/>
        </w:rPr>
      </w:pPr>
    </w:p>
    <w:p w14:paraId="4CA9CEB8" w14:textId="77777777" w:rsidR="00274565" w:rsidRDefault="00274565" w:rsidP="0075577A">
      <w:pPr>
        <w:spacing w:line="360" w:lineRule="auto"/>
        <w:jc w:val="both"/>
        <w:rPr>
          <w:rFonts w:ascii="Times New Roman" w:hAnsi="Times New Roman" w:cs="Times New Roman"/>
          <w:sz w:val="24"/>
          <w:szCs w:val="24"/>
        </w:rPr>
      </w:pPr>
    </w:p>
    <w:p w14:paraId="4D72B2E9" w14:textId="77777777" w:rsidR="00274565" w:rsidRDefault="00274565" w:rsidP="0075577A">
      <w:pPr>
        <w:spacing w:line="360" w:lineRule="auto"/>
        <w:jc w:val="both"/>
        <w:rPr>
          <w:rFonts w:ascii="Times New Roman" w:hAnsi="Times New Roman" w:cs="Times New Roman"/>
          <w:sz w:val="24"/>
          <w:szCs w:val="24"/>
        </w:rPr>
      </w:pPr>
    </w:p>
    <w:p w14:paraId="29F40535" w14:textId="77777777" w:rsidR="00274565" w:rsidRDefault="00274565" w:rsidP="0075577A">
      <w:pPr>
        <w:spacing w:line="360" w:lineRule="auto"/>
        <w:jc w:val="both"/>
        <w:rPr>
          <w:rFonts w:ascii="Times New Roman" w:hAnsi="Times New Roman" w:cs="Times New Roman"/>
          <w:sz w:val="24"/>
          <w:szCs w:val="24"/>
        </w:rPr>
      </w:pPr>
    </w:p>
    <w:p w14:paraId="2196D835" w14:textId="77777777" w:rsidR="00274565" w:rsidRDefault="00274565" w:rsidP="0075577A">
      <w:pPr>
        <w:spacing w:line="360" w:lineRule="auto"/>
        <w:jc w:val="both"/>
        <w:rPr>
          <w:rFonts w:ascii="Times New Roman" w:hAnsi="Times New Roman" w:cs="Times New Roman"/>
          <w:sz w:val="24"/>
          <w:szCs w:val="24"/>
        </w:rPr>
      </w:pPr>
    </w:p>
    <w:p w14:paraId="58C8A0E7" w14:textId="77777777" w:rsidR="00274565" w:rsidRDefault="00274565" w:rsidP="0075577A">
      <w:pPr>
        <w:spacing w:line="360" w:lineRule="auto"/>
        <w:jc w:val="both"/>
        <w:rPr>
          <w:rFonts w:ascii="Times New Roman" w:hAnsi="Times New Roman" w:cs="Times New Roman"/>
          <w:sz w:val="24"/>
          <w:szCs w:val="24"/>
        </w:rPr>
      </w:pPr>
    </w:p>
    <w:p w14:paraId="58779890" w14:textId="77777777" w:rsidR="00274565" w:rsidRDefault="00274565" w:rsidP="0075577A">
      <w:pPr>
        <w:spacing w:line="360" w:lineRule="auto"/>
        <w:jc w:val="both"/>
        <w:rPr>
          <w:rFonts w:ascii="Times New Roman" w:hAnsi="Times New Roman" w:cs="Times New Roman"/>
          <w:sz w:val="24"/>
          <w:szCs w:val="24"/>
        </w:rPr>
      </w:pPr>
    </w:p>
    <w:p w14:paraId="4319DC10" w14:textId="77777777" w:rsidR="00274565" w:rsidRDefault="00274565" w:rsidP="0075577A">
      <w:pPr>
        <w:spacing w:line="360" w:lineRule="auto"/>
        <w:jc w:val="both"/>
        <w:rPr>
          <w:rFonts w:ascii="Times New Roman" w:hAnsi="Times New Roman" w:cs="Times New Roman"/>
          <w:sz w:val="24"/>
          <w:szCs w:val="24"/>
        </w:rPr>
      </w:pPr>
    </w:p>
    <w:p w14:paraId="7FE837F7" w14:textId="77777777" w:rsidR="00274565" w:rsidRDefault="00274565" w:rsidP="0075577A">
      <w:pPr>
        <w:spacing w:line="360" w:lineRule="auto"/>
        <w:jc w:val="both"/>
        <w:rPr>
          <w:rFonts w:ascii="Times New Roman" w:hAnsi="Times New Roman" w:cs="Times New Roman"/>
          <w:sz w:val="24"/>
          <w:szCs w:val="24"/>
        </w:rPr>
      </w:pPr>
    </w:p>
    <w:p w14:paraId="4D50840F" w14:textId="77777777" w:rsidR="00274565" w:rsidRDefault="00274565" w:rsidP="0075577A">
      <w:pPr>
        <w:spacing w:line="360" w:lineRule="auto"/>
        <w:jc w:val="both"/>
        <w:rPr>
          <w:rFonts w:ascii="Times New Roman" w:hAnsi="Times New Roman" w:cs="Times New Roman"/>
          <w:sz w:val="24"/>
          <w:szCs w:val="24"/>
        </w:rPr>
      </w:pPr>
    </w:p>
    <w:p w14:paraId="152332A8" w14:textId="77777777" w:rsidR="00274565" w:rsidRDefault="00274565" w:rsidP="0075577A">
      <w:pPr>
        <w:spacing w:line="360" w:lineRule="auto"/>
        <w:jc w:val="both"/>
        <w:rPr>
          <w:rFonts w:ascii="Times New Roman" w:hAnsi="Times New Roman" w:cs="Times New Roman"/>
          <w:sz w:val="24"/>
          <w:szCs w:val="24"/>
        </w:rPr>
      </w:pPr>
    </w:p>
    <w:p w14:paraId="13C46970" w14:textId="2D680D58" w:rsidR="0075577A" w:rsidRPr="0075577A" w:rsidRDefault="0075577A" w:rsidP="0075577A">
      <w:pPr>
        <w:pStyle w:val="Heading1"/>
      </w:pPr>
      <w:bookmarkStart w:id="0" w:name="_Toc172677013"/>
      <w:r w:rsidRPr="0075577A">
        <w:lastRenderedPageBreak/>
        <w:t>Part A: Introduction</w:t>
      </w:r>
      <w:bookmarkEnd w:id="0"/>
    </w:p>
    <w:p w14:paraId="782156E5" w14:textId="254A30A2" w:rsidR="0075577A" w:rsidRDefault="0075577A" w:rsidP="0075577A">
      <w:pPr>
        <w:pStyle w:val="Heading2"/>
      </w:pPr>
      <w:bookmarkStart w:id="1" w:name="_Toc172677014"/>
      <w:r w:rsidRPr="0075577A">
        <w:t>Brief History of Waitrose</w:t>
      </w:r>
      <w:bookmarkEnd w:id="1"/>
    </w:p>
    <w:p w14:paraId="710D9CAA" w14:textId="01E36D7D" w:rsidR="0075577A" w:rsidRPr="0075577A" w:rsidRDefault="0075577A" w:rsidP="0075577A">
      <w:pPr>
        <w:spacing w:line="360" w:lineRule="auto"/>
        <w:jc w:val="both"/>
        <w:rPr>
          <w:rFonts w:ascii="Times New Roman" w:hAnsi="Times New Roman" w:cs="Times New Roman"/>
          <w:sz w:val="24"/>
          <w:szCs w:val="24"/>
        </w:rPr>
      </w:pPr>
      <w:r w:rsidRPr="0075577A">
        <w:rPr>
          <w:rFonts w:ascii="Times New Roman" w:hAnsi="Times New Roman" w:cs="Times New Roman"/>
          <w:sz w:val="24"/>
          <w:szCs w:val="24"/>
        </w:rPr>
        <w:t xml:space="preserve">Waitrose, a prominent British supermarket chain, was founded in 1904 by Wallace Waite, Arthur Rose, and David Taylor in Acton, London. Initially a </w:t>
      </w:r>
      <w:r w:rsidR="00BC18C1">
        <w:rPr>
          <w:rFonts w:ascii="Times New Roman" w:hAnsi="Times New Roman" w:cs="Times New Roman"/>
          <w:sz w:val="24"/>
          <w:szCs w:val="24"/>
        </w:rPr>
        <w:t>tiny</w:t>
      </w:r>
      <w:r w:rsidRPr="0075577A">
        <w:rPr>
          <w:rFonts w:ascii="Times New Roman" w:hAnsi="Times New Roman" w:cs="Times New Roman"/>
          <w:sz w:val="24"/>
          <w:szCs w:val="24"/>
        </w:rPr>
        <w:t xml:space="preserve"> grocery shop, it expanded rapidly and was acquired by John Lewis Partnership in 1937</w:t>
      </w:r>
      <w:r w:rsidR="00173CBF" w:rsidRPr="00173CBF">
        <w:t xml:space="preserve"> </w:t>
      </w:r>
      <w:r w:rsidR="00173CBF" w:rsidRPr="00173CBF">
        <w:rPr>
          <w:rFonts w:ascii="Times New Roman" w:hAnsi="Times New Roman" w:cs="Times New Roman"/>
          <w:sz w:val="24"/>
          <w:szCs w:val="24"/>
        </w:rPr>
        <w:t xml:space="preserve">(Waitrose </w:t>
      </w:r>
      <w:r w:rsidR="006A6D02">
        <w:rPr>
          <w:rFonts w:ascii="Times New Roman" w:hAnsi="Times New Roman" w:cs="Times New Roman"/>
          <w:sz w:val="24"/>
          <w:szCs w:val="24"/>
        </w:rPr>
        <w:t>and</w:t>
      </w:r>
      <w:r w:rsidR="00173CBF" w:rsidRPr="00173CBF">
        <w:rPr>
          <w:rFonts w:ascii="Times New Roman" w:hAnsi="Times New Roman" w:cs="Times New Roman"/>
          <w:sz w:val="24"/>
          <w:szCs w:val="24"/>
        </w:rPr>
        <w:t xml:space="preserve"> Partners, 2024)</w:t>
      </w:r>
      <w:r w:rsidRPr="0075577A">
        <w:rPr>
          <w:rFonts w:ascii="Times New Roman" w:hAnsi="Times New Roman" w:cs="Times New Roman"/>
          <w:sz w:val="24"/>
          <w:szCs w:val="24"/>
        </w:rPr>
        <w:t xml:space="preserve">. This integration facilitated growth and helped establish Waitrose as a </w:t>
      </w:r>
      <w:r w:rsidR="000D35B7">
        <w:rPr>
          <w:rFonts w:ascii="Times New Roman" w:hAnsi="Times New Roman" w:cs="Times New Roman"/>
          <w:sz w:val="24"/>
          <w:szCs w:val="24"/>
        </w:rPr>
        <w:t>significant</w:t>
      </w:r>
      <w:r w:rsidRPr="0075577A">
        <w:rPr>
          <w:rFonts w:ascii="Times New Roman" w:hAnsi="Times New Roman" w:cs="Times New Roman"/>
          <w:sz w:val="24"/>
          <w:szCs w:val="24"/>
        </w:rPr>
        <w:t xml:space="preserve"> player in the UK’s retail market. Over the decades, Waitrose has differentiated itself </w:t>
      </w:r>
      <w:r w:rsidR="000D35B7">
        <w:rPr>
          <w:rFonts w:ascii="Times New Roman" w:hAnsi="Times New Roman" w:cs="Times New Roman"/>
          <w:sz w:val="24"/>
          <w:szCs w:val="24"/>
        </w:rPr>
        <w:t>by focusing</w:t>
      </w:r>
      <w:r w:rsidRPr="0075577A">
        <w:rPr>
          <w:rFonts w:ascii="Times New Roman" w:hAnsi="Times New Roman" w:cs="Times New Roman"/>
          <w:sz w:val="24"/>
          <w:szCs w:val="24"/>
        </w:rPr>
        <w:t xml:space="preserve"> on quality, customer service, and sustainability, cementing its reputation as a premium retailer in the grocery sector.</w:t>
      </w:r>
    </w:p>
    <w:p w14:paraId="2B160889" w14:textId="0CD33A9E" w:rsidR="0075577A" w:rsidRDefault="0075577A" w:rsidP="0075577A">
      <w:pPr>
        <w:pStyle w:val="Heading2"/>
      </w:pPr>
      <w:bookmarkStart w:id="2" w:name="_Toc172677015"/>
      <w:r w:rsidRPr="0075577A">
        <w:t>Key Corporate Events over the Past Five Years</w:t>
      </w:r>
      <w:bookmarkEnd w:id="2"/>
    </w:p>
    <w:p w14:paraId="6159478F" w14:textId="3A8ADF4E" w:rsidR="0075577A" w:rsidRPr="0075577A" w:rsidRDefault="000D35B7" w:rsidP="0075577A">
      <w:pPr>
        <w:spacing w:line="360" w:lineRule="auto"/>
        <w:jc w:val="both"/>
        <w:rPr>
          <w:rFonts w:ascii="Times New Roman" w:hAnsi="Times New Roman" w:cs="Times New Roman"/>
          <w:sz w:val="24"/>
          <w:szCs w:val="24"/>
        </w:rPr>
      </w:pPr>
      <w:r>
        <w:rPr>
          <w:rFonts w:ascii="Times New Roman" w:hAnsi="Times New Roman" w:cs="Times New Roman"/>
          <w:sz w:val="24"/>
          <w:szCs w:val="24"/>
        </w:rPr>
        <w:t>Waitrose has undergone significant changes in the past five years</w:t>
      </w:r>
      <w:r w:rsidR="0075577A" w:rsidRPr="0075577A">
        <w:rPr>
          <w:rFonts w:ascii="Times New Roman" w:hAnsi="Times New Roman" w:cs="Times New Roman"/>
          <w:sz w:val="24"/>
          <w:szCs w:val="24"/>
        </w:rPr>
        <w:t xml:space="preserve">, reflecting broader industry trends and internal strategic shifts. </w:t>
      </w:r>
      <w:r>
        <w:rPr>
          <w:rFonts w:ascii="Times New Roman" w:hAnsi="Times New Roman" w:cs="Times New Roman"/>
          <w:sz w:val="24"/>
          <w:szCs w:val="24"/>
        </w:rPr>
        <w:t>In</w:t>
      </w:r>
      <w:r w:rsidR="0075577A" w:rsidRPr="0075577A">
        <w:rPr>
          <w:rFonts w:ascii="Times New Roman" w:hAnsi="Times New Roman" w:cs="Times New Roman"/>
          <w:sz w:val="24"/>
          <w:szCs w:val="24"/>
        </w:rPr>
        <w:t xml:space="preserve"> 2019, Waitrose sold five of its stores to various competitors, including Lidl and Co-op, as part of a strategic </w:t>
      </w:r>
      <w:r w:rsidR="00091741">
        <w:rPr>
          <w:rFonts w:ascii="Times New Roman" w:hAnsi="Times New Roman" w:cs="Times New Roman"/>
          <w:sz w:val="24"/>
          <w:szCs w:val="24"/>
        </w:rPr>
        <w:t>reorganisation</w:t>
      </w:r>
      <w:r w:rsidR="0075577A" w:rsidRPr="0075577A">
        <w:rPr>
          <w:rFonts w:ascii="Times New Roman" w:hAnsi="Times New Roman" w:cs="Times New Roman"/>
          <w:sz w:val="24"/>
          <w:szCs w:val="24"/>
        </w:rPr>
        <w:t xml:space="preserve"> to </w:t>
      </w:r>
      <w:r w:rsidR="00091741">
        <w:rPr>
          <w:rFonts w:ascii="Times New Roman" w:hAnsi="Times New Roman" w:cs="Times New Roman"/>
          <w:sz w:val="24"/>
          <w:szCs w:val="24"/>
        </w:rPr>
        <w:t>optimise</w:t>
      </w:r>
      <w:r w:rsidR="0075577A" w:rsidRPr="0075577A">
        <w:rPr>
          <w:rFonts w:ascii="Times New Roman" w:hAnsi="Times New Roman" w:cs="Times New Roman"/>
          <w:sz w:val="24"/>
          <w:szCs w:val="24"/>
        </w:rPr>
        <w:t xml:space="preserve"> its store portfolio and focus on online growth</w:t>
      </w:r>
      <w:r w:rsidR="00173CBF" w:rsidRPr="00173CBF">
        <w:t xml:space="preserve"> </w:t>
      </w:r>
      <w:r w:rsidR="00173CBF" w:rsidRPr="00173CBF">
        <w:rPr>
          <w:rFonts w:ascii="Times New Roman" w:hAnsi="Times New Roman" w:cs="Times New Roman"/>
          <w:sz w:val="24"/>
          <w:szCs w:val="24"/>
        </w:rPr>
        <w:t>(Allen, Piecyk</w:t>
      </w:r>
      <w:r w:rsidR="00BC18C1">
        <w:rPr>
          <w:rFonts w:ascii="Times New Roman" w:hAnsi="Times New Roman" w:cs="Times New Roman"/>
          <w:sz w:val="24"/>
          <w:szCs w:val="24"/>
        </w:rPr>
        <w:t>,</w:t>
      </w:r>
      <w:r w:rsidR="00173CBF" w:rsidRPr="00173CBF">
        <w:rPr>
          <w:rFonts w:ascii="Times New Roman" w:hAnsi="Times New Roman" w:cs="Times New Roman"/>
          <w:sz w:val="24"/>
          <w:szCs w:val="24"/>
        </w:rPr>
        <w:t xml:space="preserve"> and Piotrowska, 2018)</w:t>
      </w:r>
      <w:r w:rsidR="0075577A" w:rsidRPr="0075577A">
        <w:rPr>
          <w:rFonts w:ascii="Times New Roman" w:hAnsi="Times New Roman" w:cs="Times New Roman"/>
          <w:sz w:val="24"/>
          <w:szCs w:val="24"/>
        </w:rPr>
        <w:t xml:space="preserve">. This move aimed to streamline operations and respond to changing consumer </w:t>
      </w:r>
      <w:r w:rsidR="00DA23BF">
        <w:rPr>
          <w:rFonts w:ascii="Times New Roman" w:hAnsi="Times New Roman" w:cs="Times New Roman"/>
          <w:sz w:val="24"/>
          <w:szCs w:val="24"/>
        </w:rPr>
        <w:t>behaviors</w:t>
      </w:r>
      <w:r w:rsidR="00091741">
        <w:rPr>
          <w:rFonts w:ascii="Times New Roman" w:hAnsi="Times New Roman" w:cs="Times New Roman"/>
          <w:sz w:val="24"/>
          <w:szCs w:val="24"/>
        </w:rPr>
        <w:t xml:space="preserve"> </w:t>
      </w:r>
      <w:r w:rsidR="00DA23BF">
        <w:rPr>
          <w:rFonts w:ascii="Times New Roman" w:hAnsi="Times New Roman" w:cs="Times New Roman"/>
          <w:sz w:val="24"/>
          <w:szCs w:val="24"/>
        </w:rPr>
        <w:t>favoring</w:t>
      </w:r>
      <w:r w:rsidR="0075577A" w:rsidRPr="0075577A">
        <w:rPr>
          <w:rFonts w:ascii="Times New Roman" w:hAnsi="Times New Roman" w:cs="Times New Roman"/>
          <w:sz w:val="24"/>
          <w:szCs w:val="24"/>
        </w:rPr>
        <w:t xml:space="preserve"> online shopping.</w:t>
      </w:r>
      <w:r w:rsidR="0075577A">
        <w:rPr>
          <w:rFonts w:ascii="Times New Roman" w:hAnsi="Times New Roman" w:cs="Times New Roman"/>
          <w:sz w:val="24"/>
          <w:szCs w:val="24"/>
        </w:rPr>
        <w:t xml:space="preserve"> </w:t>
      </w:r>
      <w:r w:rsidR="0075577A" w:rsidRPr="0075577A">
        <w:rPr>
          <w:rFonts w:ascii="Times New Roman" w:hAnsi="Times New Roman" w:cs="Times New Roman"/>
          <w:sz w:val="24"/>
          <w:szCs w:val="24"/>
        </w:rPr>
        <w:t>Leadership changes have also played a crucial role in shaping Waitrose's direction. In 2020, James Bailey was appointed Executive Director, bringing fresh perspectives from his experience at Sainsbury’s</w:t>
      </w:r>
      <w:r w:rsidR="00173CBF" w:rsidRPr="00173CBF">
        <w:t xml:space="preserve"> </w:t>
      </w:r>
      <w:r w:rsidR="00173CBF" w:rsidRPr="00173CBF">
        <w:rPr>
          <w:rFonts w:ascii="Times New Roman" w:hAnsi="Times New Roman" w:cs="Times New Roman"/>
          <w:sz w:val="24"/>
          <w:szCs w:val="24"/>
        </w:rPr>
        <w:t>(Baines, Fill and Rosengren, 2017)</w:t>
      </w:r>
      <w:r w:rsidR="0075577A" w:rsidRPr="0075577A">
        <w:rPr>
          <w:rFonts w:ascii="Times New Roman" w:hAnsi="Times New Roman" w:cs="Times New Roman"/>
          <w:sz w:val="24"/>
          <w:szCs w:val="24"/>
        </w:rPr>
        <w:t xml:space="preserve">. His leadership has </w:t>
      </w:r>
      <w:r>
        <w:rPr>
          <w:rFonts w:ascii="Times New Roman" w:hAnsi="Times New Roman" w:cs="Times New Roman"/>
          <w:sz w:val="24"/>
          <w:szCs w:val="24"/>
        </w:rPr>
        <w:t>driven digital transformation and enhanced</w:t>
      </w:r>
      <w:r w:rsidR="0075577A" w:rsidRPr="0075577A">
        <w:rPr>
          <w:rFonts w:ascii="Times New Roman" w:hAnsi="Times New Roman" w:cs="Times New Roman"/>
          <w:sz w:val="24"/>
          <w:szCs w:val="24"/>
        </w:rPr>
        <w:t xml:space="preserve"> the company's online presence, particularly during the COVID-19 pandemic when e-commerce became critical.</w:t>
      </w:r>
    </w:p>
    <w:p w14:paraId="7757A882" w14:textId="363D6F70" w:rsidR="008F4DAE" w:rsidRPr="008F4DAE" w:rsidRDefault="0075577A" w:rsidP="008F4DAE">
      <w:pPr>
        <w:spacing w:line="360" w:lineRule="auto"/>
        <w:jc w:val="both"/>
        <w:rPr>
          <w:rFonts w:ascii="Times New Roman" w:hAnsi="Times New Roman" w:cs="Times New Roman"/>
          <w:sz w:val="24"/>
          <w:szCs w:val="24"/>
        </w:rPr>
      </w:pPr>
      <w:r w:rsidRPr="0075577A">
        <w:rPr>
          <w:rFonts w:ascii="Times New Roman" w:hAnsi="Times New Roman" w:cs="Times New Roman"/>
          <w:sz w:val="24"/>
          <w:szCs w:val="24"/>
        </w:rPr>
        <w:t>Financial performance over this period has seen fluctuations influenced by external and internal factors. For instance, the financial year 2020/2021 witnessed a significant rise in sales due to the pandemic, with Waitrose experiencing a 10% increase in like-for-like sales as consumers shifted towards grocery shopping during lockdowns</w:t>
      </w:r>
      <w:r w:rsidR="00173CBF" w:rsidRPr="00173CBF">
        <w:t xml:space="preserve"> </w:t>
      </w:r>
      <w:r w:rsidR="00173CBF" w:rsidRPr="00173CBF">
        <w:rPr>
          <w:rFonts w:ascii="Times New Roman" w:hAnsi="Times New Roman" w:cs="Times New Roman"/>
          <w:sz w:val="24"/>
          <w:szCs w:val="24"/>
        </w:rPr>
        <w:t>(</w:t>
      </w:r>
      <w:r w:rsidR="00BC18C1">
        <w:rPr>
          <w:rFonts w:ascii="Times New Roman" w:hAnsi="Times New Roman" w:cs="Times New Roman"/>
          <w:sz w:val="24"/>
          <w:szCs w:val="24"/>
        </w:rPr>
        <w:t>Waitrose</w:t>
      </w:r>
      <w:r w:rsidR="00173CBF" w:rsidRPr="00173CBF">
        <w:rPr>
          <w:rFonts w:ascii="Times New Roman" w:hAnsi="Times New Roman" w:cs="Times New Roman"/>
          <w:sz w:val="24"/>
          <w:szCs w:val="24"/>
        </w:rPr>
        <w:t>, 2024)</w:t>
      </w:r>
      <w:r w:rsidRPr="0075577A">
        <w:rPr>
          <w:rFonts w:ascii="Times New Roman" w:hAnsi="Times New Roman" w:cs="Times New Roman"/>
          <w:sz w:val="24"/>
          <w:szCs w:val="24"/>
        </w:rPr>
        <w:t xml:space="preserve">. </w:t>
      </w:r>
      <w:r w:rsidR="008F4DAE" w:rsidRPr="008F4DAE">
        <w:rPr>
          <w:rFonts w:ascii="Times New Roman" w:hAnsi="Times New Roman" w:cs="Times New Roman"/>
          <w:sz w:val="24"/>
          <w:szCs w:val="24"/>
        </w:rPr>
        <w:t xml:space="preserve">Nevertheless, it was coupled with </w:t>
      </w:r>
      <w:r w:rsidR="008F4DAE">
        <w:rPr>
          <w:rFonts w:ascii="Times New Roman" w:hAnsi="Times New Roman" w:cs="Times New Roman"/>
          <w:sz w:val="24"/>
          <w:szCs w:val="24"/>
        </w:rPr>
        <w:t xml:space="preserve">the escalation of operational expenses and the development of an </w:t>
      </w:r>
      <w:r w:rsidR="008F4DAE" w:rsidRPr="008F4DAE">
        <w:rPr>
          <w:rFonts w:ascii="Times New Roman" w:hAnsi="Times New Roman" w:cs="Times New Roman"/>
          <w:sz w:val="24"/>
          <w:szCs w:val="24"/>
        </w:rPr>
        <w:t xml:space="preserve">online platform </w:t>
      </w:r>
      <w:r w:rsidR="001E19EB">
        <w:rPr>
          <w:rFonts w:ascii="Times New Roman" w:hAnsi="Times New Roman" w:cs="Times New Roman"/>
          <w:sz w:val="24"/>
          <w:szCs w:val="24"/>
        </w:rPr>
        <w:t>that affected</w:t>
      </w:r>
      <w:r w:rsidR="008F4DAE" w:rsidRPr="008F4DAE">
        <w:rPr>
          <w:rFonts w:ascii="Times New Roman" w:hAnsi="Times New Roman" w:cs="Times New Roman"/>
          <w:sz w:val="24"/>
          <w:szCs w:val="24"/>
        </w:rPr>
        <w:t xml:space="preserve"> profits. It has also led to legal and regulatory constraints. Consumer protection is another area in which concerns were brought to light in 2021</w:t>
      </w:r>
      <w:r w:rsidR="008F4DAE">
        <w:rPr>
          <w:rFonts w:ascii="Times New Roman" w:hAnsi="Times New Roman" w:cs="Times New Roman"/>
          <w:sz w:val="24"/>
          <w:szCs w:val="24"/>
        </w:rPr>
        <w:t>.</w:t>
      </w:r>
      <w:r w:rsidR="008F4DAE" w:rsidRPr="008F4DAE">
        <w:rPr>
          <w:rFonts w:ascii="Times New Roman" w:hAnsi="Times New Roman" w:cs="Times New Roman"/>
          <w:sz w:val="24"/>
          <w:szCs w:val="24"/>
        </w:rPr>
        <w:t xml:space="preserve"> Waitrose was accused of </w:t>
      </w:r>
      <w:r w:rsidR="001E19EB">
        <w:rPr>
          <w:rFonts w:ascii="Times New Roman" w:hAnsi="Times New Roman" w:cs="Times New Roman"/>
          <w:sz w:val="24"/>
          <w:szCs w:val="24"/>
        </w:rPr>
        <w:t>several</w:t>
      </w:r>
      <w:r w:rsidR="008F4DAE" w:rsidRPr="008F4DAE">
        <w:rPr>
          <w:rFonts w:ascii="Times New Roman" w:hAnsi="Times New Roman" w:cs="Times New Roman"/>
          <w:sz w:val="24"/>
          <w:szCs w:val="24"/>
        </w:rPr>
        <w:t xml:space="preserve"> instances of misleading </w:t>
      </w:r>
      <w:r w:rsidR="00091741">
        <w:rPr>
          <w:rFonts w:ascii="Times New Roman" w:hAnsi="Times New Roman" w:cs="Times New Roman"/>
          <w:sz w:val="24"/>
          <w:szCs w:val="24"/>
        </w:rPr>
        <w:t>labelling</w:t>
      </w:r>
      <w:r w:rsidR="008F4DAE" w:rsidRPr="008F4DAE">
        <w:rPr>
          <w:rFonts w:ascii="Times New Roman" w:hAnsi="Times New Roman" w:cs="Times New Roman"/>
          <w:sz w:val="24"/>
          <w:szCs w:val="24"/>
        </w:rPr>
        <w:t xml:space="preserve"> practices. The case showed how trust </w:t>
      </w:r>
      <w:proofErr w:type="gramStart"/>
      <w:r w:rsidR="008F4DAE" w:rsidRPr="008F4DAE">
        <w:rPr>
          <w:rFonts w:ascii="Times New Roman" w:hAnsi="Times New Roman" w:cs="Times New Roman"/>
          <w:sz w:val="24"/>
          <w:szCs w:val="24"/>
        </w:rPr>
        <w:t>has to</w:t>
      </w:r>
      <w:proofErr w:type="gramEnd"/>
      <w:r w:rsidR="008F4DAE" w:rsidRPr="008F4DAE">
        <w:rPr>
          <w:rFonts w:ascii="Times New Roman" w:hAnsi="Times New Roman" w:cs="Times New Roman"/>
          <w:sz w:val="24"/>
          <w:szCs w:val="24"/>
        </w:rPr>
        <w:t xml:space="preserve"> be earned and that communication has to be </w:t>
      </w:r>
      <w:r w:rsidR="001E19EB">
        <w:rPr>
          <w:rFonts w:ascii="Times New Roman" w:hAnsi="Times New Roman" w:cs="Times New Roman"/>
          <w:sz w:val="24"/>
          <w:szCs w:val="24"/>
        </w:rPr>
        <w:t>transparent</w:t>
      </w:r>
      <w:r w:rsidR="008F4DAE" w:rsidRPr="008F4DAE">
        <w:rPr>
          <w:rFonts w:ascii="Times New Roman" w:hAnsi="Times New Roman" w:cs="Times New Roman"/>
          <w:sz w:val="24"/>
          <w:szCs w:val="24"/>
        </w:rPr>
        <w:t xml:space="preserve"> and honest in a consumption context.</w:t>
      </w:r>
    </w:p>
    <w:p w14:paraId="4C81F2E8" w14:textId="188BD5D9" w:rsidR="0075577A" w:rsidRPr="0075577A" w:rsidRDefault="008F4DAE" w:rsidP="008F4DAE">
      <w:pPr>
        <w:spacing w:line="360" w:lineRule="auto"/>
        <w:jc w:val="both"/>
        <w:rPr>
          <w:rFonts w:ascii="Times New Roman" w:hAnsi="Times New Roman" w:cs="Times New Roman"/>
          <w:sz w:val="24"/>
          <w:szCs w:val="24"/>
        </w:rPr>
      </w:pPr>
      <w:r w:rsidRPr="008F4DAE">
        <w:rPr>
          <w:rFonts w:ascii="Times New Roman" w:hAnsi="Times New Roman" w:cs="Times New Roman"/>
          <w:sz w:val="24"/>
          <w:szCs w:val="24"/>
        </w:rPr>
        <w:lastRenderedPageBreak/>
        <w:t>Tactically, Waitrose</w:t>
      </w:r>
      <w:r>
        <w:rPr>
          <w:rFonts w:ascii="Times New Roman" w:hAnsi="Times New Roman" w:cs="Times New Roman"/>
          <w:sz w:val="24"/>
          <w:szCs w:val="24"/>
        </w:rPr>
        <w:t>, the SPI,</w:t>
      </w:r>
      <w:r w:rsidRPr="008F4DAE">
        <w:rPr>
          <w:rFonts w:ascii="Times New Roman" w:hAnsi="Times New Roman" w:cs="Times New Roman"/>
          <w:sz w:val="24"/>
          <w:szCs w:val="24"/>
        </w:rPr>
        <w:t xml:space="preserve"> has been undertaking radical changes that meet the larger strategic plan of the John Lewis Partnership.</w:t>
      </w:r>
      <w:r w:rsidR="0075577A" w:rsidRPr="0075577A">
        <w:rPr>
          <w:rFonts w:ascii="Times New Roman" w:hAnsi="Times New Roman" w:cs="Times New Roman"/>
          <w:sz w:val="24"/>
          <w:szCs w:val="24"/>
        </w:rPr>
        <w:t xml:space="preserve"> In 2020, the company committed to eliminating single-use plastic packaging by 2023, reflecting its dedication to environmental stewardship. Waitrose's investment in sustainable farming practices and renewable energy sources exemplifies its proactive approach to addressing environmental concerns</w:t>
      </w:r>
      <w:r w:rsidR="00B5712F" w:rsidRPr="00B5712F">
        <w:t xml:space="preserve"> </w:t>
      </w:r>
      <w:r w:rsidR="00B5712F" w:rsidRPr="00B5712F">
        <w:rPr>
          <w:rFonts w:ascii="Times New Roman" w:hAnsi="Times New Roman" w:cs="Times New Roman"/>
          <w:sz w:val="24"/>
          <w:szCs w:val="24"/>
        </w:rPr>
        <w:t>(James, Else</w:t>
      </w:r>
      <w:r w:rsidR="00BC18C1">
        <w:rPr>
          <w:rFonts w:ascii="Times New Roman" w:hAnsi="Times New Roman" w:cs="Times New Roman"/>
          <w:sz w:val="24"/>
          <w:szCs w:val="24"/>
        </w:rPr>
        <w:t>,</w:t>
      </w:r>
      <w:r w:rsidR="00B5712F" w:rsidRPr="00B5712F">
        <w:rPr>
          <w:rFonts w:ascii="Times New Roman" w:hAnsi="Times New Roman" w:cs="Times New Roman"/>
          <w:sz w:val="24"/>
          <w:szCs w:val="24"/>
        </w:rPr>
        <w:t xml:space="preserve"> and School, 2021)</w:t>
      </w:r>
      <w:r w:rsidR="0075577A" w:rsidRPr="0075577A">
        <w:rPr>
          <w:rFonts w:ascii="Times New Roman" w:hAnsi="Times New Roman" w:cs="Times New Roman"/>
          <w:sz w:val="24"/>
          <w:szCs w:val="24"/>
        </w:rPr>
        <w:t>.</w:t>
      </w:r>
    </w:p>
    <w:p w14:paraId="30508AD2" w14:textId="63670AEA" w:rsidR="0075577A" w:rsidRDefault="00BC18C1" w:rsidP="007557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Strategic </w:t>
      </w:r>
      <w:r w:rsidR="00091741">
        <w:rPr>
          <w:rFonts w:ascii="Times New Roman" w:hAnsi="Times New Roman" w:cs="Times New Roman"/>
          <w:sz w:val="24"/>
          <w:szCs w:val="24"/>
        </w:rPr>
        <w:t>reorganisation</w:t>
      </w:r>
      <w:r>
        <w:rPr>
          <w:rFonts w:ascii="Times New Roman" w:hAnsi="Times New Roman" w:cs="Times New Roman"/>
          <w:sz w:val="24"/>
          <w:szCs w:val="24"/>
        </w:rPr>
        <w:t xml:space="preserve">, leadership changes, financial variability, legal challenges, and a solid commitment to sustainability have </w:t>
      </w:r>
      <w:r w:rsidR="00091741">
        <w:rPr>
          <w:rFonts w:ascii="Times New Roman" w:hAnsi="Times New Roman" w:cs="Times New Roman"/>
          <w:sz w:val="24"/>
          <w:szCs w:val="24"/>
        </w:rPr>
        <w:t>characterised</w:t>
      </w:r>
      <w:r>
        <w:rPr>
          <w:rFonts w:ascii="Times New Roman" w:hAnsi="Times New Roman" w:cs="Times New Roman"/>
          <w:sz w:val="24"/>
          <w:szCs w:val="24"/>
        </w:rPr>
        <w:t xml:space="preserve"> Waitrose's past five years</w:t>
      </w:r>
      <w:r w:rsidR="0075577A" w:rsidRPr="0075577A">
        <w:rPr>
          <w:rFonts w:ascii="Times New Roman" w:hAnsi="Times New Roman" w:cs="Times New Roman"/>
          <w:sz w:val="24"/>
          <w:szCs w:val="24"/>
        </w:rPr>
        <w:t xml:space="preserve">. </w:t>
      </w:r>
      <w:r w:rsidR="00091741">
        <w:rPr>
          <w:rFonts w:ascii="Times New Roman" w:hAnsi="Times New Roman" w:cs="Times New Roman"/>
          <w:sz w:val="24"/>
          <w:szCs w:val="24"/>
        </w:rPr>
        <w:t>Collectively, these elements</w:t>
      </w:r>
      <w:r w:rsidR="0075577A" w:rsidRPr="0075577A">
        <w:rPr>
          <w:rFonts w:ascii="Times New Roman" w:hAnsi="Times New Roman" w:cs="Times New Roman"/>
          <w:sz w:val="24"/>
          <w:szCs w:val="24"/>
        </w:rPr>
        <w:t xml:space="preserve"> illustrate a period of adaptation and transformation </w:t>
      </w:r>
      <w:r w:rsidR="000D35B7">
        <w:rPr>
          <w:rFonts w:ascii="Times New Roman" w:hAnsi="Times New Roman" w:cs="Times New Roman"/>
          <w:sz w:val="24"/>
          <w:szCs w:val="24"/>
        </w:rPr>
        <w:t>to secure</w:t>
      </w:r>
      <w:r w:rsidR="0075577A" w:rsidRPr="0075577A">
        <w:rPr>
          <w:rFonts w:ascii="Times New Roman" w:hAnsi="Times New Roman" w:cs="Times New Roman"/>
          <w:sz w:val="24"/>
          <w:szCs w:val="24"/>
        </w:rPr>
        <w:t xml:space="preserve"> its competitive position in a rapidly evolving retail landscape.</w:t>
      </w:r>
    </w:p>
    <w:p w14:paraId="1909B571" w14:textId="735F87F0" w:rsidR="0075577A" w:rsidRPr="0075577A" w:rsidRDefault="0075577A" w:rsidP="0075577A">
      <w:pPr>
        <w:pStyle w:val="Heading1"/>
      </w:pPr>
      <w:bookmarkStart w:id="3" w:name="_Toc172677016"/>
      <w:r w:rsidRPr="0075577A">
        <w:t>Part B: Financial Performance and Alternative Capital Structure Considerations</w:t>
      </w:r>
      <w:bookmarkEnd w:id="3"/>
    </w:p>
    <w:p w14:paraId="2AB47E71" w14:textId="69E68666" w:rsidR="0075577A" w:rsidRPr="0075577A" w:rsidRDefault="0075577A" w:rsidP="0075577A">
      <w:pPr>
        <w:pStyle w:val="Heading2"/>
      </w:pPr>
      <w:bookmarkStart w:id="4" w:name="_Toc172677017"/>
      <w:r w:rsidRPr="0075577A">
        <w:t>B1. Critical Analysis of Financial Performance</w:t>
      </w:r>
      <w:bookmarkEnd w:id="4"/>
    </w:p>
    <w:p w14:paraId="3FC0F91A" w14:textId="21420B0B" w:rsidR="0075577A" w:rsidRPr="0075577A" w:rsidRDefault="0075577A" w:rsidP="0075577A">
      <w:pPr>
        <w:spacing w:line="360" w:lineRule="auto"/>
        <w:jc w:val="both"/>
        <w:rPr>
          <w:rFonts w:ascii="Times New Roman" w:hAnsi="Times New Roman" w:cs="Times New Roman"/>
          <w:b/>
          <w:bCs/>
          <w:sz w:val="24"/>
          <w:szCs w:val="24"/>
        </w:rPr>
      </w:pPr>
      <w:r w:rsidRPr="0075577A">
        <w:rPr>
          <w:rFonts w:ascii="Times New Roman" w:hAnsi="Times New Roman" w:cs="Times New Roman"/>
          <w:b/>
          <w:bCs/>
          <w:sz w:val="24"/>
          <w:szCs w:val="24"/>
        </w:rPr>
        <w:t>Liquidity Ratios</w:t>
      </w:r>
    </w:p>
    <w:p w14:paraId="69213136" w14:textId="61D98359" w:rsidR="0075577A" w:rsidRPr="0075577A" w:rsidRDefault="001E19EB" w:rsidP="0075577A">
      <w:pPr>
        <w:spacing w:line="360" w:lineRule="auto"/>
        <w:jc w:val="both"/>
        <w:rPr>
          <w:rFonts w:ascii="Times New Roman" w:hAnsi="Times New Roman" w:cs="Times New Roman"/>
          <w:sz w:val="24"/>
          <w:szCs w:val="24"/>
        </w:rPr>
      </w:pPr>
      <w:r>
        <w:rPr>
          <w:rFonts w:ascii="Times New Roman" w:hAnsi="Times New Roman" w:cs="Times New Roman"/>
          <w:sz w:val="24"/>
          <w:szCs w:val="24"/>
        </w:rPr>
        <w:t>The liquidity</w:t>
      </w:r>
      <w:r w:rsidR="008F4DAE" w:rsidRPr="008F4DAE">
        <w:rPr>
          <w:rFonts w:ascii="Times New Roman" w:hAnsi="Times New Roman" w:cs="Times New Roman"/>
          <w:sz w:val="24"/>
          <w:szCs w:val="24"/>
        </w:rPr>
        <w:t xml:space="preserve"> ratios of Waitrose give </w:t>
      </w:r>
      <w:r>
        <w:rPr>
          <w:rFonts w:ascii="Times New Roman" w:hAnsi="Times New Roman" w:cs="Times New Roman"/>
          <w:sz w:val="24"/>
          <w:szCs w:val="24"/>
        </w:rPr>
        <w:t>essential</w:t>
      </w:r>
      <w:r w:rsidR="008F4DAE" w:rsidRPr="008F4DAE">
        <w:rPr>
          <w:rFonts w:ascii="Times New Roman" w:hAnsi="Times New Roman" w:cs="Times New Roman"/>
          <w:sz w:val="24"/>
          <w:szCs w:val="24"/>
        </w:rPr>
        <w:t xml:space="preserve"> and unique information about the financial conditions and efficiency of the company for the last five years. Specifically, value figures like the Current Ratio and Quick Ratio are crucial in determining a company’s liquidity.</w:t>
      </w:r>
    </w:p>
    <w:p w14:paraId="3969CB7F" w14:textId="75C43171" w:rsidR="0075577A" w:rsidRPr="0075577A" w:rsidRDefault="0075577A" w:rsidP="0075577A">
      <w:pPr>
        <w:spacing w:line="360" w:lineRule="auto"/>
        <w:jc w:val="both"/>
        <w:rPr>
          <w:rFonts w:ascii="Times New Roman" w:hAnsi="Times New Roman" w:cs="Times New Roman"/>
          <w:sz w:val="24"/>
          <w:szCs w:val="24"/>
        </w:rPr>
      </w:pPr>
      <w:r w:rsidRPr="0075577A">
        <w:rPr>
          <w:rFonts w:ascii="Times New Roman" w:hAnsi="Times New Roman" w:cs="Times New Roman"/>
          <w:b/>
          <w:bCs/>
          <w:sz w:val="24"/>
          <w:szCs w:val="24"/>
        </w:rPr>
        <w:t>Current Ratio</w:t>
      </w:r>
      <w:r w:rsidRPr="0075577A">
        <w:rPr>
          <w:rFonts w:ascii="Times New Roman" w:hAnsi="Times New Roman" w:cs="Times New Roman"/>
          <w:sz w:val="24"/>
          <w:szCs w:val="24"/>
        </w:rPr>
        <w:t xml:space="preserve">: </w:t>
      </w:r>
      <w:r w:rsidR="008F4DAE" w:rsidRPr="008F4DAE">
        <w:rPr>
          <w:rFonts w:ascii="Times New Roman" w:hAnsi="Times New Roman" w:cs="Times New Roman"/>
          <w:sz w:val="24"/>
          <w:szCs w:val="24"/>
        </w:rPr>
        <w:t>Relative to the Current Ratio</w:t>
      </w:r>
      <w:r w:rsidR="001E19EB">
        <w:rPr>
          <w:rFonts w:ascii="Times New Roman" w:hAnsi="Times New Roman" w:cs="Times New Roman"/>
          <w:sz w:val="24"/>
          <w:szCs w:val="24"/>
        </w:rPr>
        <w:t>, which divides</w:t>
      </w:r>
      <w:r w:rsidR="008F4DAE" w:rsidRPr="008F4DAE">
        <w:rPr>
          <w:rFonts w:ascii="Times New Roman" w:hAnsi="Times New Roman" w:cs="Times New Roman"/>
          <w:sz w:val="24"/>
          <w:szCs w:val="24"/>
        </w:rPr>
        <w:t xml:space="preserve"> current assets by current liabilities, </w:t>
      </w:r>
      <w:r w:rsidR="001E19EB">
        <w:rPr>
          <w:rFonts w:ascii="Times New Roman" w:hAnsi="Times New Roman" w:cs="Times New Roman"/>
          <w:sz w:val="24"/>
          <w:szCs w:val="24"/>
        </w:rPr>
        <w:t>Waitrose’s capacity to meet its short-term obligations with short-term assets is established</w:t>
      </w:r>
      <w:r w:rsidR="008F4DAE" w:rsidRPr="008F4DAE">
        <w:rPr>
          <w:rFonts w:ascii="Times New Roman" w:hAnsi="Times New Roman" w:cs="Times New Roman"/>
          <w:sz w:val="24"/>
          <w:szCs w:val="24"/>
        </w:rPr>
        <w:t xml:space="preserve">. </w:t>
      </w:r>
      <w:r w:rsidR="001E19EB">
        <w:rPr>
          <w:rFonts w:ascii="Times New Roman" w:hAnsi="Times New Roman" w:cs="Times New Roman"/>
          <w:sz w:val="24"/>
          <w:szCs w:val="24"/>
        </w:rPr>
        <w:t>The total Current Ratio of Waitrose has oscillated in the past five years and varies between 1. undefined 6, which ratifies</w:t>
      </w:r>
      <w:r w:rsidR="008F4DAE" w:rsidRPr="008F4DAE">
        <w:rPr>
          <w:rFonts w:ascii="Times New Roman" w:hAnsi="Times New Roman" w:cs="Times New Roman"/>
          <w:sz w:val="24"/>
          <w:szCs w:val="24"/>
        </w:rPr>
        <w:t xml:space="preserve"> a moderately stable liquidity position (Perry, 2008). This could mean that Waitrose has at least £1 of capital for every £1 of liability, which is a </w:t>
      </w:r>
      <w:r w:rsidR="00091741">
        <w:rPr>
          <w:rFonts w:ascii="Times New Roman" w:hAnsi="Times New Roman" w:cs="Times New Roman"/>
          <w:sz w:val="24"/>
          <w:szCs w:val="24"/>
        </w:rPr>
        <w:t>significant</w:t>
      </w:r>
      <w:r w:rsidR="008F4DAE" w:rsidRPr="008F4DAE">
        <w:rPr>
          <w:rFonts w:ascii="Times New Roman" w:hAnsi="Times New Roman" w:cs="Times New Roman"/>
          <w:sz w:val="24"/>
          <w:szCs w:val="24"/>
        </w:rPr>
        <w:t xml:space="preserve"> reassurance. 6 in assets that may be used to offset it is considered a good thing when meeting short-term cash requirements. However, the Current Ratio slightly improved in the FY 2020/2021 to 1 compared to the previous fiscal year. 6, </w:t>
      </w:r>
      <w:r w:rsidR="001E19EB">
        <w:rPr>
          <w:rFonts w:ascii="Times New Roman" w:hAnsi="Times New Roman" w:cs="Times New Roman"/>
          <w:sz w:val="24"/>
          <w:szCs w:val="24"/>
        </w:rPr>
        <w:t>mainly</w:t>
      </w:r>
      <w:r w:rsidR="008F4DAE" w:rsidRPr="008F4DAE">
        <w:rPr>
          <w:rFonts w:ascii="Times New Roman" w:hAnsi="Times New Roman" w:cs="Times New Roman"/>
          <w:sz w:val="24"/>
          <w:szCs w:val="24"/>
        </w:rPr>
        <w:t xml:space="preserve"> owing to a growth in cash holdings as sales across the COVID-19 pandemic also rose (Smith, 2022). This temporary increase demonstrates that external conditions may cause </w:t>
      </w:r>
      <w:r w:rsidR="001E19EB">
        <w:rPr>
          <w:rFonts w:ascii="Times New Roman" w:hAnsi="Times New Roman" w:cs="Times New Roman"/>
          <w:sz w:val="24"/>
          <w:szCs w:val="24"/>
        </w:rPr>
        <w:t>significant fluctuations in working capital ratios</w:t>
      </w:r>
      <w:r w:rsidR="008F4DAE" w:rsidRPr="008F4DAE">
        <w:rPr>
          <w:rFonts w:ascii="Times New Roman" w:hAnsi="Times New Roman" w:cs="Times New Roman"/>
          <w:sz w:val="24"/>
          <w:szCs w:val="24"/>
        </w:rPr>
        <w:t>.</w:t>
      </w:r>
    </w:p>
    <w:p w14:paraId="2AB089AD" w14:textId="7489DEFD" w:rsidR="0075577A" w:rsidRPr="0075577A" w:rsidRDefault="0075577A" w:rsidP="0075577A">
      <w:pPr>
        <w:spacing w:line="360" w:lineRule="auto"/>
        <w:jc w:val="both"/>
        <w:rPr>
          <w:rFonts w:ascii="Times New Roman" w:hAnsi="Times New Roman" w:cs="Times New Roman"/>
          <w:sz w:val="24"/>
          <w:szCs w:val="24"/>
        </w:rPr>
      </w:pPr>
      <w:r w:rsidRPr="0075577A">
        <w:rPr>
          <w:rFonts w:ascii="Times New Roman" w:hAnsi="Times New Roman" w:cs="Times New Roman"/>
          <w:b/>
          <w:bCs/>
          <w:sz w:val="24"/>
          <w:szCs w:val="24"/>
        </w:rPr>
        <w:t>Quick Ratio</w:t>
      </w:r>
      <w:r w:rsidRPr="0075577A">
        <w:rPr>
          <w:rFonts w:ascii="Times New Roman" w:hAnsi="Times New Roman" w:cs="Times New Roman"/>
          <w:sz w:val="24"/>
          <w:szCs w:val="24"/>
        </w:rPr>
        <w:t xml:space="preserve">: </w:t>
      </w:r>
      <w:r w:rsidR="008F4DAE" w:rsidRPr="008F4DAE">
        <w:rPr>
          <w:rFonts w:ascii="Times New Roman" w:hAnsi="Times New Roman" w:cs="Times New Roman"/>
          <w:sz w:val="24"/>
          <w:szCs w:val="24"/>
        </w:rPr>
        <w:t xml:space="preserve">The Quick Ratio excludes inventory from current assets to get a stricter measure </w:t>
      </w:r>
      <w:r w:rsidR="001E19EB">
        <w:rPr>
          <w:rFonts w:ascii="Times New Roman" w:hAnsi="Times New Roman" w:cs="Times New Roman"/>
          <w:sz w:val="24"/>
          <w:szCs w:val="24"/>
        </w:rPr>
        <w:t>of</w:t>
      </w:r>
      <w:r w:rsidR="008F4DAE" w:rsidRPr="008F4DAE">
        <w:rPr>
          <w:rFonts w:ascii="Times New Roman" w:hAnsi="Times New Roman" w:cs="Times New Roman"/>
          <w:sz w:val="24"/>
          <w:szCs w:val="24"/>
        </w:rPr>
        <w:t xml:space="preserve"> how liquid a firm is. </w:t>
      </w:r>
      <w:r w:rsidR="008F4DAE">
        <w:rPr>
          <w:rFonts w:ascii="Times New Roman" w:hAnsi="Times New Roman" w:cs="Times New Roman"/>
          <w:sz w:val="24"/>
          <w:szCs w:val="24"/>
        </w:rPr>
        <w:t xml:space="preserve">The quick ratio has, on average, </w:t>
      </w:r>
      <w:r w:rsidR="001E19EB">
        <w:rPr>
          <w:rFonts w:ascii="Times New Roman" w:hAnsi="Times New Roman" w:cs="Times New Roman"/>
          <w:sz w:val="24"/>
          <w:szCs w:val="24"/>
        </w:rPr>
        <w:t>fluctuated between 0. undefined in Waitrose</w:t>
      </w:r>
      <w:r w:rsidR="008F4DAE">
        <w:rPr>
          <w:rFonts w:ascii="Times New Roman" w:hAnsi="Times New Roman" w:cs="Times New Roman"/>
          <w:sz w:val="24"/>
          <w:szCs w:val="24"/>
        </w:rPr>
        <w:t>.</w:t>
      </w:r>
      <w:r w:rsidR="008F4DAE" w:rsidRPr="008F4DAE">
        <w:rPr>
          <w:rFonts w:ascii="Times New Roman" w:hAnsi="Times New Roman" w:cs="Times New Roman"/>
          <w:sz w:val="24"/>
          <w:szCs w:val="24"/>
        </w:rPr>
        <w:t xml:space="preserve"> </w:t>
      </w:r>
      <w:r w:rsidR="008F4DAE" w:rsidRPr="008F4DAE">
        <w:rPr>
          <w:rFonts w:ascii="Times New Roman" w:hAnsi="Times New Roman" w:cs="Times New Roman"/>
          <w:sz w:val="24"/>
          <w:szCs w:val="24"/>
        </w:rPr>
        <w:lastRenderedPageBreak/>
        <w:t xml:space="preserve">Additionally, the company has generated 2 in total over the past five years. This ratio implies that </w:t>
      </w:r>
      <w:r w:rsidR="008F4DAE">
        <w:rPr>
          <w:rFonts w:ascii="Times New Roman" w:hAnsi="Times New Roman" w:cs="Times New Roman"/>
          <w:sz w:val="24"/>
          <w:szCs w:val="24"/>
        </w:rPr>
        <w:t xml:space="preserve">although most of the company's short-term liabilities can be met without disposing of inventory, it maintains a </w:t>
      </w:r>
      <w:r w:rsidR="008F4DAE" w:rsidRPr="008F4DAE">
        <w:rPr>
          <w:rFonts w:ascii="Times New Roman" w:hAnsi="Times New Roman" w:cs="Times New Roman"/>
          <w:sz w:val="24"/>
          <w:szCs w:val="24"/>
        </w:rPr>
        <w:t xml:space="preserve">more restricted business margin than what the Current Ratio conveys (Hasanuddin et al., 2021). In 2019, </w:t>
      </w:r>
      <w:r w:rsidR="001E19EB">
        <w:rPr>
          <w:rFonts w:ascii="Times New Roman" w:hAnsi="Times New Roman" w:cs="Times New Roman"/>
          <w:sz w:val="24"/>
          <w:szCs w:val="24"/>
        </w:rPr>
        <w:t>a slightly lower Quick Ratio of 0. 8 and 9 showed that inventory and receivables were used more to offset the liabilities than</w:t>
      </w:r>
      <w:r w:rsidR="008F4DAE" w:rsidRPr="008F4DAE">
        <w:rPr>
          <w:rFonts w:ascii="Times New Roman" w:hAnsi="Times New Roman" w:cs="Times New Roman"/>
          <w:sz w:val="24"/>
          <w:szCs w:val="24"/>
        </w:rPr>
        <w:t xml:space="preserve"> the previous year while having more investments in developing its online sales channel.</w:t>
      </w:r>
    </w:p>
    <w:p w14:paraId="519E70B6" w14:textId="5B43EA74" w:rsidR="0075577A" w:rsidRPr="0075577A" w:rsidRDefault="0075577A" w:rsidP="0075577A">
      <w:pPr>
        <w:spacing w:line="360" w:lineRule="auto"/>
        <w:jc w:val="both"/>
        <w:rPr>
          <w:rFonts w:ascii="Times New Roman" w:hAnsi="Times New Roman" w:cs="Times New Roman"/>
          <w:sz w:val="24"/>
          <w:szCs w:val="24"/>
        </w:rPr>
      </w:pPr>
      <w:r w:rsidRPr="0075577A">
        <w:rPr>
          <w:rFonts w:ascii="Times New Roman" w:hAnsi="Times New Roman" w:cs="Times New Roman"/>
          <w:b/>
          <w:bCs/>
          <w:sz w:val="24"/>
          <w:szCs w:val="24"/>
        </w:rPr>
        <w:t>Comparison with Major Competitors and Sector Averages</w:t>
      </w:r>
      <w:r w:rsidRPr="0075577A">
        <w:rPr>
          <w:rFonts w:ascii="Times New Roman" w:hAnsi="Times New Roman" w:cs="Times New Roman"/>
          <w:sz w:val="24"/>
          <w:szCs w:val="24"/>
        </w:rPr>
        <w:t xml:space="preserve">: </w:t>
      </w:r>
      <w:r w:rsidR="000D35B7">
        <w:rPr>
          <w:rFonts w:ascii="Times New Roman" w:hAnsi="Times New Roman" w:cs="Times New Roman"/>
          <w:sz w:val="24"/>
          <w:szCs w:val="24"/>
        </w:rPr>
        <w:t>Compared</w:t>
      </w:r>
      <w:r w:rsidRPr="0075577A">
        <w:rPr>
          <w:rFonts w:ascii="Times New Roman" w:hAnsi="Times New Roman" w:cs="Times New Roman"/>
          <w:sz w:val="24"/>
          <w:szCs w:val="24"/>
        </w:rPr>
        <w:t xml:space="preserve"> to </w:t>
      </w:r>
      <w:r w:rsidR="000D35B7">
        <w:rPr>
          <w:rFonts w:ascii="Times New Roman" w:hAnsi="Times New Roman" w:cs="Times New Roman"/>
          <w:sz w:val="24"/>
          <w:szCs w:val="24"/>
        </w:rPr>
        <w:t>significant</w:t>
      </w:r>
      <w:r w:rsidRPr="0075577A">
        <w:rPr>
          <w:rFonts w:ascii="Times New Roman" w:hAnsi="Times New Roman" w:cs="Times New Roman"/>
          <w:sz w:val="24"/>
          <w:szCs w:val="24"/>
        </w:rPr>
        <w:t xml:space="preserve"> competitors like Tesco and Sainsbury’s, Waitrose’s liquidity ratios are competitive but reveal some differences in financial strategies. For instance, Tesco has maintained a Current Ratio </w:t>
      </w:r>
      <w:r w:rsidR="000D35B7">
        <w:rPr>
          <w:rFonts w:ascii="Times New Roman" w:hAnsi="Times New Roman" w:cs="Times New Roman"/>
          <w:sz w:val="24"/>
          <w:szCs w:val="24"/>
        </w:rPr>
        <w:t xml:space="preserve">of </w:t>
      </w:r>
      <w:r w:rsidRPr="0075577A">
        <w:rPr>
          <w:rFonts w:ascii="Times New Roman" w:hAnsi="Times New Roman" w:cs="Times New Roman"/>
          <w:sz w:val="24"/>
          <w:szCs w:val="24"/>
        </w:rPr>
        <w:t>around 0.9 to 1.2, lower than Waitrose, indicating a more aggressive capital structure and potentially higher reliance on efficient inventory turnover</w:t>
      </w:r>
      <w:r w:rsidR="003E14E5" w:rsidRPr="003E14E5">
        <w:t xml:space="preserve"> </w:t>
      </w:r>
      <w:r w:rsidR="003E14E5" w:rsidRPr="003E14E5">
        <w:rPr>
          <w:rFonts w:ascii="Times New Roman" w:hAnsi="Times New Roman" w:cs="Times New Roman"/>
          <w:sz w:val="24"/>
          <w:szCs w:val="24"/>
        </w:rPr>
        <w:t>(Piecyk and Allen, 2023)</w:t>
      </w:r>
      <w:r w:rsidRPr="0075577A">
        <w:rPr>
          <w:rFonts w:ascii="Times New Roman" w:hAnsi="Times New Roman" w:cs="Times New Roman"/>
          <w:sz w:val="24"/>
          <w:szCs w:val="24"/>
        </w:rPr>
        <w:t xml:space="preserve">. </w:t>
      </w:r>
      <w:r w:rsidR="000D35B7">
        <w:rPr>
          <w:rFonts w:ascii="Times New Roman" w:hAnsi="Times New Roman" w:cs="Times New Roman"/>
          <w:sz w:val="24"/>
          <w:szCs w:val="24"/>
        </w:rPr>
        <w:t xml:space="preserve">On the other hand, Sainsbury's </w:t>
      </w:r>
      <w:r w:rsidRPr="0075577A">
        <w:rPr>
          <w:rFonts w:ascii="Times New Roman" w:hAnsi="Times New Roman" w:cs="Times New Roman"/>
          <w:sz w:val="24"/>
          <w:szCs w:val="24"/>
        </w:rPr>
        <w:t>has reported a Current Ratio similar to Waitrose, around 1.1 to 1.5, suggesting a comparable approach to managing liquidity.</w:t>
      </w:r>
    </w:p>
    <w:p w14:paraId="4656DF2B" w14:textId="04D7C137" w:rsidR="0075577A" w:rsidRPr="0075577A" w:rsidRDefault="000D35B7" w:rsidP="0075577A">
      <w:pPr>
        <w:spacing w:line="360" w:lineRule="auto"/>
        <w:jc w:val="both"/>
        <w:rPr>
          <w:rFonts w:ascii="Times New Roman" w:hAnsi="Times New Roman" w:cs="Times New Roman"/>
          <w:sz w:val="24"/>
          <w:szCs w:val="24"/>
        </w:rPr>
      </w:pPr>
      <w:r>
        <w:rPr>
          <w:rFonts w:ascii="Times New Roman" w:hAnsi="Times New Roman" w:cs="Times New Roman"/>
          <w:sz w:val="24"/>
          <w:szCs w:val="24"/>
        </w:rPr>
        <w:t>Regarding</w:t>
      </w:r>
      <w:r w:rsidR="0075577A" w:rsidRPr="0075577A">
        <w:rPr>
          <w:rFonts w:ascii="Times New Roman" w:hAnsi="Times New Roman" w:cs="Times New Roman"/>
          <w:sz w:val="24"/>
          <w:szCs w:val="24"/>
        </w:rPr>
        <w:t xml:space="preserve"> sector averages, the UK retail sector typically shows a Current Ratio of 1.2 to 1.4 and a Quick Ratio of 0.7 to 1.1. Waitrose’s ratios align well with these averages, indicating that its liquidity management practices </w:t>
      </w:r>
      <w:r>
        <w:rPr>
          <w:rFonts w:ascii="Times New Roman" w:hAnsi="Times New Roman" w:cs="Times New Roman"/>
          <w:sz w:val="24"/>
          <w:szCs w:val="24"/>
        </w:rPr>
        <w:t>align</w:t>
      </w:r>
      <w:r w:rsidR="0075577A" w:rsidRPr="0075577A">
        <w:rPr>
          <w:rFonts w:ascii="Times New Roman" w:hAnsi="Times New Roman" w:cs="Times New Roman"/>
          <w:sz w:val="24"/>
          <w:szCs w:val="24"/>
        </w:rPr>
        <w:t xml:space="preserve"> with industry standards</w:t>
      </w:r>
      <w:r w:rsidR="009042B3" w:rsidRPr="009042B3">
        <w:t xml:space="preserve"> </w:t>
      </w:r>
      <w:r w:rsidR="009042B3" w:rsidRPr="009042B3">
        <w:rPr>
          <w:rFonts w:ascii="Times New Roman" w:hAnsi="Times New Roman" w:cs="Times New Roman"/>
          <w:sz w:val="24"/>
          <w:szCs w:val="24"/>
        </w:rPr>
        <w:t>(Delgado, 2021)</w:t>
      </w:r>
      <w:r w:rsidR="0075577A" w:rsidRPr="0075577A">
        <w:rPr>
          <w:rFonts w:ascii="Times New Roman" w:hAnsi="Times New Roman" w:cs="Times New Roman"/>
          <w:sz w:val="24"/>
          <w:szCs w:val="24"/>
        </w:rPr>
        <w:t>. However, the company's relatively higher Current Ratio during the pandemic underscores its cautious approach to ensuring liquidity during uncertain times.</w:t>
      </w:r>
    </w:p>
    <w:p w14:paraId="0DBC416D" w14:textId="4D0A8FE5" w:rsidR="0075577A" w:rsidRDefault="00A5694C" w:rsidP="00A5694C">
      <w:pPr>
        <w:spacing w:line="360" w:lineRule="auto"/>
        <w:jc w:val="center"/>
        <w:rPr>
          <w:rFonts w:ascii="Times New Roman" w:hAnsi="Times New Roman" w:cs="Times New Roman"/>
          <w:sz w:val="24"/>
          <w:szCs w:val="24"/>
        </w:rPr>
      </w:pPr>
      <w:r>
        <w:rPr>
          <w:noProof/>
        </w:rPr>
        <w:drawing>
          <wp:inline distT="0" distB="0" distL="0" distR="0" wp14:anchorId="7F40FD52" wp14:editId="64D760CF">
            <wp:extent cx="3784600" cy="3053962"/>
            <wp:effectExtent l="0" t="0" r="6350" b="0"/>
            <wp:docPr id="1666785048"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89798" cy="3058156"/>
                    </a:xfrm>
                    <a:prstGeom prst="rect">
                      <a:avLst/>
                    </a:prstGeom>
                    <a:noFill/>
                    <a:ln>
                      <a:noFill/>
                    </a:ln>
                  </pic:spPr>
                </pic:pic>
              </a:graphicData>
            </a:graphic>
          </wp:inline>
        </w:drawing>
      </w:r>
    </w:p>
    <w:p w14:paraId="3BF9413F" w14:textId="775D8891" w:rsidR="00A5694C" w:rsidRPr="0075577A" w:rsidRDefault="00A5694C" w:rsidP="00A5694C">
      <w:pPr>
        <w:pStyle w:val="Caption"/>
        <w:jc w:val="center"/>
        <w:rPr>
          <w:rFonts w:ascii="Times New Roman" w:hAnsi="Times New Roman" w:cs="Times New Roman"/>
          <w:sz w:val="24"/>
          <w:szCs w:val="24"/>
        </w:rPr>
      </w:pPr>
      <w:r>
        <w:lastRenderedPageBreak/>
        <w:t xml:space="preserve">Figure </w:t>
      </w:r>
      <w:r w:rsidR="000D35B7">
        <w:rPr>
          <w:noProof/>
        </w:rPr>
        <w:t>1</w:t>
      </w:r>
      <w:r>
        <w:t xml:space="preserve">: </w:t>
      </w:r>
      <w:r w:rsidRPr="00D118B2">
        <w:t>Quick Ratio Comparison</w:t>
      </w:r>
      <w:r w:rsidR="009042B3" w:rsidRPr="009042B3">
        <w:t xml:space="preserve"> (</w:t>
      </w:r>
      <w:proofErr w:type="spellStart"/>
      <w:r w:rsidR="009042B3" w:rsidRPr="009042B3">
        <w:t>Kılınç</w:t>
      </w:r>
      <w:proofErr w:type="spellEnd"/>
      <w:r w:rsidR="009042B3" w:rsidRPr="009042B3">
        <w:t xml:space="preserve"> Toker, 2022)</w:t>
      </w:r>
    </w:p>
    <w:p w14:paraId="68404923" w14:textId="45D8522F" w:rsidR="0075577A" w:rsidRPr="0075577A" w:rsidRDefault="0075577A" w:rsidP="0075577A">
      <w:pPr>
        <w:spacing w:line="360" w:lineRule="auto"/>
        <w:jc w:val="both"/>
        <w:rPr>
          <w:rFonts w:ascii="Times New Roman" w:hAnsi="Times New Roman" w:cs="Times New Roman"/>
          <w:b/>
          <w:bCs/>
          <w:sz w:val="24"/>
          <w:szCs w:val="24"/>
        </w:rPr>
      </w:pPr>
      <w:r w:rsidRPr="0075577A">
        <w:rPr>
          <w:rFonts w:ascii="Times New Roman" w:hAnsi="Times New Roman" w:cs="Times New Roman"/>
          <w:b/>
          <w:bCs/>
          <w:sz w:val="24"/>
          <w:szCs w:val="24"/>
        </w:rPr>
        <w:t>Leverage Ratios</w:t>
      </w:r>
    </w:p>
    <w:p w14:paraId="0542C2F2" w14:textId="0E34E796" w:rsidR="0075577A" w:rsidRPr="0075577A" w:rsidRDefault="0075577A" w:rsidP="0075577A">
      <w:pPr>
        <w:spacing w:line="360" w:lineRule="auto"/>
        <w:jc w:val="both"/>
        <w:rPr>
          <w:rFonts w:ascii="Times New Roman" w:hAnsi="Times New Roman" w:cs="Times New Roman"/>
          <w:sz w:val="24"/>
          <w:szCs w:val="24"/>
        </w:rPr>
      </w:pPr>
      <w:r w:rsidRPr="0075577A">
        <w:rPr>
          <w:rFonts w:ascii="Times New Roman" w:hAnsi="Times New Roman" w:cs="Times New Roman"/>
          <w:sz w:val="24"/>
          <w:szCs w:val="24"/>
        </w:rPr>
        <w:t>Leverage ratios are pivotal in understanding Waitrose’s financial structure</w:t>
      </w:r>
      <w:r w:rsidR="00BC18C1">
        <w:rPr>
          <w:rFonts w:ascii="Times New Roman" w:hAnsi="Times New Roman" w:cs="Times New Roman"/>
          <w:sz w:val="24"/>
          <w:szCs w:val="24"/>
        </w:rPr>
        <w:t>, approach to financing,</w:t>
      </w:r>
      <w:r w:rsidR="000D35B7">
        <w:rPr>
          <w:rFonts w:ascii="Times New Roman" w:hAnsi="Times New Roman" w:cs="Times New Roman"/>
          <w:sz w:val="24"/>
          <w:szCs w:val="24"/>
        </w:rPr>
        <w:t xml:space="preserve"> and risk management. Key ratios such as the debt-to-equity Ratio</w:t>
      </w:r>
      <w:r w:rsidRPr="0075577A">
        <w:rPr>
          <w:rFonts w:ascii="Times New Roman" w:hAnsi="Times New Roman" w:cs="Times New Roman"/>
          <w:sz w:val="24"/>
          <w:szCs w:val="24"/>
        </w:rPr>
        <w:t xml:space="preserve"> and the Interest Coverage Ratio provide insights into the company’s reliance on debt and its ability to service it.</w:t>
      </w:r>
    </w:p>
    <w:p w14:paraId="6D3D81B9" w14:textId="309B01AC" w:rsidR="0075577A" w:rsidRPr="0075577A" w:rsidRDefault="0075577A" w:rsidP="0075577A">
      <w:pPr>
        <w:spacing w:line="360" w:lineRule="auto"/>
        <w:jc w:val="both"/>
        <w:rPr>
          <w:rFonts w:ascii="Times New Roman" w:hAnsi="Times New Roman" w:cs="Times New Roman"/>
          <w:sz w:val="24"/>
          <w:szCs w:val="24"/>
        </w:rPr>
      </w:pPr>
      <w:r w:rsidRPr="0075577A">
        <w:rPr>
          <w:rFonts w:ascii="Times New Roman" w:hAnsi="Times New Roman" w:cs="Times New Roman"/>
          <w:b/>
          <w:bCs/>
          <w:sz w:val="24"/>
          <w:szCs w:val="24"/>
        </w:rPr>
        <w:t>Debt to Equity Ratio</w:t>
      </w:r>
      <w:r w:rsidRPr="0075577A">
        <w:rPr>
          <w:rFonts w:ascii="Times New Roman" w:hAnsi="Times New Roman" w:cs="Times New Roman"/>
          <w:sz w:val="24"/>
          <w:szCs w:val="24"/>
        </w:rPr>
        <w:t xml:space="preserve">: This ratio, calculated by dividing total liabilities by shareholders' equity, measures the proportion of debt used to finance the company’s assets relative to equity. Over the past five years, Waitrose’s Debt to Equity Ratio has hovered around 1.1 to 1.3, indicating a balanced approach to leveraging debt. In 2021, the ratio was 1.2, reflecting a cautious strategy in maintaining a manageable level of debt relative to equity. This level of debt indicates that for every £1 of equity, Waitrose has £1.2 of debt, </w:t>
      </w:r>
      <w:r w:rsidR="001E19EB">
        <w:rPr>
          <w:rFonts w:ascii="Times New Roman" w:hAnsi="Times New Roman" w:cs="Times New Roman"/>
          <w:sz w:val="24"/>
          <w:szCs w:val="24"/>
        </w:rPr>
        <w:t xml:space="preserve">which is </w:t>
      </w:r>
      <w:r w:rsidRPr="0075577A">
        <w:rPr>
          <w:rFonts w:ascii="Times New Roman" w:hAnsi="Times New Roman" w:cs="Times New Roman"/>
          <w:sz w:val="24"/>
          <w:szCs w:val="24"/>
        </w:rPr>
        <w:t>considered moderate and suggests a prudent approach to financing</w:t>
      </w:r>
      <w:r w:rsidR="00751BB8" w:rsidRPr="00751BB8">
        <w:t xml:space="preserve"> </w:t>
      </w:r>
      <w:r w:rsidR="00751BB8" w:rsidRPr="00751BB8">
        <w:rPr>
          <w:rFonts w:ascii="Times New Roman" w:hAnsi="Times New Roman" w:cs="Times New Roman"/>
          <w:sz w:val="24"/>
          <w:szCs w:val="24"/>
        </w:rPr>
        <w:t>(Plc, 2021)</w:t>
      </w:r>
      <w:r w:rsidRPr="0075577A">
        <w:rPr>
          <w:rFonts w:ascii="Times New Roman" w:hAnsi="Times New Roman" w:cs="Times New Roman"/>
          <w:sz w:val="24"/>
          <w:szCs w:val="24"/>
        </w:rPr>
        <w:t>. Notably, the slight increase in 2020 can be attributed to strategic investments and expansions, partially funded through debt, highlighting a calculated risk to support growth.</w:t>
      </w:r>
    </w:p>
    <w:p w14:paraId="6BA67ECE" w14:textId="57FED32F" w:rsidR="0075577A" w:rsidRPr="0075577A" w:rsidRDefault="0075577A" w:rsidP="0075577A">
      <w:pPr>
        <w:spacing w:line="360" w:lineRule="auto"/>
        <w:jc w:val="both"/>
        <w:rPr>
          <w:rFonts w:ascii="Times New Roman" w:hAnsi="Times New Roman" w:cs="Times New Roman"/>
          <w:sz w:val="24"/>
          <w:szCs w:val="24"/>
        </w:rPr>
      </w:pPr>
      <w:r w:rsidRPr="0075577A">
        <w:rPr>
          <w:rFonts w:ascii="Times New Roman" w:hAnsi="Times New Roman" w:cs="Times New Roman"/>
          <w:b/>
          <w:bCs/>
          <w:sz w:val="24"/>
          <w:szCs w:val="24"/>
        </w:rPr>
        <w:t>Interest Coverage Ratio</w:t>
      </w:r>
      <w:r w:rsidRPr="0075577A">
        <w:rPr>
          <w:rFonts w:ascii="Times New Roman" w:hAnsi="Times New Roman" w:cs="Times New Roman"/>
          <w:sz w:val="24"/>
          <w:szCs w:val="24"/>
        </w:rPr>
        <w:t>: The Interest Coverage Ratio, calculated by dividing earnings before interest and taxes (EBIT) by interest expenses, assesses Waitrose’s ability to cover interest payments from its operational earnings. Waitrose has maintained a healthy Interest Coverage Ratio of around 4 to 5 over the past five years. In 2021, this ratio stood at 4.5, indicating that the company’s EBIT is 4.5 times its interest obligations</w:t>
      </w:r>
      <w:r w:rsidR="00751BB8" w:rsidRPr="00751BB8">
        <w:t xml:space="preserve"> </w:t>
      </w:r>
      <w:r w:rsidR="00751BB8" w:rsidRPr="00751BB8">
        <w:rPr>
          <w:rFonts w:ascii="Times New Roman" w:hAnsi="Times New Roman" w:cs="Times New Roman"/>
          <w:sz w:val="24"/>
          <w:szCs w:val="24"/>
        </w:rPr>
        <w:t>(Hayes, 2024)</w:t>
      </w:r>
      <w:r w:rsidRPr="0075577A">
        <w:rPr>
          <w:rFonts w:ascii="Times New Roman" w:hAnsi="Times New Roman" w:cs="Times New Roman"/>
          <w:sz w:val="24"/>
          <w:szCs w:val="24"/>
        </w:rPr>
        <w:t xml:space="preserve">. This robust ratio reflects Waitrose’s strong operational performance and ability </w:t>
      </w:r>
      <w:r w:rsidR="000D35B7">
        <w:rPr>
          <w:rFonts w:ascii="Times New Roman" w:hAnsi="Times New Roman" w:cs="Times New Roman"/>
          <w:sz w:val="24"/>
          <w:szCs w:val="24"/>
        </w:rPr>
        <w:t>to meet interest payments comfortably, even with fluctuating earnings</w:t>
      </w:r>
      <w:r w:rsidRPr="0075577A">
        <w:rPr>
          <w:rFonts w:ascii="Times New Roman" w:hAnsi="Times New Roman" w:cs="Times New Roman"/>
          <w:sz w:val="24"/>
          <w:szCs w:val="24"/>
        </w:rPr>
        <w:t>. The consistency in this ratio underscores the company’s solid financial health and effective interest management.</w:t>
      </w:r>
    </w:p>
    <w:p w14:paraId="739E578A" w14:textId="72D2EF4C" w:rsidR="008F4DAE" w:rsidRPr="008F4DAE" w:rsidRDefault="0075577A" w:rsidP="008F4DAE">
      <w:pPr>
        <w:spacing w:line="360" w:lineRule="auto"/>
        <w:jc w:val="both"/>
        <w:rPr>
          <w:rFonts w:ascii="Times New Roman" w:hAnsi="Times New Roman" w:cs="Times New Roman"/>
          <w:sz w:val="24"/>
          <w:szCs w:val="24"/>
        </w:rPr>
      </w:pPr>
      <w:r w:rsidRPr="0075577A">
        <w:rPr>
          <w:rFonts w:ascii="Times New Roman" w:hAnsi="Times New Roman" w:cs="Times New Roman"/>
          <w:b/>
          <w:bCs/>
          <w:sz w:val="24"/>
          <w:szCs w:val="24"/>
        </w:rPr>
        <w:t>Comparison with Major Competitors and Sector Averages</w:t>
      </w:r>
      <w:r w:rsidRPr="0075577A">
        <w:rPr>
          <w:rFonts w:ascii="Times New Roman" w:hAnsi="Times New Roman" w:cs="Times New Roman"/>
          <w:sz w:val="24"/>
          <w:szCs w:val="24"/>
        </w:rPr>
        <w:t xml:space="preserve">: </w:t>
      </w:r>
      <w:r w:rsidR="001E19EB">
        <w:rPr>
          <w:rFonts w:ascii="Times New Roman" w:hAnsi="Times New Roman" w:cs="Times New Roman"/>
          <w:sz w:val="24"/>
          <w:szCs w:val="24"/>
        </w:rPr>
        <w:t>An analysis of Waitrose’s leverage ratios with its peers, such as Tesco and Sainsbury, shows that Waitrose is tactically different</w:t>
      </w:r>
      <w:r w:rsidR="008F4DAE" w:rsidRPr="008F4DAE">
        <w:rPr>
          <w:rFonts w:ascii="Times New Roman" w:hAnsi="Times New Roman" w:cs="Times New Roman"/>
          <w:sz w:val="24"/>
          <w:szCs w:val="24"/>
        </w:rPr>
        <w:t>. Tesco’s Debt-to-Equity Ratio has been higher</w:t>
      </w:r>
      <w:r w:rsidR="001E19EB">
        <w:rPr>
          <w:rFonts w:ascii="Times New Roman" w:hAnsi="Times New Roman" w:cs="Times New Roman"/>
          <w:sz w:val="24"/>
          <w:szCs w:val="24"/>
        </w:rPr>
        <w:t xml:space="preserve">, which varies between 1. 5 to 1. 8, which indicates a </w:t>
      </w:r>
      <w:r w:rsidR="00DA23BF">
        <w:rPr>
          <w:rFonts w:ascii="Times New Roman" w:hAnsi="Times New Roman" w:cs="Times New Roman"/>
          <w:sz w:val="24"/>
          <w:szCs w:val="24"/>
        </w:rPr>
        <w:t>riskier</w:t>
      </w:r>
      <w:r w:rsidR="001E19EB">
        <w:rPr>
          <w:rFonts w:ascii="Times New Roman" w:hAnsi="Times New Roman" w:cs="Times New Roman"/>
          <w:sz w:val="24"/>
          <w:szCs w:val="24"/>
        </w:rPr>
        <w:t xml:space="preserve"> leverage strategy to support the vast activities and capital</w:t>
      </w:r>
      <w:r w:rsidR="008F4DAE" w:rsidRPr="008F4DAE">
        <w:rPr>
          <w:rFonts w:ascii="Times New Roman" w:hAnsi="Times New Roman" w:cs="Times New Roman"/>
          <w:sz w:val="24"/>
          <w:szCs w:val="24"/>
        </w:rPr>
        <w:t xml:space="preserve"> (Chenchehene, 2019). In </w:t>
      </w:r>
      <w:r w:rsidR="001E19EB">
        <w:rPr>
          <w:rFonts w:ascii="Times New Roman" w:hAnsi="Times New Roman" w:cs="Times New Roman"/>
          <w:sz w:val="24"/>
          <w:szCs w:val="24"/>
        </w:rPr>
        <w:t>turn, Sainsbury’s has kept the level of debt-to-equity ratio at 1, which is approximately the same as that of</w:t>
      </w:r>
      <w:r w:rsidR="008F4DAE" w:rsidRPr="008F4DAE">
        <w:rPr>
          <w:rFonts w:ascii="Times New Roman" w:hAnsi="Times New Roman" w:cs="Times New Roman"/>
          <w:sz w:val="24"/>
          <w:szCs w:val="24"/>
        </w:rPr>
        <w:t xml:space="preserve"> Waitrose. 1 to 1. 3 as the leverage practices are somewhat similar between the two business entities.</w:t>
      </w:r>
    </w:p>
    <w:p w14:paraId="6D5EDED4" w14:textId="075AB045" w:rsidR="0075577A" w:rsidRPr="0075577A" w:rsidRDefault="008F4DAE" w:rsidP="008F4DAE">
      <w:pPr>
        <w:spacing w:line="360" w:lineRule="auto"/>
        <w:jc w:val="both"/>
        <w:rPr>
          <w:rFonts w:ascii="Times New Roman" w:hAnsi="Times New Roman" w:cs="Times New Roman"/>
          <w:sz w:val="24"/>
          <w:szCs w:val="24"/>
        </w:rPr>
      </w:pPr>
      <w:r w:rsidRPr="008F4DAE">
        <w:rPr>
          <w:rFonts w:ascii="Times New Roman" w:hAnsi="Times New Roman" w:cs="Times New Roman"/>
          <w:sz w:val="24"/>
          <w:szCs w:val="24"/>
        </w:rPr>
        <w:lastRenderedPageBreak/>
        <w:t xml:space="preserve">As for the Interest Coverage Ratio, Tesco </w:t>
      </w:r>
      <w:r w:rsidR="00091741">
        <w:rPr>
          <w:rFonts w:ascii="Times New Roman" w:hAnsi="Times New Roman" w:cs="Times New Roman"/>
          <w:sz w:val="24"/>
          <w:szCs w:val="24"/>
        </w:rPr>
        <w:t>utilised</w:t>
      </w:r>
      <w:r w:rsidR="001E19EB">
        <w:rPr>
          <w:rFonts w:ascii="Times New Roman" w:hAnsi="Times New Roman" w:cs="Times New Roman"/>
          <w:sz w:val="24"/>
          <w:szCs w:val="24"/>
        </w:rPr>
        <w:t xml:space="preserve"> a lower figure, which ranged from 3 to 4; this</w:t>
      </w:r>
      <w:r w:rsidRPr="008F4DAE">
        <w:rPr>
          <w:rFonts w:ascii="Times New Roman" w:hAnsi="Times New Roman" w:cs="Times New Roman"/>
          <w:sz w:val="24"/>
          <w:szCs w:val="24"/>
        </w:rPr>
        <w:t xml:space="preserve"> indicates that Tesco bears higher interest than its earning capacity. </w:t>
      </w:r>
      <w:r w:rsidR="001E19EB">
        <w:rPr>
          <w:rFonts w:ascii="Times New Roman" w:hAnsi="Times New Roman" w:cs="Times New Roman"/>
          <w:sz w:val="24"/>
          <w:szCs w:val="24"/>
        </w:rPr>
        <w:t>Like</w:t>
      </w:r>
      <w:r w:rsidRPr="008F4DAE">
        <w:rPr>
          <w:rFonts w:ascii="Times New Roman" w:hAnsi="Times New Roman" w:cs="Times New Roman"/>
          <w:sz w:val="24"/>
          <w:szCs w:val="24"/>
        </w:rPr>
        <w:t xml:space="preserve"> Waitrose, Sainsbury’s Interest Coverage Ratio has been ranging between 4 </w:t>
      </w:r>
      <w:r w:rsidR="001E19EB">
        <w:rPr>
          <w:rFonts w:ascii="Times New Roman" w:hAnsi="Times New Roman" w:cs="Times New Roman"/>
          <w:sz w:val="24"/>
          <w:szCs w:val="24"/>
        </w:rPr>
        <w:t>and</w:t>
      </w:r>
      <w:r w:rsidRPr="008F4DAE">
        <w:rPr>
          <w:rFonts w:ascii="Times New Roman" w:hAnsi="Times New Roman" w:cs="Times New Roman"/>
          <w:sz w:val="24"/>
          <w:szCs w:val="24"/>
        </w:rPr>
        <w:t xml:space="preserve"> 5</w:t>
      </w:r>
      <w:r w:rsidR="001E19EB">
        <w:rPr>
          <w:rFonts w:ascii="Times New Roman" w:hAnsi="Times New Roman" w:cs="Times New Roman"/>
          <w:sz w:val="24"/>
          <w:szCs w:val="24"/>
        </w:rPr>
        <w:t xml:space="preserve">; this shows the </w:t>
      </w:r>
      <w:r w:rsidRPr="008F4DAE">
        <w:rPr>
          <w:rFonts w:ascii="Times New Roman" w:hAnsi="Times New Roman" w:cs="Times New Roman"/>
          <w:sz w:val="24"/>
          <w:szCs w:val="24"/>
        </w:rPr>
        <w:t xml:space="preserve">adequacy of earned profit against the interest cost. The UK retail sector average for the </w:t>
      </w:r>
      <w:r w:rsidR="001E19EB">
        <w:rPr>
          <w:rFonts w:ascii="Times New Roman" w:hAnsi="Times New Roman" w:cs="Times New Roman"/>
          <w:sz w:val="24"/>
          <w:szCs w:val="24"/>
        </w:rPr>
        <w:t>debt-equity ratios is close to 1:1. 2, and the Interest Coverage Ratio is</w:t>
      </w:r>
      <w:r w:rsidRPr="008F4DAE">
        <w:rPr>
          <w:rFonts w:ascii="Times New Roman" w:hAnsi="Times New Roman" w:cs="Times New Roman"/>
          <w:sz w:val="24"/>
          <w:szCs w:val="24"/>
        </w:rPr>
        <w:t xml:space="preserve"> approximately 4, thus recreating Waitrose within the trade average, which is suitable for its moderate risk management plan.</w:t>
      </w:r>
    </w:p>
    <w:p w14:paraId="6B9763B9" w14:textId="7BBDC29F" w:rsidR="0075577A" w:rsidRDefault="00A5694C" w:rsidP="00A5694C">
      <w:pPr>
        <w:spacing w:line="360" w:lineRule="auto"/>
        <w:jc w:val="center"/>
        <w:rPr>
          <w:rFonts w:ascii="Times New Roman" w:hAnsi="Times New Roman" w:cs="Times New Roman"/>
          <w:sz w:val="24"/>
          <w:szCs w:val="24"/>
        </w:rPr>
      </w:pPr>
      <w:r>
        <w:rPr>
          <w:noProof/>
        </w:rPr>
        <w:drawing>
          <wp:inline distT="0" distB="0" distL="0" distR="0" wp14:anchorId="02763CAA" wp14:editId="7FBF3168">
            <wp:extent cx="3708400" cy="2992473"/>
            <wp:effectExtent l="0" t="0" r="6350" b="0"/>
            <wp:docPr id="604106243" name="Picture 2"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tput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16927" cy="2999354"/>
                    </a:xfrm>
                    <a:prstGeom prst="rect">
                      <a:avLst/>
                    </a:prstGeom>
                    <a:noFill/>
                    <a:ln>
                      <a:noFill/>
                    </a:ln>
                  </pic:spPr>
                </pic:pic>
              </a:graphicData>
            </a:graphic>
          </wp:inline>
        </w:drawing>
      </w:r>
    </w:p>
    <w:p w14:paraId="7AFE979E" w14:textId="02516E81" w:rsidR="00A5694C" w:rsidRPr="0075577A" w:rsidRDefault="00A5694C" w:rsidP="00A5694C">
      <w:pPr>
        <w:pStyle w:val="Caption"/>
        <w:jc w:val="center"/>
        <w:rPr>
          <w:rFonts w:ascii="Times New Roman" w:hAnsi="Times New Roman" w:cs="Times New Roman"/>
          <w:sz w:val="24"/>
          <w:szCs w:val="24"/>
        </w:rPr>
      </w:pPr>
      <w:r>
        <w:t xml:space="preserve">Figure </w:t>
      </w:r>
      <w:r w:rsidR="000D35B7">
        <w:rPr>
          <w:noProof/>
        </w:rPr>
        <w:t>2</w:t>
      </w:r>
      <w:r>
        <w:t xml:space="preserve">: </w:t>
      </w:r>
      <w:r w:rsidRPr="0083626C">
        <w:t>Interest Coverage Ratio Comparison</w:t>
      </w:r>
      <w:r w:rsidR="00FA2068" w:rsidRPr="00FA2068">
        <w:t xml:space="preserve"> (Ji, 2019)</w:t>
      </w:r>
    </w:p>
    <w:p w14:paraId="3278335B" w14:textId="25A3CFA3" w:rsidR="0075577A" w:rsidRPr="0075577A" w:rsidRDefault="0075577A" w:rsidP="0075577A">
      <w:pPr>
        <w:spacing w:line="360" w:lineRule="auto"/>
        <w:jc w:val="both"/>
        <w:rPr>
          <w:rFonts w:ascii="Times New Roman" w:hAnsi="Times New Roman" w:cs="Times New Roman"/>
          <w:b/>
          <w:bCs/>
          <w:sz w:val="24"/>
          <w:szCs w:val="24"/>
        </w:rPr>
      </w:pPr>
      <w:r w:rsidRPr="0075577A">
        <w:rPr>
          <w:rFonts w:ascii="Times New Roman" w:hAnsi="Times New Roman" w:cs="Times New Roman"/>
          <w:b/>
          <w:bCs/>
          <w:sz w:val="24"/>
          <w:szCs w:val="24"/>
        </w:rPr>
        <w:t>Profitability Ratios</w:t>
      </w:r>
    </w:p>
    <w:p w14:paraId="4856EB79" w14:textId="4E1F0FE6" w:rsidR="0075577A" w:rsidRPr="0075577A" w:rsidRDefault="008F4DAE" w:rsidP="0075577A">
      <w:pPr>
        <w:spacing w:line="360" w:lineRule="auto"/>
        <w:jc w:val="both"/>
        <w:rPr>
          <w:rFonts w:ascii="Times New Roman" w:hAnsi="Times New Roman" w:cs="Times New Roman"/>
          <w:sz w:val="24"/>
          <w:szCs w:val="24"/>
        </w:rPr>
      </w:pPr>
      <w:r w:rsidRPr="008F4DAE">
        <w:rPr>
          <w:rFonts w:ascii="Times New Roman" w:hAnsi="Times New Roman" w:cs="Times New Roman"/>
          <w:sz w:val="24"/>
          <w:szCs w:val="24"/>
        </w:rPr>
        <w:t xml:space="preserve">Analysis of income statement and balance sheet </w:t>
      </w:r>
      <w:r w:rsidR="001E19EB">
        <w:rPr>
          <w:rFonts w:ascii="Times New Roman" w:hAnsi="Times New Roman" w:cs="Times New Roman"/>
          <w:sz w:val="24"/>
          <w:szCs w:val="24"/>
        </w:rPr>
        <w:t xml:space="preserve">Using profitability ratios, it is possible to assess Waitrose’s potential to generate revenues for a given stream of commerce </w:t>
      </w:r>
      <w:r w:rsidR="00091741">
        <w:rPr>
          <w:rFonts w:ascii="Times New Roman" w:hAnsi="Times New Roman" w:cs="Times New Roman"/>
          <w:sz w:val="24"/>
          <w:szCs w:val="24"/>
        </w:rPr>
        <w:t>and</w:t>
      </w:r>
      <w:r w:rsidR="001E19EB">
        <w:rPr>
          <w:rFonts w:ascii="Times New Roman" w:hAnsi="Times New Roman" w:cs="Times New Roman"/>
          <w:sz w:val="24"/>
          <w:szCs w:val="24"/>
        </w:rPr>
        <w:t xml:space="preserve"> the percentage returns on assets, equity, and sales. Return on assets (ROA), return on equity (ROE), and net profit margin give a picture of the company's efficiency and profitability</w:t>
      </w:r>
      <w:r w:rsidR="00091741">
        <w:rPr>
          <w:rFonts w:ascii="Times New Roman" w:hAnsi="Times New Roman" w:cs="Times New Roman"/>
          <w:sz w:val="24"/>
          <w:szCs w:val="24"/>
        </w:rPr>
        <w:t xml:space="preserve"> and</w:t>
      </w:r>
      <w:r w:rsidR="001E19EB">
        <w:rPr>
          <w:rFonts w:ascii="Times New Roman" w:hAnsi="Times New Roman" w:cs="Times New Roman"/>
          <w:sz w:val="24"/>
          <w:szCs w:val="24"/>
        </w:rPr>
        <w:t xml:space="preserve"> other aspects of its</w:t>
      </w:r>
      <w:r w:rsidRPr="008F4DAE">
        <w:rPr>
          <w:rFonts w:ascii="Times New Roman" w:hAnsi="Times New Roman" w:cs="Times New Roman"/>
          <w:sz w:val="24"/>
          <w:szCs w:val="24"/>
        </w:rPr>
        <w:t xml:space="preserve"> financial performance.</w:t>
      </w:r>
    </w:p>
    <w:p w14:paraId="49944A63" w14:textId="3F3E3B1C" w:rsidR="0075577A" w:rsidRPr="0075577A" w:rsidRDefault="0075577A" w:rsidP="0075577A">
      <w:pPr>
        <w:spacing w:line="360" w:lineRule="auto"/>
        <w:jc w:val="both"/>
        <w:rPr>
          <w:rFonts w:ascii="Times New Roman" w:hAnsi="Times New Roman" w:cs="Times New Roman"/>
          <w:sz w:val="24"/>
          <w:szCs w:val="24"/>
        </w:rPr>
      </w:pPr>
      <w:r w:rsidRPr="0075577A">
        <w:rPr>
          <w:rFonts w:ascii="Times New Roman" w:hAnsi="Times New Roman" w:cs="Times New Roman"/>
          <w:b/>
          <w:bCs/>
          <w:sz w:val="24"/>
          <w:szCs w:val="24"/>
        </w:rPr>
        <w:t>Return on Assets (ROA)</w:t>
      </w:r>
      <w:r w:rsidRPr="0075577A">
        <w:rPr>
          <w:rFonts w:ascii="Times New Roman" w:hAnsi="Times New Roman" w:cs="Times New Roman"/>
          <w:sz w:val="24"/>
          <w:szCs w:val="24"/>
        </w:rPr>
        <w:t xml:space="preserve">: </w:t>
      </w:r>
      <w:r w:rsidR="008F4DAE" w:rsidRPr="008F4DAE">
        <w:rPr>
          <w:rFonts w:ascii="Times New Roman" w:hAnsi="Times New Roman" w:cs="Times New Roman"/>
          <w:sz w:val="24"/>
          <w:szCs w:val="24"/>
        </w:rPr>
        <w:t xml:space="preserve">Waitrose ROA, which </w:t>
      </w:r>
      <w:r w:rsidR="001E19EB">
        <w:rPr>
          <w:rFonts w:ascii="Times New Roman" w:hAnsi="Times New Roman" w:cs="Times New Roman"/>
          <w:sz w:val="24"/>
          <w:szCs w:val="24"/>
        </w:rPr>
        <w:t>is Net Income divided by Total Assets obtained</w:t>
      </w:r>
      <w:r w:rsidR="008F4DAE" w:rsidRPr="008F4DAE">
        <w:rPr>
          <w:rFonts w:ascii="Times New Roman" w:hAnsi="Times New Roman" w:cs="Times New Roman"/>
          <w:sz w:val="24"/>
          <w:szCs w:val="24"/>
        </w:rPr>
        <w:t xml:space="preserve">, captures how efficiently and with what returns total assets are employed to produce operational profits. </w:t>
      </w:r>
      <w:r w:rsidR="001E19EB">
        <w:rPr>
          <w:rFonts w:ascii="Times New Roman" w:hAnsi="Times New Roman" w:cs="Times New Roman"/>
          <w:sz w:val="24"/>
          <w:szCs w:val="24"/>
        </w:rPr>
        <w:t xml:space="preserve">Waitrose's return on assets </w:t>
      </w:r>
      <w:r w:rsidR="008F4DAE" w:rsidRPr="008F4DAE">
        <w:rPr>
          <w:rFonts w:ascii="Times New Roman" w:hAnsi="Times New Roman" w:cs="Times New Roman"/>
          <w:sz w:val="24"/>
          <w:szCs w:val="24"/>
        </w:rPr>
        <w:t xml:space="preserve">has fluctuated </w:t>
      </w:r>
      <w:r w:rsidR="001E19EB">
        <w:rPr>
          <w:rFonts w:ascii="Times New Roman" w:hAnsi="Times New Roman" w:cs="Times New Roman"/>
          <w:sz w:val="24"/>
          <w:szCs w:val="24"/>
        </w:rPr>
        <w:t>from</w:t>
      </w:r>
      <w:r w:rsidR="008F4DAE" w:rsidRPr="008F4DAE">
        <w:rPr>
          <w:rFonts w:ascii="Times New Roman" w:hAnsi="Times New Roman" w:cs="Times New Roman"/>
          <w:sz w:val="24"/>
          <w:szCs w:val="24"/>
        </w:rPr>
        <w:t xml:space="preserve"> 3 % to 5 % in the past five years. In </w:t>
      </w:r>
      <w:r w:rsidR="001E19EB">
        <w:rPr>
          <w:rFonts w:ascii="Times New Roman" w:hAnsi="Times New Roman" w:cs="Times New Roman"/>
          <w:sz w:val="24"/>
          <w:szCs w:val="24"/>
        </w:rPr>
        <w:t xml:space="preserve">the </w:t>
      </w:r>
      <w:r w:rsidR="008F4DAE" w:rsidRPr="008F4DAE">
        <w:rPr>
          <w:rFonts w:ascii="Times New Roman" w:hAnsi="Times New Roman" w:cs="Times New Roman"/>
          <w:sz w:val="24"/>
          <w:szCs w:val="24"/>
        </w:rPr>
        <w:t xml:space="preserve">case of ROA, the ratio was 4 in 2021. 2% </w:t>
      </w:r>
      <w:r w:rsidR="001E19EB">
        <w:rPr>
          <w:rFonts w:ascii="Times New Roman" w:hAnsi="Times New Roman" w:cs="Times New Roman"/>
          <w:sz w:val="24"/>
          <w:szCs w:val="24"/>
        </w:rPr>
        <w:t xml:space="preserve">indicates asset efficiency, hence the ability to optimise </w:t>
      </w:r>
      <w:r w:rsidR="001E19EB">
        <w:rPr>
          <w:rFonts w:ascii="Times New Roman" w:hAnsi="Times New Roman" w:cs="Times New Roman"/>
          <w:sz w:val="24"/>
          <w:szCs w:val="24"/>
        </w:rPr>
        <w:lastRenderedPageBreak/>
        <w:t>resource use amid the problems presented by the pandemic</w:t>
      </w:r>
      <w:r w:rsidR="008F4DAE" w:rsidRPr="008F4DAE">
        <w:rPr>
          <w:rFonts w:ascii="Times New Roman" w:hAnsi="Times New Roman" w:cs="Times New Roman"/>
          <w:sz w:val="24"/>
          <w:szCs w:val="24"/>
        </w:rPr>
        <w:t xml:space="preserve"> (Borek and Syp, 2022). This suggests that </w:t>
      </w:r>
      <w:r w:rsidR="001E19EB">
        <w:rPr>
          <w:rFonts w:ascii="Times New Roman" w:hAnsi="Times New Roman" w:cs="Times New Roman"/>
          <w:sz w:val="24"/>
          <w:szCs w:val="24"/>
        </w:rPr>
        <w:t>for every £1 of assets, Waitrose realised</w:t>
      </w:r>
      <w:r w:rsidR="008F4DAE" w:rsidRPr="008F4DAE">
        <w:rPr>
          <w:rFonts w:ascii="Times New Roman" w:hAnsi="Times New Roman" w:cs="Times New Roman"/>
          <w:sz w:val="24"/>
          <w:szCs w:val="24"/>
        </w:rPr>
        <w:t xml:space="preserve"> £0. </w:t>
      </w:r>
      <w:r w:rsidR="001E19EB">
        <w:rPr>
          <w:rFonts w:ascii="Times New Roman" w:hAnsi="Times New Roman" w:cs="Times New Roman"/>
          <w:sz w:val="24"/>
          <w:szCs w:val="24"/>
        </w:rPr>
        <w:t>EA incurs fewer costs as it rises to 042 in profit,</w:t>
      </w:r>
      <w:r w:rsidR="008F4DAE" w:rsidRPr="008F4DAE">
        <w:rPr>
          <w:rFonts w:ascii="Times New Roman" w:hAnsi="Times New Roman" w:cs="Times New Roman"/>
          <w:sz w:val="24"/>
          <w:szCs w:val="24"/>
        </w:rPr>
        <w:t xml:space="preserve"> thus pointing to the </w:t>
      </w:r>
      <w:r w:rsidR="001E19EB">
        <w:rPr>
          <w:rFonts w:ascii="Times New Roman" w:hAnsi="Times New Roman" w:cs="Times New Roman"/>
          <w:sz w:val="24"/>
          <w:szCs w:val="24"/>
        </w:rPr>
        <w:t>company's operational effectiveness</w:t>
      </w:r>
      <w:r w:rsidR="008F4DAE" w:rsidRPr="008F4DAE">
        <w:rPr>
          <w:rFonts w:ascii="Times New Roman" w:hAnsi="Times New Roman" w:cs="Times New Roman"/>
          <w:sz w:val="24"/>
          <w:szCs w:val="24"/>
        </w:rPr>
        <w:t xml:space="preserve">. From the </w:t>
      </w:r>
      <w:r w:rsidR="001E19EB">
        <w:rPr>
          <w:rFonts w:ascii="Times New Roman" w:hAnsi="Times New Roman" w:cs="Times New Roman"/>
          <w:sz w:val="24"/>
          <w:szCs w:val="24"/>
        </w:rPr>
        <w:t>increase from 2020 to 2021, we can see that companies have managed to enhance their sales and costs during the pandemic,</w:t>
      </w:r>
      <w:r w:rsidR="008F4DAE" w:rsidRPr="008F4DAE">
        <w:rPr>
          <w:rFonts w:ascii="Times New Roman" w:hAnsi="Times New Roman" w:cs="Times New Roman"/>
          <w:sz w:val="24"/>
          <w:szCs w:val="24"/>
        </w:rPr>
        <w:t xml:space="preserve"> which slightly boosts the ROA.</w:t>
      </w:r>
    </w:p>
    <w:p w14:paraId="58F6921A" w14:textId="6F357090" w:rsidR="0075577A" w:rsidRPr="0075577A" w:rsidRDefault="0075577A" w:rsidP="0075577A">
      <w:pPr>
        <w:spacing w:line="360" w:lineRule="auto"/>
        <w:jc w:val="both"/>
        <w:rPr>
          <w:rFonts w:ascii="Times New Roman" w:hAnsi="Times New Roman" w:cs="Times New Roman"/>
          <w:sz w:val="24"/>
          <w:szCs w:val="24"/>
        </w:rPr>
      </w:pPr>
      <w:r w:rsidRPr="0075577A">
        <w:rPr>
          <w:rFonts w:ascii="Times New Roman" w:hAnsi="Times New Roman" w:cs="Times New Roman"/>
          <w:b/>
          <w:bCs/>
          <w:sz w:val="24"/>
          <w:szCs w:val="24"/>
        </w:rPr>
        <w:t>Return on Equity (ROE)</w:t>
      </w:r>
      <w:r w:rsidRPr="0075577A">
        <w:rPr>
          <w:rFonts w:ascii="Times New Roman" w:hAnsi="Times New Roman" w:cs="Times New Roman"/>
          <w:sz w:val="24"/>
          <w:szCs w:val="24"/>
        </w:rPr>
        <w:t xml:space="preserve">: </w:t>
      </w:r>
      <w:r w:rsidR="00505A22" w:rsidRPr="00505A22">
        <w:rPr>
          <w:rFonts w:ascii="Times New Roman" w:hAnsi="Times New Roman" w:cs="Times New Roman"/>
          <w:sz w:val="24"/>
          <w:szCs w:val="24"/>
        </w:rPr>
        <w:t>The ROE</w:t>
      </w:r>
      <w:r w:rsidR="001E19EB">
        <w:rPr>
          <w:rFonts w:ascii="Times New Roman" w:hAnsi="Times New Roman" w:cs="Times New Roman"/>
          <w:sz w:val="24"/>
          <w:szCs w:val="24"/>
        </w:rPr>
        <w:t>, the net income divided by the shareholders’ equity, shows the firm's</w:t>
      </w:r>
      <w:r w:rsidR="00505A22" w:rsidRPr="00505A22">
        <w:rPr>
          <w:rFonts w:ascii="Times New Roman" w:hAnsi="Times New Roman" w:cs="Times New Roman"/>
          <w:sz w:val="24"/>
          <w:szCs w:val="24"/>
        </w:rPr>
        <w:t xml:space="preserve"> profitability against total equity. As for the </w:t>
      </w:r>
      <w:r w:rsidR="001E19EB">
        <w:rPr>
          <w:rFonts w:ascii="Times New Roman" w:hAnsi="Times New Roman" w:cs="Times New Roman"/>
          <w:sz w:val="24"/>
          <w:szCs w:val="24"/>
        </w:rPr>
        <w:t>return on equity (ROE) figure, Waitrose has recorded</w:t>
      </w:r>
      <w:r w:rsidR="00505A22" w:rsidRPr="00505A22">
        <w:rPr>
          <w:rFonts w:ascii="Times New Roman" w:hAnsi="Times New Roman" w:cs="Times New Roman"/>
          <w:sz w:val="24"/>
          <w:szCs w:val="24"/>
        </w:rPr>
        <w:t xml:space="preserve"> a value ranging from 12% to 15% over the last five years. The ROE remained surprisingly at 14% in 2021</w:t>
      </w:r>
      <w:r w:rsidR="001E19EB">
        <w:rPr>
          <w:rFonts w:ascii="Times New Roman" w:hAnsi="Times New Roman" w:cs="Times New Roman"/>
          <w:sz w:val="24"/>
          <w:szCs w:val="24"/>
        </w:rPr>
        <w:t>,</w:t>
      </w:r>
      <w:r w:rsidR="00505A22" w:rsidRPr="00505A22">
        <w:rPr>
          <w:rFonts w:ascii="Times New Roman" w:hAnsi="Times New Roman" w:cs="Times New Roman"/>
          <w:sz w:val="24"/>
          <w:szCs w:val="24"/>
        </w:rPr>
        <w:t xml:space="preserve"> proving the company’s strong profitability position </w:t>
      </w:r>
      <w:r w:rsidR="001E19EB">
        <w:rPr>
          <w:rFonts w:ascii="Times New Roman" w:hAnsi="Times New Roman" w:cs="Times New Roman"/>
          <w:sz w:val="24"/>
          <w:szCs w:val="24"/>
        </w:rPr>
        <w:t>and</w:t>
      </w:r>
      <w:r w:rsidR="00505A22" w:rsidRPr="00505A22">
        <w:rPr>
          <w:rFonts w:ascii="Times New Roman" w:hAnsi="Times New Roman" w:cs="Times New Roman"/>
          <w:sz w:val="24"/>
          <w:szCs w:val="24"/>
        </w:rPr>
        <w:t xml:space="preserve"> the </w:t>
      </w:r>
      <w:r w:rsidR="001E19EB">
        <w:rPr>
          <w:rFonts w:ascii="Times New Roman" w:hAnsi="Times New Roman" w:cs="Times New Roman"/>
          <w:sz w:val="24"/>
          <w:szCs w:val="24"/>
        </w:rPr>
        <w:t>excellent</w:t>
      </w:r>
      <w:r w:rsidR="00505A22" w:rsidRPr="00505A22">
        <w:rPr>
          <w:rFonts w:ascii="Times New Roman" w:hAnsi="Times New Roman" w:cs="Times New Roman"/>
          <w:sz w:val="24"/>
          <w:szCs w:val="24"/>
        </w:rPr>
        <w:t xml:space="preserve"> </w:t>
      </w:r>
      <w:r w:rsidR="001E19EB">
        <w:rPr>
          <w:rFonts w:ascii="Times New Roman" w:hAnsi="Times New Roman" w:cs="Times New Roman"/>
          <w:sz w:val="24"/>
          <w:szCs w:val="24"/>
        </w:rPr>
        <w:t>utilisation</w:t>
      </w:r>
      <w:r w:rsidR="00505A22" w:rsidRPr="00505A22">
        <w:rPr>
          <w:rFonts w:ascii="Times New Roman" w:hAnsi="Times New Roman" w:cs="Times New Roman"/>
          <w:sz w:val="24"/>
          <w:szCs w:val="24"/>
        </w:rPr>
        <w:t xml:space="preserve"> of equity (Helliwell, Morris, and Raman, 2020). This ratio </w:t>
      </w:r>
      <w:r w:rsidR="001E19EB">
        <w:rPr>
          <w:rFonts w:ascii="Times New Roman" w:hAnsi="Times New Roman" w:cs="Times New Roman"/>
          <w:sz w:val="24"/>
          <w:szCs w:val="24"/>
        </w:rPr>
        <w:t>suggests</w:t>
      </w:r>
      <w:r w:rsidR="00505A22" w:rsidRPr="00505A22">
        <w:rPr>
          <w:rFonts w:ascii="Times New Roman" w:hAnsi="Times New Roman" w:cs="Times New Roman"/>
          <w:sz w:val="24"/>
          <w:szCs w:val="24"/>
        </w:rPr>
        <w:t xml:space="preserve"> that for every £ of equity, Waitrose makes £0. 14 in profit, solidifying ‘shareholder return</w:t>
      </w:r>
      <w:r w:rsidR="001E19EB">
        <w:rPr>
          <w:rFonts w:ascii="Times New Roman" w:hAnsi="Times New Roman" w:cs="Times New Roman"/>
          <w:sz w:val="24"/>
          <w:szCs w:val="24"/>
        </w:rPr>
        <w:t>.’</w:t>
      </w:r>
      <w:r w:rsidR="00505A22" w:rsidRPr="00505A22">
        <w:rPr>
          <w:rFonts w:ascii="Times New Roman" w:hAnsi="Times New Roman" w:cs="Times New Roman"/>
          <w:sz w:val="24"/>
          <w:szCs w:val="24"/>
        </w:rPr>
        <w:t xml:space="preserve"> The trend of ROE over the years also shows the company’s strength in sustaining </w:t>
      </w:r>
      <w:r w:rsidR="001E19EB">
        <w:rPr>
          <w:rFonts w:ascii="Times New Roman" w:hAnsi="Times New Roman" w:cs="Times New Roman"/>
          <w:sz w:val="24"/>
          <w:szCs w:val="24"/>
        </w:rPr>
        <w:t>profit revenue to make value for</w:t>
      </w:r>
      <w:r w:rsidR="00505A22" w:rsidRPr="00505A22">
        <w:rPr>
          <w:rFonts w:ascii="Times New Roman" w:hAnsi="Times New Roman" w:cs="Times New Roman"/>
          <w:sz w:val="24"/>
          <w:szCs w:val="24"/>
        </w:rPr>
        <w:t xml:space="preserve"> its shareholders.</w:t>
      </w:r>
    </w:p>
    <w:p w14:paraId="064FDCFF" w14:textId="43942947" w:rsidR="0075577A" w:rsidRPr="0075577A" w:rsidRDefault="0075577A" w:rsidP="0075577A">
      <w:pPr>
        <w:spacing w:line="360" w:lineRule="auto"/>
        <w:jc w:val="both"/>
        <w:rPr>
          <w:rFonts w:ascii="Times New Roman" w:hAnsi="Times New Roman" w:cs="Times New Roman"/>
          <w:sz w:val="24"/>
          <w:szCs w:val="24"/>
        </w:rPr>
      </w:pPr>
      <w:r w:rsidRPr="0075577A">
        <w:rPr>
          <w:rFonts w:ascii="Times New Roman" w:hAnsi="Times New Roman" w:cs="Times New Roman"/>
          <w:b/>
          <w:bCs/>
          <w:sz w:val="24"/>
          <w:szCs w:val="24"/>
        </w:rPr>
        <w:t>Net Profit Margin</w:t>
      </w:r>
      <w:r w:rsidRPr="0075577A">
        <w:rPr>
          <w:rFonts w:ascii="Times New Roman" w:hAnsi="Times New Roman" w:cs="Times New Roman"/>
          <w:sz w:val="24"/>
          <w:szCs w:val="24"/>
        </w:rPr>
        <w:t xml:space="preserve">: </w:t>
      </w:r>
      <w:r w:rsidR="00505A22" w:rsidRPr="00505A22">
        <w:rPr>
          <w:rFonts w:ascii="Times New Roman" w:hAnsi="Times New Roman" w:cs="Times New Roman"/>
          <w:sz w:val="24"/>
          <w:szCs w:val="24"/>
        </w:rPr>
        <w:t xml:space="preserve">The Net Profit Margin that shows how </w:t>
      </w:r>
      <w:r w:rsidR="001E19EB">
        <w:rPr>
          <w:rFonts w:ascii="Times New Roman" w:hAnsi="Times New Roman" w:cs="Times New Roman"/>
          <w:sz w:val="24"/>
          <w:szCs w:val="24"/>
        </w:rPr>
        <w:t>much</w:t>
      </w:r>
      <w:r w:rsidR="00505A22" w:rsidRPr="00505A22">
        <w:rPr>
          <w:rFonts w:ascii="Times New Roman" w:hAnsi="Times New Roman" w:cs="Times New Roman"/>
          <w:sz w:val="24"/>
          <w:szCs w:val="24"/>
        </w:rPr>
        <w:t xml:space="preserve"> </w:t>
      </w:r>
      <w:r w:rsidR="001E19EB">
        <w:rPr>
          <w:rFonts w:ascii="Times New Roman" w:hAnsi="Times New Roman" w:cs="Times New Roman"/>
          <w:sz w:val="24"/>
          <w:szCs w:val="24"/>
        </w:rPr>
        <w:t>per cent</w:t>
      </w:r>
      <w:r w:rsidR="00505A22" w:rsidRPr="00505A22">
        <w:rPr>
          <w:rFonts w:ascii="Times New Roman" w:hAnsi="Times New Roman" w:cs="Times New Roman"/>
          <w:sz w:val="24"/>
          <w:szCs w:val="24"/>
        </w:rPr>
        <w:t xml:space="preserve"> of the total sales amount turns into profit is calculated by </w:t>
      </w:r>
      <w:r w:rsidR="001E19EB">
        <w:rPr>
          <w:rFonts w:ascii="Times New Roman" w:hAnsi="Times New Roman" w:cs="Times New Roman"/>
          <w:sz w:val="24"/>
          <w:szCs w:val="24"/>
        </w:rPr>
        <w:t>dividing</w:t>
      </w:r>
      <w:r w:rsidR="00505A22" w:rsidRPr="00505A22">
        <w:rPr>
          <w:rFonts w:ascii="Times New Roman" w:hAnsi="Times New Roman" w:cs="Times New Roman"/>
          <w:sz w:val="24"/>
          <w:szCs w:val="24"/>
        </w:rPr>
        <w:t xml:space="preserve"> the net income by the total revenue. Furthermore, the definite value of Waitrose’s Net Profit Margin for the last five years ranged from 2% to 4%. As of 2021, it was 3. 5%</w:t>
      </w:r>
      <w:r w:rsidR="001E19EB">
        <w:rPr>
          <w:rFonts w:ascii="Times New Roman" w:hAnsi="Times New Roman" w:cs="Times New Roman"/>
          <w:sz w:val="24"/>
          <w:szCs w:val="24"/>
        </w:rPr>
        <w:t xml:space="preserve">, </w:t>
      </w:r>
      <w:r w:rsidR="00505A22" w:rsidRPr="00505A22">
        <w:rPr>
          <w:rFonts w:ascii="Times New Roman" w:hAnsi="Times New Roman" w:cs="Times New Roman"/>
          <w:sz w:val="24"/>
          <w:szCs w:val="24"/>
        </w:rPr>
        <w:t>notwithstanding increased sales volumes resulting from better profitability. Such a margin implies</w:t>
      </w:r>
      <w:r w:rsidR="001E19EB">
        <w:rPr>
          <w:rFonts w:ascii="Times New Roman" w:hAnsi="Times New Roman" w:cs="Times New Roman"/>
          <w:sz w:val="24"/>
          <w:szCs w:val="24"/>
        </w:rPr>
        <w:t xml:space="preserve"> that</w:t>
      </w:r>
      <w:r w:rsidR="00505A22" w:rsidRPr="00505A22">
        <w:rPr>
          <w:rFonts w:ascii="Times New Roman" w:hAnsi="Times New Roman" w:cs="Times New Roman"/>
          <w:sz w:val="24"/>
          <w:szCs w:val="24"/>
        </w:rPr>
        <w:t xml:space="preserve"> if Waitrose generates £1 of revenue, it earns £0. 035 in profit</w:t>
      </w:r>
      <w:r w:rsidR="001E19EB">
        <w:rPr>
          <w:rFonts w:ascii="Times New Roman" w:hAnsi="Times New Roman" w:cs="Times New Roman"/>
          <w:sz w:val="24"/>
          <w:szCs w:val="24"/>
        </w:rPr>
        <w:t xml:space="preserve"> shows its managerial capacity to maintain costs and improve profitability despite </w:t>
      </w:r>
      <w:r w:rsidR="00DA23BF">
        <w:rPr>
          <w:rFonts w:ascii="Times New Roman" w:hAnsi="Times New Roman" w:cs="Times New Roman"/>
          <w:sz w:val="24"/>
          <w:szCs w:val="24"/>
        </w:rPr>
        <w:t>unfavorable</w:t>
      </w:r>
      <w:r w:rsidR="00505A22" w:rsidRPr="00505A22">
        <w:rPr>
          <w:rFonts w:ascii="Times New Roman" w:hAnsi="Times New Roman" w:cs="Times New Roman"/>
          <w:sz w:val="24"/>
          <w:szCs w:val="24"/>
        </w:rPr>
        <w:t xml:space="preserve"> circumstances (Griffith, Krol, and Smith, 2018).</w:t>
      </w:r>
    </w:p>
    <w:p w14:paraId="16E24570" w14:textId="768461A7" w:rsidR="0075577A" w:rsidRPr="0075577A" w:rsidRDefault="0075577A" w:rsidP="0075577A">
      <w:pPr>
        <w:spacing w:line="360" w:lineRule="auto"/>
        <w:jc w:val="both"/>
        <w:rPr>
          <w:rFonts w:ascii="Times New Roman" w:hAnsi="Times New Roman" w:cs="Times New Roman"/>
          <w:sz w:val="24"/>
          <w:szCs w:val="24"/>
        </w:rPr>
      </w:pPr>
      <w:r w:rsidRPr="0075577A">
        <w:rPr>
          <w:rFonts w:ascii="Times New Roman" w:hAnsi="Times New Roman" w:cs="Times New Roman"/>
          <w:b/>
          <w:bCs/>
          <w:sz w:val="24"/>
          <w:szCs w:val="24"/>
        </w:rPr>
        <w:t>Comparison with Major Competitors and Sector Averages</w:t>
      </w:r>
      <w:r w:rsidRPr="0075577A">
        <w:rPr>
          <w:rFonts w:ascii="Times New Roman" w:hAnsi="Times New Roman" w:cs="Times New Roman"/>
          <w:sz w:val="24"/>
          <w:szCs w:val="24"/>
        </w:rPr>
        <w:t xml:space="preserve">: </w:t>
      </w:r>
      <w:r w:rsidR="00505A22" w:rsidRPr="00505A22">
        <w:rPr>
          <w:rFonts w:ascii="Times New Roman" w:hAnsi="Times New Roman" w:cs="Times New Roman"/>
          <w:sz w:val="24"/>
          <w:szCs w:val="24"/>
        </w:rPr>
        <w:t xml:space="preserve">Competitive analysis using the profitability ratios shows varied but valuable contrasts between Waitrose and competitors Tesco and Sainsbury’s. The ROA for Tesco remained </w:t>
      </w:r>
      <w:r w:rsidR="001E19EB">
        <w:rPr>
          <w:rFonts w:ascii="Times New Roman" w:hAnsi="Times New Roman" w:cs="Times New Roman"/>
          <w:sz w:val="24"/>
          <w:szCs w:val="24"/>
        </w:rPr>
        <w:t xml:space="preserve">at </w:t>
      </w:r>
      <w:r w:rsidR="00505A22" w:rsidRPr="00505A22">
        <w:rPr>
          <w:rFonts w:ascii="Times New Roman" w:hAnsi="Times New Roman" w:cs="Times New Roman"/>
          <w:sz w:val="24"/>
          <w:szCs w:val="24"/>
        </w:rPr>
        <w:t xml:space="preserve">around 2. </w:t>
      </w:r>
      <w:r w:rsidR="001E19EB">
        <w:rPr>
          <w:rFonts w:ascii="Times New Roman" w:hAnsi="Times New Roman" w:cs="Times New Roman"/>
          <w:sz w:val="24"/>
          <w:szCs w:val="24"/>
        </w:rPr>
        <w:t>It went from 5% to 4%, slightly below Waitrose,</w:t>
      </w:r>
      <w:r w:rsidR="00505A22" w:rsidRPr="00505A22">
        <w:rPr>
          <w:rFonts w:ascii="Times New Roman" w:hAnsi="Times New Roman" w:cs="Times New Roman"/>
          <w:sz w:val="24"/>
          <w:szCs w:val="24"/>
        </w:rPr>
        <w:t xml:space="preserve"> meaning less effective use of assets (Perry, 2008). It has also been found that Tesco’s ROE has been </w:t>
      </w:r>
      <w:r w:rsidR="001E19EB">
        <w:rPr>
          <w:rFonts w:ascii="Times New Roman" w:hAnsi="Times New Roman" w:cs="Times New Roman"/>
          <w:sz w:val="24"/>
          <w:szCs w:val="24"/>
        </w:rPr>
        <w:t>somewhat</w:t>
      </w:r>
      <w:r w:rsidR="00505A22" w:rsidRPr="00505A22">
        <w:rPr>
          <w:rFonts w:ascii="Times New Roman" w:hAnsi="Times New Roman" w:cs="Times New Roman"/>
          <w:sz w:val="24"/>
          <w:szCs w:val="24"/>
        </w:rPr>
        <w:t xml:space="preserve"> higher, in the ratio of 15 to 18, primarily due to its higher leverage rate </w:t>
      </w:r>
      <w:r w:rsidR="001E19EB">
        <w:rPr>
          <w:rFonts w:ascii="Times New Roman" w:hAnsi="Times New Roman" w:cs="Times New Roman"/>
          <w:sz w:val="24"/>
          <w:szCs w:val="24"/>
        </w:rPr>
        <w:t>to</w:t>
      </w:r>
      <w:r w:rsidR="00505A22" w:rsidRPr="00505A22">
        <w:rPr>
          <w:rFonts w:ascii="Times New Roman" w:hAnsi="Times New Roman" w:cs="Times New Roman"/>
          <w:sz w:val="24"/>
          <w:szCs w:val="24"/>
        </w:rPr>
        <w:t xml:space="preserve"> increase its </w:t>
      </w:r>
      <w:r w:rsidR="001E19EB">
        <w:rPr>
          <w:rFonts w:ascii="Times New Roman" w:hAnsi="Times New Roman" w:cs="Times New Roman"/>
          <w:sz w:val="24"/>
          <w:szCs w:val="24"/>
        </w:rPr>
        <w:t>shareholder</w:t>
      </w:r>
      <w:r w:rsidR="00505A22" w:rsidRPr="00505A22">
        <w:rPr>
          <w:rFonts w:ascii="Times New Roman" w:hAnsi="Times New Roman" w:cs="Times New Roman"/>
          <w:sz w:val="24"/>
          <w:szCs w:val="24"/>
        </w:rPr>
        <w:t xml:space="preserve"> return. Sainsbury’s ROA was similar to </w:t>
      </w:r>
      <w:r w:rsidR="001E19EB">
        <w:rPr>
          <w:rFonts w:ascii="Times New Roman" w:hAnsi="Times New Roman" w:cs="Times New Roman"/>
          <w:sz w:val="24"/>
          <w:szCs w:val="24"/>
        </w:rPr>
        <w:t>Waitrose's, moving around 3% to 4%. In comparison, the ROE was slightly lower at around 10% to 13%,</w:t>
      </w:r>
      <w:r w:rsidR="00505A22" w:rsidRPr="00505A22">
        <w:rPr>
          <w:rFonts w:ascii="Times New Roman" w:hAnsi="Times New Roman" w:cs="Times New Roman"/>
          <w:sz w:val="24"/>
          <w:szCs w:val="24"/>
        </w:rPr>
        <w:t xml:space="preserve"> which conveyed that Sainsbury was more conservative in its use of equity. Tesco’s Net profit margin is just below Waitrose and Sainsbury’s</w:t>
      </w:r>
      <w:r w:rsidR="001E19EB">
        <w:rPr>
          <w:rFonts w:ascii="Times New Roman" w:hAnsi="Times New Roman" w:cs="Times New Roman"/>
          <w:sz w:val="24"/>
          <w:szCs w:val="24"/>
        </w:rPr>
        <w:t>,</w:t>
      </w:r>
      <w:r w:rsidR="00505A22" w:rsidRPr="00505A22">
        <w:rPr>
          <w:rFonts w:ascii="Times New Roman" w:hAnsi="Times New Roman" w:cs="Times New Roman"/>
          <w:sz w:val="24"/>
          <w:szCs w:val="24"/>
        </w:rPr>
        <w:t xml:space="preserve"> with a </w:t>
      </w:r>
      <w:r w:rsidR="001E19EB">
        <w:rPr>
          <w:rFonts w:ascii="Times New Roman" w:hAnsi="Times New Roman" w:cs="Times New Roman"/>
          <w:sz w:val="24"/>
          <w:szCs w:val="24"/>
        </w:rPr>
        <w:t>2% – 3% margin</w:t>
      </w:r>
      <w:r w:rsidR="00505A22" w:rsidRPr="00505A22">
        <w:rPr>
          <w:rFonts w:ascii="Times New Roman" w:hAnsi="Times New Roman" w:cs="Times New Roman"/>
          <w:sz w:val="24"/>
          <w:szCs w:val="24"/>
        </w:rPr>
        <w:t xml:space="preserve">. 5% to 3. 5%. According to Smith (2022), UK retail industries yield an average ROA of 3%, </w:t>
      </w:r>
      <w:r w:rsidR="001E19EB">
        <w:rPr>
          <w:rFonts w:ascii="Times New Roman" w:hAnsi="Times New Roman" w:cs="Times New Roman"/>
          <w:sz w:val="24"/>
          <w:szCs w:val="24"/>
        </w:rPr>
        <w:t>an ROE of 12%, and % net</w:t>
      </w:r>
      <w:r w:rsidR="00505A22" w:rsidRPr="00505A22">
        <w:rPr>
          <w:rFonts w:ascii="Times New Roman" w:hAnsi="Times New Roman" w:cs="Times New Roman"/>
          <w:sz w:val="24"/>
          <w:szCs w:val="24"/>
        </w:rPr>
        <w:t xml:space="preserve"> Profit Margin of 3%. </w:t>
      </w:r>
      <w:r w:rsidR="00DA23BF" w:rsidRPr="00505A22">
        <w:rPr>
          <w:rFonts w:ascii="Times New Roman" w:hAnsi="Times New Roman" w:cs="Times New Roman"/>
          <w:sz w:val="24"/>
          <w:szCs w:val="24"/>
        </w:rPr>
        <w:lastRenderedPageBreak/>
        <w:t>Waitrose’s set financial ratios largely conform</w:t>
      </w:r>
      <w:r w:rsidR="00505A22" w:rsidRPr="00505A22">
        <w:rPr>
          <w:rFonts w:ascii="Times New Roman" w:hAnsi="Times New Roman" w:cs="Times New Roman"/>
          <w:sz w:val="24"/>
          <w:szCs w:val="24"/>
        </w:rPr>
        <w:t xml:space="preserve"> to these criteria</w:t>
      </w:r>
      <w:r w:rsidR="001E19EB">
        <w:rPr>
          <w:rFonts w:ascii="Times New Roman" w:hAnsi="Times New Roman" w:cs="Times New Roman"/>
          <w:sz w:val="24"/>
          <w:szCs w:val="24"/>
        </w:rPr>
        <w:t>,</w:t>
      </w:r>
      <w:r w:rsidR="00505A22" w:rsidRPr="00505A22">
        <w:rPr>
          <w:rFonts w:ascii="Times New Roman" w:hAnsi="Times New Roman" w:cs="Times New Roman"/>
          <w:sz w:val="24"/>
          <w:szCs w:val="24"/>
        </w:rPr>
        <w:t xml:space="preserve"> and as a result, the supermarket portrays satisfactory operational and financial performance against the sector benchmarks.</w:t>
      </w:r>
    </w:p>
    <w:p w14:paraId="018E975C" w14:textId="5BB2F29E" w:rsidR="0075577A" w:rsidRDefault="00A5694C" w:rsidP="00A5694C">
      <w:pPr>
        <w:spacing w:line="360" w:lineRule="auto"/>
        <w:jc w:val="center"/>
        <w:rPr>
          <w:rFonts w:ascii="Times New Roman" w:hAnsi="Times New Roman" w:cs="Times New Roman"/>
          <w:sz w:val="24"/>
          <w:szCs w:val="24"/>
        </w:rPr>
      </w:pPr>
      <w:r>
        <w:rPr>
          <w:noProof/>
        </w:rPr>
        <w:drawing>
          <wp:inline distT="0" distB="0" distL="0" distR="0" wp14:anchorId="2211569B" wp14:editId="1EB42369">
            <wp:extent cx="3695260" cy="4514850"/>
            <wp:effectExtent l="0" t="0" r="635" b="0"/>
            <wp:docPr id="1980578102" name="Picture 3"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tput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4326" cy="4525927"/>
                    </a:xfrm>
                    <a:prstGeom prst="rect">
                      <a:avLst/>
                    </a:prstGeom>
                    <a:noFill/>
                    <a:ln>
                      <a:noFill/>
                    </a:ln>
                  </pic:spPr>
                </pic:pic>
              </a:graphicData>
            </a:graphic>
          </wp:inline>
        </w:drawing>
      </w:r>
    </w:p>
    <w:p w14:paraId="1D982A07" w14:textId="7C3C23C8" w:rsidR="00A5694C" w:rsidRPr="0075577A" w:rsidRDefault="00A5694C" w:rsidP="00A5694C">
      <w:pPr>
        <w:pStyle w:val="Caption"/>
        <w:jc w:val="center"/>
        <w:rPr>
          <w:rFonts w:ascii="Times New Roman" w:hAnsi="Times New Roman" w:cs="Times New Roman"/>
          <w:sz w:val="24"/>
          <w:szCs w:val="24"/>
        </w:rPr>
      </w:pPr>
      <w:r>
        <w:t xml:space="preserve">Figure </w:t>
      </w:r>
      <w:r w:rsidR="000D35B7">
        <w:rPr>
          <w:noProof/>
        </w:rPr>
        <w:t>3</w:t>
      </w:r>
      <w:r>
        <w:t xml:space="preserve">: </w:t>
      </w:r>
      <w:r w:rsidRPr="007757EB">
        <w:t>Net Profit Margin Comparison</w:t>
      </w:r>
      <w:r w:rsidR="00166227" w:rsidRPr="00166227">
        <w:t xml:space="preserve"> (Meiryani, 2021)</w:t>
      </w:r>
    </w:p>
    <w:p w14:paraId="26CCC349" w14:textId="6E19FD60" w:rsidR="0075577A" w:rsidRPr="0075577A" w:rsidRDefault="0075577A" w:rsidP="0075577A">
      <w:pPr>
        <w:spacing w:line="360" w:lineRule="auto"/>
        <w:jc w:val="both"/>
        <w:rPr>
          <w:rFonts w:ascii="Times New Roman" w:hAnsi="Times New Roman" w:cs="Times New Roman"/>
          <w:b/>
          <w:bCs/>
          <w:sz w:val="24"/>
          <w:szCs w:val="24"/>
        </w:rPr>
      </w:pPr>
      <w:r w:rsidRPr="0075577A">
        <w:rPr>
          <w:rFonts w:ascii="Times New Roman" w:hAnsi="Times New Roman" w:cs="Times New Roman"/>
          <w:b/>
          <w:bCs/>
          <w:sz w:val="24"/>
          <w:szCs w:val="24"/>
        </w:rPr>
        <w:t>Overall Financial Health</w:t>
      </w:r>
    </w:p>
    <w:p w14:paraId="186C90A7" w14:textId="0329C9BC" w:rsidR="0075577A" w:rsidRPr="0075577A" w:rsidRDefault="00505A22" w:rsidP="0075577A">
      <w:pPr>
        <w:spacing w:line="360" w:lineRule="auto"/>
        <w:jc w:val="both"/>
        <w:rPr>
          <w:rFonts w:ascii="Times New Roman" w:hAnsi="Times New Roman" w:cs="Times New Roman"/>
          <w:sz w:val="24"/>
          <w:szCs w:val="24"/>
        </w:rPr>
      </w:pPr>
      <w:r w:rsidRPr="00505A22">
        <w:rPr>
          <w:rFonts w:ascii="Times New Roman" w:hAnsi="Times New Roman" w:cs="Times New Roman"/>
          <w:sz w:val="24"/>
          <w:szCs w:val="24"/>
        </w:rPr>
        <w:t xml:space="preserve">Considering </w:t>
      </w:r>
      <w:r w:rsidR="001E19EB">
        <w:rPr>
          <w:rFonts w:ascii="Times New Roman" w:hAnsi="Times New Roman" w:cs="Times New Roman"/>
          <w:sz w:val="24"/>
          <w:szCs w:val="24"/>
        </w:rPr>
        <w:t>Waitrose's overall financial status for the past five years, the company has enjoyed its financial solidity and organic ability to adapt to market situations. Tackling</w:t>
      </w:r>
      <w:r w:rsidRPr="00505A22">
        <w:rPr>
          <w:rFonts w:ascii="Times New Roman" w:hAnsi="Times New Roman" w:cs="Times New Roman"/>
          <w:sz w:val="24"/>
          <w:szCs w:val="24"/>
        </w:rPr>
        <w:t xml:space="preserve"> trends, patterns, or </w:t>
      </w:r>
      <w:r w:rsidR="001E19EB">
        <w:rPr>
          <w:rFonts w:ascii="Times New Roman" w:hAnsi="Times New Roman" w:cs="Times New Roman"/>
          <w:sz w:val="24"/>
          <w:szCs w:val="24"/>
        </w:rPr>
        <w:t>significant</w:t>
      </w:r>
      <w:r w:rsidRPr="00505A22">
        <w:rPr>
          <w:rFonts w:ascii="Times New Roman" w:hAnsi="Times New Roman" w:cs="Times New Roman"/>
          <w:sz w:val="24"/>
          <w:szCs w:val="24"/>
        </w:rPr>
        <w:t xml:space="preserve"> economic occurrences </w:t>
      </w:r>
      <w:r w:rsidR="001E19EB">
        <w:rPr>
          <w:rFonts w:ascii="Times New Roman" w:hAnsi="Times New Roman" w:cs="Times New Roman"/>
          <w:sz w:val="24"/>
          <w:szCs w:val="24"/>
        </w:rPr>
        <w:t xml:space="preserve">provides an overall outlook regarding </w:t>
      </w:r>
      <w:r w:rsidRPr="00505A22">
        <w:rPr>
          <w:rFonts w:ascii="Times New Roman" w:hAnsi="Times New Roman" w:cs="Times New Roman"/>
          <w:sz w:val="24"/>
          <w:szCs w:val="24"/>
        </w:rPr>
        <w:t>solvency and profitability.</w:t>
      </w:r>
    </w:p>
    <w:p w14:paraId="568DEC7D" w14:textId="50339A79" w:rsidR="0075577A" w:rsidRPr="0075577A" w:rsidRDefault="0075577A" w:rsidP="0075577A">
      <w:pPr>
        <w:spacing w:line="360" w:lineRule="auto"/>
        <w:jc w:val="both"/>
        <w:rPr>
          <w:rFonts w:ascii="Times New Roman" w:hAnsi="Times New Roman" w:cs="Times New Roman"/>
          <w:sz w:val="24"/>
          <w:szCs w:val="24"/>
        </w:rPr>
      </w:pPr>
      <w:r w:rsidRPr="0075577A">
        <w:rPr>
          <w:rFonts w:ascii="Times New Roman" w:hAnsi="Times New Roman" w:cs="Times New Roman"/>
          <w:b/>
          <w:bCs/>
          <w:sz w:val="24"/>
          <w:szCs w:val="24"/>
        </w:rPr>
        <w:t>Trends and Patterns Over the Past Five Years</w:t>
      </w:r>
      <w:r w:rsidRPr="0075577A">
        <w:rPr>
          <w:rFonts w:ascii="Times New Roman" w:hAnsi="Times New Roman" w:cs="Times New Roman"/>
          <w:sz w:val="24"/>
          <w:szCs w:val="24"/>
        </w:rPr>
        <w:t xml:space="preserve">: </w:t>
      </w:r>
      <w:r w:rsidR="00505A22" w:rsidRPr="00505A22">
        <w:rPr>
          <w:rFonts w:ascii="Times New Roman" w:hAnsi="Times New Roman" w:cs="Times New Roman"/>
          <w:sz w:val="24"/>
          <w:szCs w:val="24"/>
        </w:rPr>
        <w:t xml:space="preserve">Waitrose has been in a sweet financial position by </w:t>
      </w:r>
      <w:r w:rsidR="001E19EB">
        <w:rPr>
          <w:rFonts w:ascii="Times New Roman" w:hAnsi="Times New Roman" w:cs="Times New Roman"/>
          <w:sz w:val="24"/>
          <w:szCs w:val="24"/>
        </w:rPr>
        <w:t>providing stable and consistent revenue generation and adequate control over costs</w:t>
      </w:r>
      <w:r w:rsidR="00505A22" w:rsidRPr="00505A22">
        <w:rPr>
          <w:rFonts w:ascii="Times New Roman" w:hAnsi="Times New Roman" w:cs="Times New Roman"/>
          <w:sz w:val="24"/>
          <w:szCs w:val="24"/>
        </w:rPr>
        <w:t>. Total revenue has increased at 2-3% per annum primarily due to the in-store sales and</w:t>
      </w:r>
      <w:r w:rsidR="001E19EB">
        <w:rPr>
          <w:rFonts w:ascii="Times New Roman" w:hAnsi="Times New Roman" w:cs="Times New Roman"/>
          <w:sz w:val="24"/>
          <w:szCs w:val="24"/>
        </w:rPr>
        <w:t xml:space="preserve">, most recently, the online business, which has seen a massive spike </w:t>
      </w:r>
      <w:r w:rsidR="00505A22" w:rsidRPr="00505A22">
        <w:rPr>
          <w:rFonts w:ascii="Times New Roman" w:hAnsi="Times New Roman" w:cs="Times New Roman"/>
          <w:sz w:val="24"/>
          <w:szCs w:val="24"/>
        </w:rPr>
        <w:t xml:space="preserve">due to the COVID-19 outbreak. The company’s gross margin is </w:t>
      </w:r>
      <w:r w:rsidR="001E19EB">
        <w:rPr>
          <w:rFonts w:ascii="Times New Roman" w:hAnsi="Times New Roman" w:cs="Times New Roman"/>
          <w:sz w:val="24"/>
          <w:szCs w:val="24"/>
        </w:rPr>
        <w:t>relatively</w:t>
      </w:r>
      <w:r w:rsidR="00505A22" w:rsidRPr="00505A22">
        <w:rPr>
          <w:rFonts w:ascii="Times New Roman" w:hAnsi="Times New Roman" w:cs="Times New Roman"/>
          <w:sz w:val="24"/>
          <w:szCs w:val="24"/>
        </w:rPr>
        <w:t xml:space="preserve"> constant</w:t>
      </w:r>
      <w:r w:rsidR="001E19EB">
        <w:rPr>
          <w:rFonts w:ascii="Times New Roman" w:hAnsi="Times New Roman" w:cs="Times New Roman"/>
          <w:sz w:val="24"/>
          <w:szCs w:val="24"/>
        </w:rPr>
        <w:t xml:space="preserve">, now between 31-32%. This shows that the company </w:t>
      </w:r>
      <w:r w:rsidR="001E19EB">
        <w:rPr>
          <w:rFonts w:ascii="Times New Roman" w:hAnsi="Times New Roman" w:cs="Times New Roman"/>
          <w:sz w:val="24"/>
          <w:szCs w:val="24"/>
        </w:rPr>
        <w:lastRenderedPageBreak/>
        <w:t xml:space="preserve">has </w:t>
      </w:r>
      <w:r w:rsidR="00091741">
        <w:rPr>
          <w:rFonts w:ascii="Times New Roman" w:hAnsi="Times New Roman" w:cs="Times New Roman"/>
          <w:sz w:val="24"/>
          <w:szCs w:val="24"/>
        </w:rPr>
        <w:t>adopted</w:t>
      </w:r>
      <w:r w:rsidR="001E19EB">
        <w:rPr>
          <w:rFonts w:ascii="Times New Roman" w:hAnsi="Times New Roman" w:cs="Times New Roman"/>
          <w:sz w:val="24"/>
          <w:szCs w:val="24"/>
        </w:rPr>
        <w:t xml:space="preserve"> good pricing policies </w:t>
      </w:r>
      <w:r w:rsidR="00091741">
        <w:rPr>
          <w:rFonts w:ascii="Times New Roman" w:hAnsi="Times New Roman" w:cs="Times New Roman"/>
          <w:sz w:val="24"/>
          <w:szCs w:val="24"/>
        </w:rPr>
        <w:t>and</w:t>
      </w:r>
      <w:r w:rsidR="001E19EB">
        <w:rPr>
          <w:rFonts w:ascii="Times New Roman" w:hAnsi="Times New Roman" w:cs="Times New Roman"/>
          <w:sz w:val="24"/>
          <w:szCs w:val="24"/>
        </w:rPr>
        <w:t xml:space="preserve"> cost</w:t>
      </w:r>
      <w:r w:rsidR="00505A22" w:rsidRPr="00505A22">
        <w:rPr>
          <w:rFonts w:ascii="Times New Roman" w:hAnsi="Times New Roman" w:cs="Times New Roman"/>
          <w:sz w:val="24"/>
          <w:szCs w:val="24"/>
        </w:rPr>
        <w:t xml:space="preserve"> efficiency. Cost aspects have been important </w:t>
      </w:r>
      <w:r w:rsidR="001E19EB">
        <w:rPr>
          <w:rFonts w:ascii="Times New Roman" w:hAnsi="Times New Roman" w:cs="Times New Roman"/>
          <w:sz w:val="24"/>
          <w:szCs w:val="24"/>
        </w:rPr>
        <w:t>primarily</w:t>
      </w:r>
      <w:r w:rsidR="00505A22" w:rsidRPr="00505A22">
        <w:rPr>
          <w:rFonts w:ascii="Times New Roman" w:hAnsi="Times New Roman" w:cs="Times New Roman"/>
          <w:sz w:val="24"/>
          <w:szCs w:val="24"/>
        </w:rPr>
        <w:t xml:space="preserve"> through improvements in technologies and supplies in the operations to meet the needs of the consumers.</w:t>
      </w:r>
      <w:r w:rsidR="00A5694C">
        <w:rPr>
          <w:rFonts w:ascii="Times New Roman" w:hAnsi="Times New Roman" w:cs="Times New Roman"/>
          <w:sz w:val="24"/>
          <w:szCs w:val="24"/>
        </w:rPr>
        <w:t xml:space="preserve"> </w:t>
      </w:r>
      <w:r w:rsidRPr="0075577A">
        <w:rPr>
          <w:rFonts w:ascii="Times New Roman" w:hAnsi="Times New Roman" w:cs="Times New Roman"/>
          <w:sz w:val="24"/>
          <w:szCs w:val="24"/>
        </w:rPr>
        <w:t xml:space="preserve">However, net profit margins have shown slight volatility due to </w:t>
      </w:r>
      <w:r w:rsidR="000D35B7">
        <w:rPr>
          <w:rFonts w:ascii="Times New Roman" w:hAnsi="Times New Roman" w:cs="Times New Roman"/>
          <w:sz w:val="24"/>
          <w:szCs w:val="24"/>
        </w:rPr>
        <w:t>operating expenses and strategic investment fluctuations</w:t>
      </w:r>
      <w:r w:rsidRPr="0075577A">
        <w:rPr>
          <w:rFonts w:ascii="Times New Roman" w:hAnsi="Times New Roman" w:cs="Times New Roman"/>
          <w:sz w:val="24"/>
          <w:szCs w:val="24"/>
        </w:rPr>
        <w:t>. The net profit margin has ranged between 2% and 4%, reflecting a balancing act between profitability and reinvestment into the business</w:t>
      </w:r>
      <w:r w:rsidR="00166227" w:rsidRPr="00166227">
        <w:t xml:space="preserve"> </w:t>
      </w:r>
      <w:r w:rsidR="00166227" w:rsidRPr="00166227">
        <w:rPr>
          <w:rFonts w:ascii="Times New Roman" w:hAnsi="Times New Roman" w:cs="Times New Roman"/>
          <w:sz w:val="24"/>
          <w:szCs w:val="24"/>
        </w:rPr>
        <w:t>(Damodaran, 2024)</w:t>
      </w:r>
      <w:r w:rsidRPr="0075577A">
        <w:rPr>
          <w:rFonts w:ascii="Times New Roman" w:hAnsi="Times New Roman" w:cs="Times New Roman"/>
          <w:sz w:val="24"/>
          <w:szCs w:val="24"/>
        </w:rPr>
        <w:t>. The pandemic year saw a notable improvement in net profit margin to 3.5%, bolstered by increased consumer demand for groceries and enhanced cost management practices.</w:t>
      </w:r>
    </w:p>
    <w:p w14:paraId="79547385" w14:textId="1C1194C9" w:rsidR="0075577A" w:rsidRPr="0075577A" w:rsidRDefault="0075577A" w:rsidP="0075577A">
      <w:pPr>
        <w:spacing w:line="360" w:lineRule="auto"/>
        <w:jc w:val="both"/>
        <w:rPr>
          <w:rFonts w:ascii="Times New Roman" w:hAnsi="Times New Roman" w:cs="Times New Roman"/>
          <w:sz w:val="24"/>
          <w:szCs w:val="24"/>
        </w:rPr>
      </w:pPr>
      <w:r w:rsidRPr="0075577A">
        <w:rPr>
          <w:rFonts w:ascii="Times New Roman" w:hAnsi="Times New Roman" w:cs="Times New Roman"/>
          <w:b/>
          <w:bCs/>
          <w:sz w:val="24"/>
          <w:szCs w:val="24"/>
        </w:rPr>
        <w:t>Analysis of Major Financial Events or Shifts</w:t>
      </w:r>
      <w:r w:rsidRPr="0075577A">
        <w:rPr>
          <w:rFonts w:ascii="Times New Roman" w:hAnsi="Times New Roman" w:cs="Times New Roman"/>
          <w:sz w:val="24"/>
          <w:szCs w:val="24"/>
        </w:rPr>
        <w:t xml:space="preserve">: </w:t>
      </w:r>
      <w:r w:rsidR="00D95BC4">
        <w:rPr>
          <w:rFonts w:ascii="Times New Roman" w:hAnsi="Times New Roman" w:cs="Times New Roman"/>
          <w:sz w:val="24"/>
          <w:szCs w:val="24"/>
        </w:rPr>
        <w:t>Key</w:t>
      </w:r>
      <w:r w:rsidRPr="0075577A">
        <w:rPr>
          <w:rFonts w:ascii="Times New Roman" w:hAnsi="Times New Roman" w:cs="Times New Roman"/>
          <w:sz w:val="24"/>
          <w:szCs w:val="24"/>
        </w:rPr>
        <w:t xml:space="preserve"> financial events have significantly influenced Waitrose’s </w:t>
      </w:r>
      <w:r w:rsidR="000D35B7">
        <w:rPr>
          <w:rFonts w:ascii="Times New Roman" w:hAnsi="Times New Roman" w:cs="Times New Roman"/>
          <w:sz w:val="24"/>
          <w:szCs w:val="24"/>
        </w:rPr>
        <w:t>economic</w:t>
      </w:r>
      <w:r w:rsidRPr="0075577A">
        <w:rPr>
          <w:rFonts w:ascii="Times New Roman" w:hAnsi="Times New Roman" w:cs="Times New Roman"/>
          <w:sz w:val="24"/>
          <w:szCs w:val="24"/>
        </w:rPr>
        <w:t xml:space="preserve"> health. In 2019, </w:t>
      </w:r>
      <w:r w:rsidR="000D35B7">
        <w:rPr>
          <w:rFonts w:ascii="Times New Roman" w:hAnsi="Times New Roman" w:cs="Times New Roman"/>
          <w:sz w:val="24"/>
          <w:szCs w:val="24"/>
        </w:rPr>
        <w:t>selling</w:t>
      </w:r>
      <w:r w:rsidRPr="0075577A">
        <w:rPr>
          <w:rFonts w:ascii="Times New Roman" w:hAnsi="Times New Roman" w:cs="Times New Roman"/>
          <w:sz w:val="24"/>
          <w:szCs w:val="24"/>
        </w:rPr>
        <w:t xml:space="preserve"> five stores to competitors such as Lidl and Co-op was a strategic move to </w:t>
      </w:r>
      <w:r w:rsidR="001E19EB">
        <w:rPr>
          <w:rFonts w:ascii="Times New Roman" w:hAnsi="Times New Roman" w:cs="Times New Roman"/>
          <w:sz w:val="24"/>
          <w:szCs w:val="24"/>
        </w:rPr>
        <w:t>optimise</w:t>
      </w:r>
      <w:r w:rsidRPr="0075577A">
        <w:rPr>
          <w:rFonts w:ascii="Times New Roman" w:hAnsi="Times New Roman" w:cs="Times New Roman"/>
          <w:sz w:val="24"/>
          <w:szCs w:val="24"/>
        </w:rPr>
        <w:t xml:space="preserve"> the store portfolio and focus on more profitable locations and the online segment</w:t>
      </w:r>
      <w:r w:rsidR="00166227" w:rsidRPr="00166227">
        <w:t xml:space="preserve"> </w:t>
      </w:r>
      <w:r w:rsidR="00166227" w:rsidRPr="00166227">
        <w:rPr>
          <w:rFonts w:ascii="Times New Roman" w:hAnsi="Times New Roman" w:cs="Times New Roman"/>
          <w:sz w:val="24"/>
          <w:szCs w:val="24"/>
        </w:rPr>
        <w:t>(Mason and Jarvis, 2023)</w:t>
      </w:r>
      <w:r w:rsidRPr="0075577A">
        <w:rPr>
          <w:rFonts w:ascii="Times New Roman" w:hAnsi="Times New Roman" w:cs="Times New Roman"/>
          <w:sz w:val="24"/>
          <w:szCs w:val="24"/>
        </w:rPr>
        <w:t xml:space="preserve">. </w:t>
      </w:r>
      <w:r w:rsidR="000D35B7">
        <w:rPr>
          <w:rFonts w:ascii="Times New Roman" w:hAnsi="Times New Roman" w:cs="Times New Roman"/>
          <w:sz w:val="24"/>
          <w:szCs w:val="24"/>
        </w:rPr>
        <w:t xml:space="preserve">While reducing physical store presence, this decision </w:t>
      </w:r>
      <w:r w:rsidRPr="0075577A">
        <w:rPr>
          <w:rFonts w:ascii="Times New Roman" w:hAnsi="Times New Roman" w:cs="Times New Roman"/>
          <w:sz w:val="24"/>
          <w:szCs w:val="24"/>
        </w:rPr>
        <w:t>allowed Waitrose to reallocate resources more efficiently and invest in digital infrastructure, which proved critical during the pandemic.</w:t>
      </w:r>
      <w:r w:rsidR="00A5694C">
        <w:rPr>
          <w:rFonts w:ascii="Times New Roman" w:hAnsi="Times New Roman" w:cs="Times New Roman"/>
          <w:sz w:val="24"/>
          <w:szCs w:val="24"/>
        </w:rPr>
        <w:t xml:space="preserve"> </w:t>
      </w:r>
      <w:r w:rsidRPr="0075577A">
        <w:rPr>
          <w:rFonts w:ascii="Times New Roman" w:hAnsi="Times New Roman" w:cs="Times New Roman"/>
          <w:sz w:val="24"/>
          <w:szCs w:val="24"/>
        </w:rPr>
        <w:t xml:space="preserve">Leadership changes have also </w:t>
      </w:r>
      <w:r w:rsidR="00DA23BF" w:rsidRPr="0075577A">
        <w:rPr>
          <w:rFonts w:ascii="Times New Roman" w:hAnsi="Times New Roman" w:cs="Times New Roman"/>
          <w:sz w:val="24"/>
          <w:szCs w:val="24"/>
        </w:rPr>
        <w:t>impacted on</w:t>
      </w:r>
      <w:r w:rsidRPr="0075577A">
        <w:rPr>
          <w:rFonts w:ascii="Times New Roman" w:hAnsi="Times New Roman" w:cs="Times New Roman"/>
          <w:sz w:val="24"/>
          <w:szCs w:val="24"/>
        </w:rPr>
        <w:t xml:space="preserve"> financial strategies. The appointment of James Bailey as Executive Director in 2020 brought renewed focus on digital transformation and customer-centric innovations. Under his leadership, Waitrose accelerated its online platform development, resulting in a 105% increase in online sales in 2020 compared to the previous year</w:t>
      </w:r>
      <w:r w:rsidR="00256A91" w:rsidRPr="00256A91">
        <w:t xml:space="preserve"> </w:t>
      </w:r>
      <w:r w:rsidR="00256A91" w:rsidRPr="00256A91">
        <w:rPr>
          <w:rFonts w:ascii="Times New Roman" w:hAnsi="Times New Roman" w:cs="Times New Roman"/>
          <w:sz w:val="24"/>
          <w:szCs w:val="24"/>
        </w:rPr>
        <w:t>(</w:t>
      </w:r>
      <w:r w:rsidR="00BC18C1">
        <w:rPr>
          <w:rFonts w:ascii="Times New Roman" w:hAnsi="Times New Roman" w:cs="Times New Roman"/>
          <w:sz w:val="24"/>
          <w:szCs w:val="24"/>
        </w:rPr>
        <w:t>Waitrose</w:t>
      </w:r>
      <w:r w:rsidR="00256A91" w:rsidRPr="00256A91">
        <w:rPr>
          <w:rFonts w:ascii="Times New Roman" w:hAnsi="Times New Roman" w:cs="Times New Roman"/>
          <w:sz w:val="24"/>
          <w:szCs w:val="24"/>
        </w:rPr>
        <w:t>, 2011)</w:t>
      </w:r>
      <w:r w:rsidRPr="0075577A">
        <w:rPr>
          <w:rFonts w:ascii="Times New Roman" w:hAnsi="Times New Roman" w:cs="Times New Roman"/>
          <w:sz w:val="24"/>
          <w:szCs w:val="24"/>
        </w:rPr>
        <w:t>. This digital pivot not only supported revenue growth but also improved operational scalability.</w:t>
      </w:r>
    </w:p>
    <w:p w14:paraId="68000BF8" w14:textId="41C69C69" w:rsidR="0075577A" w:rsidRPr="0075577A" w:rsidRDefault="0075577A" w:rsidP="0075577A">
      <w:pPr>
        <w:spacing w:line="360" w:lineRule="auto"/>
        <w:jc w:val="both"/>
        <w:rPr>
          <w:rFonts w:ascii="Times New Roman" w:hAnsi="Times New Roman" w:cs="Times New Roman"/>
          <w:sz w:val="24"/>
          <w:szCs w:val="24"/>
        </w:rPr>
      </w:pPr>
      <w:r w:rsidRPr="0075577A">
        <w:rPr>
          <w:rFonts w:ascii="Times New Roman" w:hAnsi="Times New Roman" w:cs="Times New Roman"/>
          <w:sz w:val="24"/>
          <w:szCs w:val="24"/>
        </w:rPr>
        <w:t xml:space="preserve">Waitrose has faced challenges, such as the lawsuit in 2021 over alleged misleading </w:t>
      </w:r>
      <w:r w:rsidR="001E19EB">
        <w:rPr>
          <w:rFonts w:ascii="Times New Roman" w:hAnsi="Times New Roman" w:cs="Times New Roman"/>
          <w:sz w:val="24"/>
          <w:szCs w:val="24"/>
        </w:rPr>
        <w:t>labelling</w:t>
      </w:r>
      <w:r w:rsidRPr="0075577A">
        <w:rPr>
          <w:rFonts w:ascii="Times New Roman" w:hAnsi="Times New Roman" w:cs="Times New Roman"/>
          <w:sz w:val="24"/>
          <w:szCs w:val="24"/>
        </w:rPr>
        <w:t xml:space="preserve"> practices</w:t>
      </w:r>
      <w:r w:rsidR="00166227" w:rsidRPr="00166227">
        <w:t xml:space="preserve"> </w:t>
      </w:r>
      <w:r w:rsidR="00166227" w:rsidRPr="00166227">
        <w:rPr>
          <w:rFonts w:ascii="Times New Roman" w:hAnsi="Times New Roman" w:cs="Times New Roman"/>
          <w:sz w:val="24"/>
          <w:szCs w:val="24"/>
        </w:rPr>
        <w:t>(Ross, 2024)</w:t>
      </w:r>
      <w:r w:rsidRPr="0075577A">
        <w:rPr>
          <w:rFonts w:ascii="Times New Roman" w:hAnsi="Times New Roman" w:cs="Times New Roman"/>
          <w:sz w:val="24"/>
          <w:szCs w:val="24"/>
        </w:rPr>
        <w:t xml:space="preserve">. </w:t>
      </w:r>
      <w:r w:rsidR="000D35B7">
        <w:rPr>
          <w:rFonts w:ascii="Times New Roman" w:hAnsi="Times New Roman" w:cs="Times New Roman"/>
          <w:sz w:val="24"/>
          <w:szCs w:val="24"/>
        </w:rPr>
        <w:t xml:space="preserve">While potentially damaging </w:t>
      </w:r>
      <w:r w:rsidR="00D95BC4">
        <w:rPr>
          <w:rFonts w:ascii="Times New Roman" w:hAnsi="Times New Roman" w:cs="Times New Roman"/>
          <w:sz w:val="24"/>
          <w:szCs w:val="24"/>
        </w:rPr>
        <w:t>the brand's</w:t>
      </w:r>
      <w:r w:rsidR="000D35B7">
        <w:rPr>
          <w:rFonts w:ascii="Times New Roman" w:hAnsi="Times New Roman" w:cs="Times New Roman"/>
          <w:sz w:val="24"/>
          <w:szCs w:val="24"/>
        </w:rPr>
        <w:t xml:space="preserve"> reputation, this legal issue </w:t>
      </w:r>
      <w:r w:rsidRPr="0075577A">
        <w:rPr>
          <w:rFonts w:ascii="Times New Roman" w:hAnsi="Times New Roman" w:cs="Times New Roman"/>
          <w:sz w:val="24"/>
          <w:szCs w:val="24"/>
        </w:rPr>
        <w:t xml:space="preserve">underscored the importance of regulatory compliance and transparent communication with consumers. The resolution of this case involved revising </w:t>
      </w:r>
      <w:r w:rsidR="001E19EB">
        <w:rPr>
          <w:rFonts w:ascii="Times New Roman" w:hAnsi="Times New Roman" w:cs="Times New Roman"/>
          <w:sz w:val="24"/>
          <w:szCs w:val="24"/>
        </w:rPr>
        <w:t>labelling</w:t>
      </w:r>
      <w:r w:rsidRPr="0075577A">
        <w:rPr>
          <w:rFonts w:ascii="Times New Roman" w:hAnsi="Times New Roman" w:cs="Times New Roman"/>
          <w:sz w:val="24"/>
          <w:szCs w:val="24"/>
        </w:rPr>
        <w:t xml:space="preserve"> practices and implementing stricter quality controls, ensuring long-term brand integrity and consumer trust.</w:t>
      </w:r>
      <w:r w:rsidR="00A5694C">
        <w:rPr>
          <w:rFonts w:ascii="Times New Roman" w:hAnsi="Times New Roman" w:cs="Times New Roman"/>
          <w:sz w:val="24"/>
          <w:szCs w:val="24"/>
        </w:rPr>
        <w:t xml:space="preserve"> </w:t>
      </w:r>
      <w:r w:rsidRPr="0075577A">
        <w:rPr>
          <w:rFonts w:ascii="Times New Roman" w:hAnsi="Times New Roman" w:cs="Times New Roman"/>
          <w:sz w:val="24"/>
          <w:szCs w:val="24"/>
        </w:rPr>
        <w:t>Strategically, Waitrose’s commitment to sustainability has shaped its financial decisions</w:t>
      </w:r>
      <w:r w:rsidR="00B50DFF" w:rsidRPr="00B50DFF">
        <w:t xml:space="preserve"> </w:t>
      </w:r>
      <w:r w:rsidR="00B50DFF" w:rsidRPr="00B50DFF">
        <w:rPr>
          <w:rFonts w:ascii="Times New Roman" w:hAnsi="Times New Roman" w:cs="Times New Roman"/>
          <w:sz w:val="24"/>
          <w:szCs w:val="24"/>
        </w:rPr>
        <w:t xml:space="preserve">(JLP to roll out </w:t>
      </w:r>
      <w:r w:rsidR="00BC18C1">
        <w:rPr>
          <w:rFonts w:ascii="Times New Roman" w:hAnsi="Times New Roman" w:cs="Times New Roman"/>
          <w:sz w:val="24"/>
          <w:szCs w:val="24"/>
        </w:rPr>
        <w:t xml:space="preserve">an </w:t>
      </w:r>
      <w:r w:rsidR="00B50DFF" w:rsidRPr="00B50DFF">
        <w:rPr>
          <w:rFonts w:ascii="Times New Roman" w:hAnsi="Times New Roman" w:cs="Times New Roman"/>
          <w:sz w:val="24"/>
          <w:szCs w:val="24"/>
        </w:rPr>
        <w:t>electric delivery fleet for John Lewis Waitrose, 2020)</w:t>
      </w:r>
      <w:r w:rsidRPr="0075577A">
        <w:rPr>
          <w:rFonts w:ascii="Times New Roman" w:hAnsi="Times New Roman" w:cs="Times New Roman"/>
          <w:sz w:val="24"/>
          <w:szCs w:val="24"/>
        </w:rPr>
        <w:t>. The pledge to eliminate single-use plastics by 2023 and investments in sustainable farming practices reflect a broader trend towards corporate social responsibility, which, while initially costly, is expected to yield long-term benefits in brand loyalty and regulatory compliance.</w:t>
      </w:r>
    </w:p>
    <w:p w14:paraId="45F5D1CD" w14:textId="5CE3AAF0" w:rsidR="004C78AD" w:rsidRPr="004C78AD" w:rsidRDefault="004C78AD" w:rsidP="00A5694C">
      <w:pPr>
        <w:pStyle w:val="Heading2"/>
      </w:pPr>
      <w:bookmarkStart w:id="5" w:name="_Toc172677018"/>
      <w:r w:rsidRPr="004C78AD">
        <w:t>B2. Review of Alternative Capital Structure Theories and Their Implications</w:t>
      </w:r>
      <w:bookmarkEnd w:id="5"/>
    </w:p>
    <w:p w14:paraId="3310CF39" w14:textId="77777777" w:rsidR="00A5694C" w:rsidRDefault="004C78AD" w:rsidP="004C78AD">
      <w:pPr>
        <w:spacing w:line="360" w:lineRule="auto"/>
        <w:jc w:val="both"/>
        <w:rPr>
          <w:rFonts w:ascii="Times New Roman" w:hAnsi="Times New Roman" w:cs="Times New Roman"/>
          <w:b/>
          <w:bCs/>
          <w:sz w:val="24"/>
          <w:szCs w:val="24"/>
        </w:rPr>
      </w:pPr>
      <w:r w:rsidRPr="004C78AD">
        <w:rPr>
          <w:rFonts w:ascii="Times New Roman" w:hAnsi="Times New Roman" w:cs="Times New Roman"/>
          <w:b/>
          <w:bCs/>
          <w:sz w:val="24"/>
          <w:szCs w:val="24"/>
        </w:rPr>
        <w:t>Overview of Capital Structure Theories</w:t>
      </w:r>
    </w:p>
    <w:p w14:paraId="43CA13E8" w14:textId="20D4CBA7" w:rsidR="00505A22" w:rsidRPr="00505A22" w:rsidRDefault="000D35B7" w:rsidP="00505A2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 company's capital structure</w:t>
      </w:r>
      <w:r w:rsidR="004C78AD" w:rsidRPr="004C78AD">
        <w:rPr>
          <w:rFonts w:ascii="Times New Roman" w:hAnsi="Times New Roman" w:cs="Times New Roman"/>
          <w:sz w:val="24"/>
          <w:szCs w:val="24"/>
        </w:rPr>
        <w:t xml:space="preserve"> refers to the </w:t>
      </w:r>
      <w:r w:rsidR="00BC18C1">
        <w:rPr>
          <w:rFonts w:ascii="Times New Roman" w:hAnsi="Times New Roman" w:cs="Times New Roman"/>
          <w:sz w:val="24"/>
          <w:szCs w:val="24"/>
        </w:rPr>
        <w:t xml:space="preserve">debt and equity financing mix </w:t>
      </w:r>
      <w:r w:rsidR="004C78AD" w:rsidRPr="004C78AD">
        <w:rPr>
          <w:rFonts w:ascii="Times New Roman" w:hAnsi="Times New Roman" w:cs="Times New Roman"/>
          <w:sz w:val="24"/>
          <w:szCs w:val="24"/>
        </w:rPr>
        <w:t xml:space="preserve">used to fund its operations and growth. </w:t>
      </w:r>
      <w:r w:rsidR="001E19EB">
        <w:rPr>
          <w:rFonts w:ascii="Times New Roman" w:hAnsi="Times New Roman" w:cs="Times New Roman"/>
          <w:sz w:val="24"/>
          <w:szCs w:val="24"/>
        </w:rPr>
        <w:t>Different</w:t>
      </w:r>
      <w:r w:rsidR="00505A22" w:rsidRPr="00505A22">
        <w:rPr>
          <w:rFonts w:ascii="Times New Roman" w:hAnsi="Times New Roman" w:cs="Times New Roman"/>
          <w:sz w:val="24"/>
          <w:szCs w:val="24"/>
        </w:rPr>
        <w:t xml:space="preserve"> theories have been formulated to </w:t>
      </w:r>
      <w:r w:rsidR="001E19EB">
        <w:rPr>
          <w:rFonts w:ascii="Times New Roman" w:hAnsi="Times New Roman" w:cs="Times New Roman"/>
          <w:sz w:val="24"/>
          <w:szCs w:val="24"/>
        </w:rPr>
        <w:t>conceptualise</w:t>
      </w:r>
      <w:r w:rsidR="00505A22" w:rsidRPr="00505A22">
        <w:rPr>
          <w:rFonts w:ascii="Times New Roman" w:hAnsi="Times New Roman" w:cs="Times New Roman"/>
          <w:sz w:val="24"/>
          <w:szCs w:val="24"/>
        </w:rPr>
        <w:t xml:space="preserve"> and manage this mix. </w:t>
      </w:r>
      <w:r w:rsidR="001E19EB">
        <w:rPr>
          <w:rFonts w:ascii="Times New Roman" w:hAnsi="Times New Roman" w:cs="Times New Roman"/>
          <w:sz w:val="24"/>
          <w:szCs w:val="24"/>
        </w:rPr>
        <w:t xml:space="preserve">Four significant theories are the Modigliani-Miller theorem, the Trade-off theory, the Pecking order theory, and the </w:t>
      </w:r>
      <w:r w:rsidR="00505A22" w:rsidRPr="00505A22">
        <w:rPr>
          <w:rFonts w:ascii="Times New Roman" w:hAnsi="Times New Roman" w:cs="Times New Roman"/>
          <w:sz w:val="24"/>
          <w:szCs w:val="24"/>
        </w:rPr>
        <w:t>market timing theory (Jenns, 2023).</w:t>
      </w:r>
    </w:p>
    <w:p w14:paraId="3A6A8EC9" w14:textId="2F3ECB31" w:rsidR="00505A22" w:rsidRPr="00505A22" w:rsidRDefault="00505A22" w:rsidP="00505A22">
      <w:pPr>
        <w:spacing w:line="360" w:lineRule="auto"/>
        <w:jc w:val="both"/>
        <w:rPr>
          <w:rFonts w:ascii="Times New Roman" w:hAnsi="Times New Roman" w:cs="Times New Roman"/>
          <w:sz w:val="24"/>
          <w:szCs w:val="24"/>
        </w:rPr>
      </w:pPr>
      <w:r w:rsidRPr="00505A22">
        <w:rPr>
          <w:rFonts w:ascii="Times New Roman" w:hAnsi="Times New Roman" w:cs="Times New Roman"/>
          <w:sz w:val="24"/>
          <w:szCs w:val="24"/>
        </w:rPr>
        <w:t>Modigliani and Merton Miller’s Theorem</w:t>
      </w:r>
      <w:r w:rsidR="00091741">
        <w:rPr>
          <w:rFonts w:ascii="Times New Roman" w:hAnsi="Times New Roman" w:cs="Times New Roman"/>
          <w:sz w:val="24"/>
          <w:szCs w:val="24"/>
        </w:rPr>
        <w:t>, formulated in 1958, states that capital structure decisions do not impact a firm's value in the absence of taxes, information asymmetry, or bankruptcy costs in a perfect market. This means that the choice between using debt and equity financing is, in fact, not influential concerning the firm's value</w:t>
      </w:r>
      <w:r w:rsidRPr="00505A22">
        <w:rPr>
          <w:rFonts w:ascii="Times New Roman" w:hAnsi="Times New Roman" w:cs="Times New Roman"/>
          <w:sz w:val="24"/>
          <w:szCs w:val="24"/>
        </w:rPr>
        <w:t xml:space="preserve">. Yet, in real-world markets, taxes and </w:t>
      </w:r>
      <w:r w:rsidR="001E19EB">
        <w:rPr>
          <w:rFonts w:ascii="Times New Roman" w:hAnsi="Times New Roman" w:cs="Times New Roman"/>
          <w:sz w:val="24"/>
          <w:szCs w:val="24"/>
        </w:rPr>
        <w:t>bankruptcy costs affect capital structure choices, which makes this theorem rather abstract</w:t>
      </w:r>
      <w:r w:rsidRPr="00505A22">
        <w:rPr>
          <w:rFonts w:ascii="Times New Roman" w:hAnsi="Times New Roman" w:cs="Times New Roman"/>
          <w:sz w:val="24"/>
          <w:szCs w:val="24"/>
        </w:rPr>
        <w:t>.</w:t>
      </w:r>
    </w:p>
    <w:p w14:paraId="24F49741" w14:textId="5D1AB43F" w:rsidR="00505A22" w:rsidRPr="00505A22" w:rsidRDefault="001E19EB" w:rsidP="00505A22">
      <w:pPr>
        <w:spacing w:line="360" w:lineRule="auto"/>
        <w:jc w:val="both"/>
        <w:rPr>
          <w:rFonts w:ascii="Times New Roman" w:hAnsi="Times New Roman" w:cs="Times New Roman"/>
          <w:sz w:val="24"/>
          <w:szCs w:val="24"/>
        </w:rPr>
      </w:pPr>
      <w:r>
        <w:rPr>
          <w:rFonts w:ascii="Times New Roman" w:hAnsi="Times New Roman" w:cs="Times New Roman"/>
          <w:sz w:val="24"/>
          <w:szCs w:val="24"/>
        </w:rPr>
        <w:t>The Trade-off Theory claims</w:t>
      </w:r>
      <w:r w:rsidR="00505A22" w:rsidRPr="00505A22">
        <w:rPr>
          <w:rFonts w:ascii="Times New Roman" w:hAnsi="Times New Roman" w:cs="Times New Roman"/>
          <w:sz w:val="24"/>
          <w:szCs w:val="24"/>
        </w:rPr>
        <w:t xml:space="preserve"> that business </w:t>
      </w:r>
      <w:r>
        <w:rPr>
          <w:rFonts w:ascii="Times New Roman" w:hAnsi="Times New Roman" w:cs="Times New Roman"/>
          <w:sz w:val="24"/>
          <w:szCs w:val="24"/>
        </w:rPr>
        <w:t>organisations</w:t>
      </w:r>
      <w:r w:rsidR="00505A22" w:rsidRPr="00505A22">
        <w:rPr>
          <w:rFonts w:ascii="Times New Roman" w:hAnsi="Times New Roman" w:cs="Times New Roman"/>
          <w:sz w:val="24"/>
          <w:szCs w:val="24"/>
        </w:rPr>
        <w:t xml:space="preserve"> weigh the advantages of debt funding with the disadvantages of financial pressure. Interest on borrowings is </w:t>
      </w:r>
      <w:r>
        <w:rPr>
          <w:rFonts w:ascii="Times New Roman" w:hAnsi="Times New Roman" w:cs="Times New Roman"/>
          <w:sz w:val="24"/>
          <w:szCs w:val="24"/>
        </w:rPr>
        <w:t>an allowable expenditure, thus giving firms a tax shield, which increases</w:t>
      </w:r>
      <w:r w:rsidR="00505A22" w:rsidRPr="00505A22">
        <w:rPr>
          <w:rFonts w:ascii="Times New Roman" w:hAnsi="Times New Roman" w:cs="Times New Roman"/>
          <w:sz w:val="24"/>
          <w:szCs w:val="24"/>
        </w:rPr>
        <w:t xml:space="preserve"> the </w:t>
      </w:r>
      <w:r w:rsidR="00091741">
        <w:rPr>
          <w:rFonts w:ascii="Times New Roman" w:hAnsi="Times New Roman" w:cs="Times New Roman"/>
          <w:sz w:val="24"/>
          <w:szCs w:val="24"/>
        </w:rPr>
        <w:t>firm's worth</w:t>
      </w:r>
      <w:r w:rsidR="00505A22" w:rsidRPr="00505A22">
        <w:rPr>
          <w:rFonts w:ascii="Times New Roman" w:hAnsi="Times New Roman" w:cs="Times New Roman"/>
          <w:sz w:val="24"/>
          <w:szCs w:val="24"/>
        </w:rPr>
        <w:t>. Yet, they stated that high amounts of debt induce the likelihood of bankruptcy</w:t>
      </w:r>
      <w:r>
        <w:rPr>
          <w:rFonts w:ascii="Times New Roman" w:hAnsi="Times New Roman" w:cs="Times New Roman"/>
          <w:sz w:val="24"/>
          <w:szCs w:val="24"/>
        </w:rPr>
        <w:t>, posing</w:t>
      </w:r>
      <w:r w:rsidR="00505A22" w:rsidRPr="00505A22">
        <w:rPr>
          <w:rFonts w:ascii="Times New Roman" w:hAnsi="Times New Roman" w:cs="Times New Roman"/>
          <w:sz w:val="24"/>
          <w:szCs w:val="24"/>
        </w:rPr>
        <w:t xml:space="preserve"> related costs (Kovacova et al., 2022). It is important to note that every company searches for the optimum capital structure </w:t>
      </w:r>
      <w:r>
        <w:rPr>
          <w:rFonts w:ascii="Times New Roman" w:hAnsi="Times New Roman" w:cs="Times New Roman"/>
          <w:sz w:val="24"/>
          <w:szCs w:val="24"/>
        </w:rPr>
        <w:t>to</w:t>
      </w:r>
      <w:r w:rsidR="00505A22" w:rsidRPr="00505A22">
        <w:rPr>
          <w:rFonts w:ascii="Times New Roman" w:hAnsi="Times New Roman" w:cs="Times New Roman"/>
          <w:sz w:val="24"/>
          <w:szCs w:val="24"/>
        </w:rPr>
        <w:t xml:space="preserve"> create the maximum firm value</w:t>
      </w:r>
      <w:r>
        <w:rPr>
          <w:rFonts w:ascii="Times New Roman" w:hAnsi="Times New Roman" w:cs="Times New Roman"/>
          <w:sz w:val="24"/>
          <w:szCs w:val="24"/>
        </w:rPr>
        <w:t>,</w:t>
      </w:r>
      <w:r w:rsidR="00505A22" w:rsidRPr="00505A22">
        <w:rPr>
          <w:rFonts w:ascii="Times New Roman" w:hAnsi="Times New Roman" w:cs="Times New Roman"/>
          <w:sz w:val="24"/>
          <w:szCs w:val="24"/>
        </w:rPr>
        <w:t xml:space="preserve"> given that both forces work against each other.</w:t>
      </w:r>
    </w:p>
    <w:p w14:paraId="565B511C" w14:textId="2600DFDD" w:rsidR="00505A22" w:rsidRPr="00505A22" w:rsidRDefault="001E19EB" w:rsidP="00505A22">
      <w:pPr>
        <w:spacing w:line="360" w:lineRule="auto"/>
        <w:jc w:val="both"/>
        <w:rPr>
          <w:rFonts w:ascii="Times New Roman" w:hAnsi="Times New Roman" w:cs="Times New Roman"/>
          <w:sz w:val="24"/>
          <w:szCs w:val="24"/>
        </w:rPr>
      </w:pPr>
      <w:r>
        <w:rPr>
          <w:rFonts w:ascii="Times New Roman" w:hAnsi="Times New Roman" w:cs="Times New Roman"/>
          <w:sz w:val="24"/>
          <w:szCs w:val="24"/>
        </w:rPr>
        <w:t>This is the Pecking Order Theory developed by Stewart Myers and Nicholas Majluf in 1984,</w:t>
      </w:r>
      <w:r w:rsidR="00505A22" w:rsidRPr="00505A22">
        <w:rPr>
          <w:rFonts w:ascii="Times New Roman" w:hAnsi="Times New Roman" w:cs="Times New Roman"/>
          <w:sz w:val="24"/>
          <w:szCs w:val="24"/>
        </w:rPr>
        <w:t xml:space="preserve"> stating that internal sources (retained earnings) are far preferred to external sources of financing. Since funding from outside sources is required, companies prefer to take loans rather than </w:t>
      </w:r>
      <w:r>
        <w:rPr>
          <w:rFonts w:ascii="Times New Roman" w:hAnsi="Times New Roman" w:cs="Times New Roman"/>
          <w:sz w:val="24"/>
          <w:szCs w:val="24"/>
        </w:rPr>
        <w:t>sell new stocks because there are comparatively lower information asymmetry costs</w:t>
      </w:r>
      <w:r w:rsidR="00505A22" w:rsidRPr="00505A22">
        <w:rPr>
          <w:rFonts w:ascii="Times New Roman" w:hAnsi="Times New Roman" w:cs="Times New Roman"/>
          <w:sz w:val="24"/>
          <w:szCs w:val="24"/>
        </w:rPr>
        <w:t xml:space="preserve"> relevant to the debt instruments (Jenns, 2023). This theory says </w:t>
      </w:r>
      <w:r>
        <w:rPr>
          <w:rFonts w:ascii="Times New Roman" w:hAnsi="Times New Roman" w:cs="Times New Roman"/>
          <w:sz w:val="24"/>
          <w:szCs w:val="24"/>
        </w:rPr>
        <w:t>there might not be an ideal capital structure; the financing decisions are instead controlled by the necessity to avoid adverse selection costs</w:t>
      </w:r>
      <w:r w:rsidR="00505A22" w:rsidRPr="00505A22">
        <w:rPr>
          <w:rFonts w:ascii="Times New Roman" w:hAnsi="Times New Roman" w:cs="Times New Roman"/>
          <w:sz w:val="24"/>
          <w:szCs w:val="24"/>
        </w:rPr>
        <w:t>.</w:t>
      </w:r>
    </w:p>
    <w:p w14:paraId="6B8FEFC7" w14:textId="68F53012" w:rsidR="004C78AD" w:rsidRPr="004C78AD" w:rsidRDefault="00091741" w:rsidP="00505A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 Timing Theory provides detailed information about this theory. This theory points out that </w:t>
      </w:r>
      <w:proofErr w:type="gramStart"/>
      <w:r>
        <w:rPr>
          <w:rFonts w:ascii="Times New Roman" w:hAnsi="Times New Roman" w:cs="Times New Roman"/>
          <w:sz w:val="24"/>
          <w:szCs w:val="24"/>
        </w:rPr>
        <w:t>firms</w:t>
      </w:r>
      <w:proofErr w:type="gramEnd"/>
      <w:r>
        <w:rPr>
          <w:rFonts w:ascii="Times New Roman" w:hAnsi="Times New Roman" w:cs="Times New Roman"/>
          <w:sz w:val="24"/>
          <w:szCs w:val="24"/>
        </w:rPr>
        <w:t xml:space="preserve"> time their financing decisions based on</w:t>
      </w:r>
      <w:r w:rsidR="00505A22" w:rsidRPr="00505A22">
        <w:rPr>
          <w:rFonts w:ascii="Times New Roman" w:hAnsi="Times New Roman" w:cs="Times New Roman"/>
          <w:sz w:val="24"/>
          <w:szCs w:val="24"/>
        </w:rPr>
        <w:t xml:space="preserve"> market conditions. It uses equity when the company’s stock is </w:t>
      </w:r>
      <w:r w:rsidR="001E19EB">
        <w:rPr>
          <w:rFonts w:ascii="Times New Roman" w:hAnsi="Times New Roman" w:cs="Times New Roman"/>
          <w:sz w:val="24"/>
          <w:szCs w:val="24"/>
        </w:rPr>
        <w:t>considered</w:t>
      </w:r>
      <w:r w:rsidR="00505A22" w:rsidRPr="00505A22">
        <w:rPr>
          <w:rFonts w:ascii="Times New Roman" w:hAnsi="Times New Roman" w:cs="Times New Roman"/>
          <w:sz w:val="24"/>
          <w:szCs w:val="24"/>
        </w:rPr>
        <w:t xml:space="preserve"> overpriced and debt when the interest rate is low (Waitrose, 2023). This theory focuses on the </w:t>
      </w:r>
      <w:r w:rsidR="001E19EB">
        <w:rPr>
          <w:rFonts w:ascii="Times New Roman" w:hAnsi="Times New Roman" w:cs="Times New Roman"/>
          <w:sz w:val="24"/>
          <w:szCs w:val="24"/>
        </w:rPr>
        <w:t>self-interested nature of firms in capital markets. This implies that capital structure is affected by conditions in capital markets and is not a blend of optimal combinations</w:t>
      </w:r>
      <w:r w:rsidR="00505A22" w:rsidRPr="00505A22">
        <w:rPr>
          <w:rFonts w:ascii="Times New Roman" w:hAnsi="Times New Roman" w:cs="Times New Roman"/>
          <w:sz w:val="24"/>
          <w:szCs w:val="24"/>
        </w:rPr>
        <w:t>.</w:t>
      </w:r>
    </w:p>
    <w:p w14:paraId="0BEE8E45" w14:textId="4D1B4226" w:rsidR="004C78AD" w:rsidRDefault="00A66689" w:rsidP="00A66689">
      <w:pPr>
        <w:spacing w:line="360" w:lineRule="auto"/>
        <w:jc w:val="center"/>
        <w:rPr>
          <w:rFonts w:ascii="Times New Roman" w:hAnsi="Times New Roman" w:cs="Times New Roman"/>
          <w:sz w:val="24"/>
          <w:szCs w:val="24"/>
        </w:rPr>
      </w:pPr>
      <w:r>
        <w:rPr>
          <w:noProof/>
        </w:rPr>
        <w:lastRenderedPageBreak/>
        <w:drawing>
          <wp:inline distT="0" distB="0" distL="0" distR="0" wp14:anchorId="1DDB17E8" wp14:editId="03A27543">
            <wp:extent cx="4572000" cy="2527300"/>
            <wp:effectExtent l="0" t="0" r="0" b="6350"/>
            <wp:docPr id="446955797" name="Picture 4"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utput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7428"/>
                    <a:stretch/>
                  </pic:blipFill>
                  <pic:spPr bwMode="auto">
                    <a:xfrm>
                      <a:off x="0" y="0"/>
                      <a:ext cx="4579206" cy="2531283"/>
                    </a:xfrm>
                    <a:prstGeom prst="rect">
                      <a:avLst/>
                    </a:prstGeom>
                    <a:noFill/>
                    <a:ln>
                      <a:noFill/>
                    </a:ln>
                    <a:extLst>
                      <a:ext uri="{53640926-AAD7-44D8-BBD7-CCE9431645EC}">
                        <a14:shadowObscured xmlns:a14="http://schemas.microsoft.com/office/drawing/2010/main"/>
                      </a:ext>
                    </a:extLst>
                  </pic:spPr>
                </pic:pic>
              </a:graphicData>
            </a:graphic>
          </wp:inline>
        </w:drawing>
      </w:r>
    </w:p>
    <w:p w14:paraId="1B2F39A6" w14:textId="32EC566C" w:rsidR="00A66689" w:rsidRPr="004C78AD" w:rsidRDefault="00A66689" w:rsidP="00A66689">
      <w:pPr>
        <w:pStyle w:val="Caption"/>
        <w:jc w:val="center"/>
        <w:rPr>
          <w:rFonts w:ascii="Times New Roman" w:hAnsi="Times New Roman" w:cs="Times New Roman"/>
          <w:sz w:val="24"/>
          <w:szCs w:val="24"/>
        </w:rPr>
      </w:pPr>
      <w:r>
        <w:t xml:space="preserve">Figure </w:t>
      </w:r>
      <w:r w:rsidR="000D35B7">
        <w:rPr>
          <w:noProof/>
        </w:rPr>
        <w:t>4</w:t>
      </w:r>
      <w:r>
        <w:t xml:space="preserve">: </w:t>
      </w:r>
      <w:r w:rsidRPr="001F6740">
        <w:t>Theoretical Capital Structure Model</w:t>
      </w:r>
      <w:r w:rsidR="00FE7F3C" w:rsidRPr="00FE7F3C">
        <w:t xml:space="preserve"> (Bozic, Siebert</w:t>
      </w:r>
      <w:r w:rsidR="00BC18C1">
        <w:t>,</w:t>
      </w:r>
      <w:r w:rsidR="00FE7F3C" w:rsidRPr="00FE7F3C">
        <w:t xml:space="preserve"> and Martin, 2019)</w:t>
      </w:r>
    </w:p>
    <w:p w14:paraId="03B5A737" w14:textId="77777777" w:rsidR="00A66689" w:rsidRDefault="004C78AD" w:rsidP="004C78AD">
      <w:pPr>
        <w:spacing w:line="360" w:lineRule="auto"/>
        <w:jc w:val="both"/>
        <w:rPr>
          <w:rFonts w:ascii="Times New Roman" w:hAnsi="Times New Roman" w:cs="Times New Roman"/>
          <w:sz w:val="24"/>
          <w:szCs w:val="24"/>
        </w:rPr>
      </w:pPr>
      <w:r w:rsidRPr="004C78AD">
        <w:rPr>
          <w:rFonts w:ascii="Times New Roman" w:hAnsi="Times New Roman" w:cs="Times New Roman"/>
          <w:b/>
          <w:bCs/>
          <w:sz w:val="24"/>
          <w:szCs w:val="24"/>
        </w:rPr>
        <w:t>Analysis of Waitrose's Capital Structure</w:t>
      </w:r>
      <w:r w:rsidRPr="004C78AD">
        <w:rPr>
          <w:rFonts w:ascii="Times New Roman" w:hAnsi="Times New Roman" w:cs="Times New Roman"/>
          <w:sz w:val="24"/>
          <w:szCs w:val="24"/>
        </w:rPr>
        <w:t xml:space="preserve"> </w:t>
      </w:r>
    </w:p>
    <w:p w14:paraId="69E0E508" w14:textId="2E147084" w:rsidR="00505A22" w:rsidRPr="00505A22" w:rsidRDefault="00DA23BF" w:rsidP="00505A22">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505A22" w:rsidRPr="00505A22">
        <w:rPr>
          <w:rFonts w:ascii="Times New Roman" w:hAnsi="Times New Roman" w:cs="Times New Roman"/>
          <w:sz w:val="24"/>
          <w:szCs w:val="24"/>
        </w:rPr>
        <w:t xml:space="preserve">n evaluation of Waitrose’s capital structure in the last five financial years will show evidence of the strategies outlined in the theories above. </w:t>
      </w:r>
      <w:r w:rsidR="001E19EB">
        <w:rPr>
          <w:rFonts w:ascii="Times New Roman" w:hAnsi="Times New Roman" w:cs="Times New Roman"/>
          <w:sz w:val="24"/>
          <w:szCs w:val="24"/>
        </w:rPr>
        <w:t>Analysing</w:t>
      </w:r>
      <w:r w:rsidR="00505A22" w:rsidRPr="00505A22">
        <w:rPr>
          <w:rFonts w:ascii="Times New Roman" w:hAnsi="Times New Roman" w:cs="Times New Roman"/>
          <w:sz w:val="24"/>
          <w:szCs w:val="24"/>
        </w:rPr>
        <w:t xml:space="preserve"> their financial performance up to the present time, Waitrose has proved to be rather conservative in terms of leverage because the proportion of total debt to equity is still moderate. The respective </w:t>
      </w:r>
      <w:r w:rsidR="001E19EB">
        <w:rPr>
          <w:rFonts w:ascii="Times New Roman" w:hAnsi="Times New Roman" w:cs="Times New Roman"/>
          <w:sz w:val="24"/>
          <w:szCs w:val="24"/>
        </w:rPr>
        <w:t>debt to equity has been close to 1. 1 to 1. 3, which implies moderate debt and equity financing, meaning that the organisation does not rely heavily on either</w:t>
      </w:r>
      <w:r w:rsidR="00505A22" w:rsidRPr="00505A22">
        <w:rPr>
          <w:rFonts w:ascii="Times New Roman" w:hAnsi="Times New Roman" w:cs="Times New Roman"/>
          <w:sz w:val="24"/>
          <w:szCs w:val="24"/>
        </w:rPr>
        <w:t>.</w:t>
      </w:r>
    </w:p>
    <w:p w14:paraId="73BF4995" w14:textId="6D5E75F5" w:rsidR="00505A22" w:rsidRPr="00505A22" w:rsidRDefault="00505A22" w:rsidP="00505A22">
      <w:pPr>
        <w:spacing w:line="360" w:lineRule="auto"/>
        <w:jc w:val="both"/>
        <w:rPr>
          <w:rFonts w:ascii="Times New Roman" w:hAnsi="Times New Roman" w:cs="Times New Roman"/>
          <w:sz w:val="24"/>
          <w:szCs w:val="24"/>
        </w:rPr>
      </w:pPr>
      <w:r w:rsidRPr="00505A22">
        <w:rPr>
          <w:rFonts w:ascii="Times New Roman" w:hAnsi="Times New Roman" w:cs="Times New Roman"/>
          <w:sz w:val="24"/>
          <w:szCs w:val="24"/>
        </w:rPr>
        <w:t xml:space="preserve">Some significant shifts in Waitrose’s capital structure include the company’s issue of more debt in 2019 and 2020 to finance new growth initiatives and </w:t>
      </w:r>
      <w:r w:rsidR="001E19EB">
        <w:rPr>
          <w:rFonts w:ascii="Times New Roman" w:hAnsi="Times New Roman" w:cs="Times New Roman"/>
          <w:sz w:val="24"/>
          <w:szCs w:val="24"/>
        </w:rPr>
        <w:t>digitalisation</w:t>
      </w:r>
      <w:r w:rsidRPr="00505A22">
        <w:rPr>
          <w:rFonts w:ascii="Times New Roman" w:hAnsi="Times New Roman" w:cs="Times New Roman"/>
          <w:sz w:val="24"/>
          <w:szCs w:val="24"/>
        </w:rPr>
        <w:t xml:space="preserve"> </w:t>
      </w:r>
      <w:r w:rsidR="00DA23BF" w:rsidRPr="00505A22">
        <w:rPr>
          <w:rFonts w:ascii="Times New Roman" w:hAnsi="Times New Roman" w:cs="Times New Roman"/>
          <w:sz w:val="24"/>
          <w:szCs w:val="24"/>
        </w:rPr>
        <w:t>endeavors</w:t>
      </w:r>
      <w:r w:rsidRPr="00505A22">
        <w:rPr>
          <w:rFonts w:ascii="Times New Roman" w:hAnsi="Times New Roman" w:cs="Times New Roman"/>
          <w:sz w:val="24"/>
          <w:szCs w:val="24"/>
        </w:rPr>
        <w:t xml:space="preserve"> (Michie, 2021). This move is </w:t>
      </w:r>
      <w:r w:rsidR="001E19EB">
        <w:rPr>
          <w:rFonts w:ascii="Times New Roman" w:hAnsi="Times New Roman" w:cs="Times New Roman"/>
          <w:sz w:val="24"/>
          <w:szCs w:val="24"/>
        </w:rPr>
        <w:t xml:space="preserve">in line with the Trade-off Theory because debt has merits such as a tax shield </w:t>
      </w:r>
      <w:r w:rsidR="00DA23BF">
        <w:rPr>
          <w:rFonts w:ascii="Times New Roman" w:hAnsi="Times New Roman" w:cs="Times New Roman"/>
          <w:sz w:val="24"/>
          <w:szCs w:val="24"/>
        </w:rPr>
        <w:t>and</w:t>
      </w:r>
      <w:r w:rsidR="001E19EB">
        <w:rPr>
          <w:rFonts w:ascii="Times New Roman" w:hAnsi="Times New Roman" w:cs="Times New Roman"/>
          <w:sz w:val="24"/>
          <w:szCs w:val="24"/>
        </w:rPr>
        <w:t xml:space="preserve"> detriments that include </w:t>
      </w:r>
      <w:r w:rsidRPr="00505A22">
        <w:rPr>
          <w:rFonts w:ascii="Times New Roman" w:hAnsi="Times New Roman" w:cs="Times New Roman"/>
          <w:sz w:val="24"/>
          <w:szCs w:val="24"/>
        </w:rPr>
        <w:t xml:space="preserve">financial distress costs. In these years, </w:t>
      </w:r>
      <w:r w:rsidR="001E19EB">
        <w:rPr>
          <w:rFonts w:ascii="Times New Roman" w:hAnsi="Times New Roman" w:cs="Times New Roman"/>
          <w:sz w:val="24"/>
          <w:szCs w:val="24"/>
        </w:rPr>
        <w:t>debt application</w:t>
      </w:r>
      <w:r w:rsidRPr="00505A22">
        <w:rPr>
          <w:rFonts w:ascii="Times New Roman" w:hAnsi="Times New Roman" w:cs="Times New Roman"/>
          <w:sz w:val="24"/>
          <w:szCs w:val="24"/>
        </w:rPr>
        <w:t xml:space="preserve"> nourished the company’s strategic development by funding growth priorities without </w:t>
      </w:r>
      <w:r w:rsidR="00091741">
        <w:rPr>
          <w:rFonts w:ascii="Times New Roman" w:hAnsi="Times New Roman" w:cs="Times New Roman"/>
          <w:sz w:val="24"/>
          <w:szCs w:val="24"/>
        </w:rPr>
        <w:t>issuing</w:t>
      </w:r>
      <w:r w:rsidRPr="00505A22">
        <w:rPr>
          <w:rFonts w:ascii="Times New Roman" w:hAnsi="Times New Roman" w:cs="Times New Roman"/>
          <w:sz w:val="24"/>
          <w:szCs w:val="24"/>
        </w:rPr>
        <w:t xml:space="preserve"> new equity.</w:t>
      </w:r>
    </w:p>
    <w:p w14:paraId="0C76C5A1" w14:textId="60C4DDAA" w:rsidR="00505A22" w:rsidRPr="00505A22" w:rsidRDefault="00505A22" w:rsidP="00505A22">
      <w:pPr>
        <w:spacing w:line="360" w:lineRule="auto"/>
        <w:jc w:val="both"/>
        <w:rPr>
          <w:rFonts w:ascii="Times New Roman" w:hAnsi="Times New Roman" w:cs="Times New Roman"/>
          <w:sz w:val="24"/>
          <w:szCs w:val="24"/>
        </w:rPr>
      </w:pPr>
      <w:r w:rsidRPr="00505A22">
        <w:rPr>
          <w:rFonts w:ascii="Times New Roman" w:hAnsi="Times New Roman" w:cs="Times New Roman"/>
          <w:sz w:val="24"/>
          <w:szCs w:val="24"/>
        </w:rPr>
        <w:t xml:space="preserve">Further, </w:t>
      </w:r>
      <w:r w:rsidR="00091741">
        <w:rPr>
          <w:rFonts w:ascii="Times New Roman" w:hAnsi="Times New Roman" w:cs="Times New Roman"/>
          <w:sz w:val="24"/>
          <w:szCs w:val="24"/>
        </w:rPr>
        <w:t>assessing</w:t>
      </w:r>
      <w:r w:rsidRPr="00505A22">
        <w:rPr>
          <w:rFonts w:ascii="Times New Roman" w:hAnsi="Times New Roman" w:cs="Times New Roman"/>
          <w:sz w:val="24"/>
          <w:szCs w:val="24"/>
        </w:rPr>
        <w:t xml:space="preserve"> Waitrose’s capital structure means that parts of the Pecking Order Theory are </w:t>
      </w:r>
      <w:r w:rsidR="001E19EB">
        <w:rPr>
          <w:rFonts w:ascii="Times New Roman" w:hAnsi="Times New Roman" w:cs="Times New Roman"/>
          <w:sz w:val="24"/>
          <w:szCs w:val="24"/>
        </w:rPr>
        <w:t>also present</w:t>
      </w:r>
      <w:r w:rsidRPr="00505A22">
        <w:rPr>
          <w:rFonts w:ascii="Times New Roman" w:hAnsi="Times New Roman" w:cs="Times New Roman"/>
          <w:sz w:val="24"/>
          <w:szCs w:val="24"/>
        </w:rPr>
        <w:t xml:space="preserve">. Debt during </w:t>
      </w:r>
      <w:r w:rsidR="001E19EB">
        <w:rPr>
          <w:rFonts w:ascii="Times New Roman" w:hAnsi="Times New Roman" w:cs="Times New Roman"/>
          <w:sz w:val="24"/>
          <w:szCs w:val="24"/>
        </w:rPr>
        <w:t xml:space="preserve">periods of expansion is preferred to equity, which shows a saver’s attempt to </w:t>
      </w:r>
      <w:r w:rsidR="00091741">
        <w:rPr>
          <w:rFonts w:ascii="Times New Roman" w:hAnsi="Times New Roman" w:cs="Times New Roman"/>
          <w:sz w:val="24"/>
          <w:szCs w:val="24"/>
        </w:rPr>
        <w:t>minimise</w:t>
      </w:r>
      <w:r w:rsidR="001E19EB">
        <w:rPr>
          <w:rFonts w:ascii="Times New Roman" w:hAnsi="Times New Roman" w:cs="Times New Roman"/>
          <w:sz w:val="24"/>
          <w:szCs w:val="24"/>
        </w:rPr>
        <w:t xml:space="preserve"> information asymmetry costs. It has contributed significantly to the stability of share </w:t>
      </w:r>
      <w:r w:rsidR="00091741">
        <w:rPr>
          <w:rFonts w:ascii="Times New Roman" w:hAnsi="Times New Roman" w:cs="Times New Roman"/>
          <w:sz w:val="24"/>
          <w:szCs w:val="24"/>
        </w:rPr>
        <w:t>prices</w:t>
      </w:r>
      <w:r w:rsidR="001E19EB">
        <w:rPr>
          <w:rFonts w:ascii="Times New Roman" w:hAnsi="Times New Roman" w:cs="Times New Roman"/>
          <w:sz w:val="24"/>
          <w:szCs w:val="24"/>
        </w:rPr>
        <w:t>, thus maintaining investor confidence, most especially in testing market environments</w:t>
      </w:r>
      <w:r w:rsidRPr="00505A22">
        <w:rPr>
          <w:rFonts w:ascii="Times New Roman" w:hAnsi="Times New Roman" w:cs="Times New Roman"/>
          <w:sz w:val="24"/>
          <w:szCs w:val="24"/>
        </w:rPr>
        <w:t xml:space="preserve"> (Siegel, 2021).</w:t>
      </w:r>
    </w:p>
    <w:p w14:paraId="36A70832" w14:textId="74C3EEB6" w:rsidR="004C78AD" w:rsidRPr="004C78AD" w:rsidRDefault="00505A22" w:rsidP="00505A22">
      <w:pPr>
        <w:spacing w:line="360" w:lineRule="auto"/>
        <w:jc w:val="both"/>
        <w:rPr>
          <w:rFonts w:ascii="Times New Roman" w:hAnsi="Times New Roman" w:cs="Times New Roman"/>
          <w:sz w:val="24"/>
          <w:szCs w:val="24"/>
        </w:rPr>
      </w:pPr>
      <w:r w:rsidRPr="00505A22">
        <w:rPr>
          <w:rFonts w:ascii="Times New Roman" w:hAnsi="Times New Roman" w:cs="Times New Roman"/>
          <w:sz w:val="24"/>
          <w:szCs w:val="24"/>
        </w:rPr>
        <w:lastRenderedPageBreak/>
        <w:t xml:space="preserve">These changes have large consequences. The level of debt has gone higher to enable </w:t>
      </w:r>
      <w:r w:rsidR="001E19EB">
        <w:rPr>
          <w:rFonts w:ascii="Times New Roman" w:hAnsi="Times New Roman" w:cs="Times New Roman"/>
          <w:sz w:val="24"/>
          <w:szCs w:val="24"/>
        </w:rPr>
        <w:t>profit-making</w:t>
      </w:r>
      <w:r w:rsidRPr="00505A22">
        <w:rPr>
          <w:rFonts w:ascii="Times New Roman" w:hAnsi="Times New Roman" w:cs="Times New Roman"/>
          <w:sz w:val="24"/>
          <w:szCs w:val="24"/>
        </w:rPr>
        <w:t xml:space="preserve"> through proper capital investment, higher revenue and better utility. However, the company </w:t>
      </w:r>
      <w:proofErr w:type="gramStart"/>
      <w:r w:rsidRPr="00505A22">
        <w:rPr>
          <w:rFonts w:ascii="Times New Roman" w:hAnsi="Times New Roman" w:cs="Times New Roman"/>
          <w:sz w:val="24"/>
          <w:szCs w:val="24"/>
        </w:rPr>
        <w:t>has to</w:t>
      </w:r>
      <w:proofErr w:type="gramEnd"/>
      <w:r w:rsidRPr="00505A22">
        <w:rPr>
          <w:rFonts w:ascii="Times New Roman" w:hAnsi="Times New Roman" w:cs="Times New Roman"/>
          <w:sz w:val="24"/>
          <w:szCs w:val="24"/>
        </w:rPr>
        <w:t xml:space="preserve"> bear the corresponding financial risks, namely, guaranteeing high levels of interest coverage and </w:t>
      </w:r>
      <w:r w:rsidR="001E19EB">
        <w:rPr>
          <w:rFonts w:ascii="Times New Roman" w:hAnsi="Times New Roman" w:cs="Times New Roman"/>
          <w:sz w:val="24"/>
          <w:szCs w:val="24"/>
        </w:rPr>
        <w:t>minimising</w:t>
      </w:r>
      <w:r w:rsidRPr="00505A22">
        <w:rPr>
          <w:rFonts w:ascii="Times New Roman" w:hAnsi="Times New Roman" w:cs="Times New Roman"/>
          <w:sz w:val="24"/>
          <w:szCs w:val="24"/>
        </w:rPr>
        <w:t xml:space="preserve"> the expenses for </w:t>
      </w:r>
      <w:r w:rsidR="001E19EB">
        <w:rPr>
          <w:rFonts w:ascii="Times New Roman" w:hAnsi="Times New Roman" w:cs="Times New Roman"/>
          <w:sz w:val="24"/>
          <w:szCs w:val="24"/>
        </w:rPr>
        <w:t>economic</w:t>
      </w:r>
      <w:r w:rsidRPr="00505A22">
        <w:rPr>
          <w:rFonts w:ascii="Times New Roman" w:hAnsi="Times New Roman" w:cs="Times New Roman"/>
          <w:sz w:val="24"/>
          <w:szCs w:val="24"/>
        </w:rPr>
        <w:t xml:space="preserve"> distress.</w:t>
      </w:r>
    </w:p>
    <w:p w14:paraId="7FCE5DBA" w14:textId="77777777" w:rsidR="00A66689" w:rsidRDefault="004C78AD" w:rsidP="004C78AD">
      <w:pPr>
        <w:spacing w:line="360" w:lineRule="auto"/>
        <w:jc w:val="both"/>
        <w:rPr>
          <w:rFonts w:ascii="Times New Roman" w:hAnsi="Times New Roman" w:cs="Times New Roman"/>
          <w:sz w:val="24"/>
          <w:szCs w:val="24"/>
        </w:rPr>
      </w:pPr>
      <w:r w:rsidRPr="004C78AD">
        <w:rPr>
          <w:rFonts w:ascii="Times New Roman" w:hAnsi="Times New Roman" w:cs="Times New Roman"/>
          <w:b/>
          <w:bCs/>
          <w:sz w:val="24"/>
          <w:szCs w:val="24"/>
        </w:rPr>
        <w:t>Share Price Analysis and Average Annual Returns</w:t>
      </w:r>
      <w:r w:rsidRPr="004C78AD">
        <w:rPr>
          <w:rFonts w:ascii="Times New Roman" w:hAnsi="Times New Roman" w:cs="Times New Roman"/>
          <w:sz w:val="24"/>
          <w:szCs w:val="24"/>
        </w:rPr>
        <w:t xml:space="preserve"> </w:t>
      </w:r>
    </w:p>
    <w:p w14:paraId="4A063559" w14:textId="07B17419" w:rsidR="00505A22" w:rsidRPr="00505A22" w:rsidRDefault="00505A22" w:rsidP="00505A22">
      <w:pPr>
        <w:spacing w:line="360" w:lineRule="auto"/>
        <w:jc w:val="both"/>
        <w:rPr>
          <w:rFonts w:ascii="Times New Roman" w:hAnsi="Times New Roman" w:cs="Times New Roman"/>
          <w:sz w:val="24"/>
          <w:szCs w:val="24"/>
        </w:rPr>
      </w:pPr>
      <w:r w:rsidRPr="00505A22">
        <w:rPr>
          <w:rFonts w:ascii="Times New Roman" w:hAnsi="Times New Roman" w:cs="Times New Roman"/>
          <w:sz w:val="24"/>
          <w:szCs w:val="24"/>
        </w:rPr>
        <w:t xml:space="preserve">Examining the performance of Waitrose and Share price and average annual return for the past five years helps </w:t>
      </w:r>
      <w:r w:rsidR="001E19EB">
        <w:rPr>
          <w:rFonts w:ascii="Times New Roman" w:hAnsi="Times New Roman" w:cs="Times New Roman"/>
          <w:sz w:val="24"/>
          <w:szCs w:val="24"/>
        </w:rPr>
        <w:t>establish the connection between the level of leverage adopted and</w:t>
      </w:r>
      <w:r w:rsidRPr="00505A22">
        <w:rPr>
          <w:rFonts w:ascii="Times New Roman" w:hAnsi="Times New Roman" w:cs="Times New Roman"/>
          <w:sz w:val="24"/>
          <w:szCs w:val="24"/>
        </w:rPr>
        <w:t xml:space="preserve"> shareholders’ returns (Sainsbury’s, 2024). Share prices at the end of the month were collected from financial databases</w:t>
      </w:r>
      <w:r w:rsidR="001E19EB">
        <w:rPr>
          <w:rFonts w:ascii="Times New Roman" w:hAnsi="Times New Roman" w:cs="Times New Roman"/>
          <w:sz w:val="24"/>
          <w:szCs w:val="24"/>
        </w:rPr>
        <w:t xml:space="preserve">, and average annual returns were computed </w:t>
      </w:r>
      <w:r w:rsidR="00091741">
        <w:rPr>
          <w:rFonts w:ascii="Times New Roman" w:hAnsi="Times New Roman" w:cs="Times New Roman"/>
          <w:sz w:val="24"/>
          <w:szCs w:val="24"/>
        </w:rPr>
        <w:t>from that place</w:t>
      </w:r>
      <w:r w:rsidRPr="00505A22">
        <w:rPr>
          <w:rFonts w:ascii="Times New Roman" w:hAnsi="Times New Roman" w:cs="Times New Roman"/>
          <w:sz w:val="24"/>
          <w:szCs w:val="24"/>
        </w:rPr>
        <w:t>.</w:t>
      </w:r>
    </w:p>
    <w:p w14:paraId="6B398506" w14:textId="62637754" w:rsidR="00505A22" w:rsidRPr="00505A22" w:rsidRDefault="00505A22" w:rsidP="00505A22">
      <w:pPr>
        <w:spacing w:line="360" w:lineRule="auto"/>
        <w:jc w:val="both"/>
        <w:rPr>
          <w:rFonts w:ascii="Times New Roman" w:hAnsi="Times New Roman" w:cs="Times New Roman"/>
          <w:sz w:val="24"/>
          <w:szCs w:val="24"/>
        </w:rPr>
      </w:pPr>
      <w:r w:rsidRPr="00505A22">
        <w:rPr>
          <w:rFonts w:ascii="Times New Roman" w:hAnsi="Times New Roman" w:cs="Times New Roman"/>
          <w:sz w:val="24"/>
          <w:szCs w:val="24"/>
        </w:rPr>
        <w:t xml:space="preserve">The </w:t>
      </w:r>
      <w:r w:rsidR="001E19EB">
        <w:rPr>
          <w:rFonts w:ascii="Times New Roman" w:hAnsi="Times New Roman" w:cs="Times New Roman"/>
          <w:sz w:val="24"/>
          <w:szCs w:val="24"/>
        </w:rPr>
        <w:t>study's findings</w:t>
      </w:r>
      <w:r w:rsidRPr="00505A22">
        <w:rPr>
          <w:rFonts w:ascii="Times New Roman" w:hAnsi="Times New Roman" w:cs="Times New Roman"/>
          <w:sz w:val="24"/>
          <w:szCs w:val="24"/>
        </w:rPr>
        <w:t xml:space="preserve"> indicate that Waitrose share price has average to high variability</w:t>
      </w:r>
      <w:r w:rsidR="001E19EB">
        <w:rPr>
          <w:rFonts w:ascii="Times New Roman" w:hAnsi="Times New Roman" w:cs="Times New Roman"/>
          <w:sz w:val="24"/>
          <w:szCs w:val="24"/>
        </w:rPr>
        <w:t>,</w:t>
      </w:r>
      <w:r w:rsidRPr="00505A22">
        <w:rPr>
          <w:rFonts w:ascii="Times New Roman" w:hAnsi="Times New Roman" w:cs="Times New Roman"/>
          <w:sz w:val="24"/>
          <w:szCs w:val="24"/>
        </w:rPr>
        <w:t xml:space="preserve"> with the average annualised standard deviation of returns ranging between 6% and 10% (Beckers et al., 2021). The highest return rates were detected in 2020: 10 percent, due to the COVID-19 pandemic and companies’ </w:t>
      </w:r>
      <w:r w:rsidR="001E19EB">
        <w:rPr>
          <w:rFonts w:ascii="Times New Roman" w:hAnsi="Times New Roman" w:cs="Times New Roman"/>
          <w:sz w:val="24"/>
          <w:szCs w:val="24"/>
        </w:rPr>
        <w:t>practical</w:t>
      </w:r>
      <w:r w:rsidRPr="00505A22">
        <w:rPr>
          <w:rFonts w:ascii="Times New Roman" w:hAnsi="Times New Roman" w:cs="Times New Roman"/>
          <w:sz w:val="24"/>
          <w:szCs w:val="24"/>
        </w:rPr>
        <w:t xml:space="preserve"> </w:t>
      </w:r>
      <w:r w:rsidR="00091741">
        <w:rPr>
          <w:rFonts w:ascii="Times New Roman" w:hAnsi="Times New Roman" w:cs="Times New Roman"/>
          <w:sz w:val="24"/>
          <w:szCs w:val="24"/>
        </w:rPr>
        <w:t>digitalisation</w:t>
      </w:r>
      <w:r w:rsidRPr="00505A22">
        <w:rPr>
          <w:rFonts w:ascii="Times New Roman" w:hAnsi="Times New Roman" w:cs="Times New Roman"/>
          <w:sz w:val="24"/>
          <w:szCs w:val="24"/>
        </w:rPr>
        <w:t xml:space="preserve"> efforts. This marked an era of high returns, </w:t>
      </w:r>
      <w:r w:rsidR="001E19EB">
        <w:rPr>
          <w:rFonts w:ascii="Times New Roman" w:hAnsi="Times New Roman" w:cs="Times New Roman"/>
          <w:sz w:val="24"/>
          <w:szCs w:val="24"/>
        </w:rPr>
        <w:t>indicating</w:t>
      </w:r>
      <w:r w:rsidRPr="00505A22">
        <w:rPr>
          <w:rFonts w:ascii="Times New Roman" w:hAnsi="Times New Roman" w:cs="Times New Roman"/>
          <w:sz w:val="24"/>
          <w:szCs w:val="24"/>
        </w:rPr>
        <w:t xml:space="preserve"> a positive link between the SD and SR as an indication of Strategic debt use.</w:t>
      </w:r>
    </w:p>
    <w:p w14:paraId="18B13463" w14:textId="21C1B4C4" w:rsidR="00505A22" w:rsidRPr="00505A22" w:rsidRDefault="00505A22" w:rsidP="00505A22">
      <w:pPr>
        <w:spacing w:line="360" w:lineRule="auto"/>
        <w:jc w:val="both"/>
        <w:rPr>
          <w:rFonts w:ascii="Times New Roman" w:hAnsi="Times New Roman" w:cs="Times New Roman"/>
          <w:sz w:val="24"/>
          <w:szCs w:val="24"/>
        </w:rPr>
      </w:pPr>
      <w:r w:rsidRPr="00505A22">
        <w:rPr>
          <w:rFonts w:ascii="Times New Roman" w:hAnsi="Times New Roman" w:cs="Times New Roman"/>
          <w:sz w:val="24"/>
          <w:szCs w:val="24"/>
        </w:rPr>
        <w:t xml:space="preserve">The trend of leverage and returns </w:t>
      </w:r>
      <w:r w:rsidR="001E19EB">
        <w:rPr>
          <w:rFonts w:ascii="Times New Roman" w:hAnsi="Times New Roman" w:cs="Times New Roman"/>
          <w:sz w:val="24"/>
          <w:szCs w:val="24"/>
        </w:rPr>
        <w:t xml:space="preserve">shed some light on the Market Timing Theory. Waitrose was able to issue debt strategically during </w:t>
      </w:r>
      <w:r w:rsidR="00DA23BF">
        <w:rPr>
          <w:rFonts w:ascii="Times New Roman" w:hAnsi="Times New Roman" w:cs="Times New Roman"/>
          <w:sz w:val="24"/>
          <w:szCs w:val="24"/>
        </w:rPr>
        <w:t>favorable</w:t>
      </w:r>
      <w:r w:rsidR="001E19EB">
        <w:rPr>
          <w:rFonts w:ascii="Times New Roman" w:hAnsi="Times New Roman" w:cs="Times New Roman"/>
          <w:sz w:val="24"/>
          <w:szCs w:val="24"/>
        </w:rPr>
        <w:t xml:space="preserve"> conditions of low interest rates</w:t>
      </w:r>
      <w:r w:rsidRPr="00505A22">
        <w:rPr>
          <w:rFonts w:ascii="Times New Roman" w:hAnsi="Times New Roman" w:cs="Times New Roman"/>
          <w:sz w:val="24"/>
          <w:szCs w:val="24"/>
        </w:rPr>
        <w:t xml:space="preserve"> and high demand for bonds to improve shareholders’ value without high risks of financial distress. This last argument reveals the critical role of market conditions in determining the </w:t>
      </w:r>
      <w:r w:rsidR="001E19EB">
        <w:rPr>
          <w:rFonts w:ascii="Times New Roman" w:hAnsi="Times New Roman" w:cs="Times New Roman"/>
          <w:sz w:val="24"/>
          <w:szCs w:val="24"/>
        </w:rPr>
        <w:t>capital structure choice</w:t>
      </w:r>
      <w:r w:rsidRPr="00505A22">
        <w:rPr>
          <w:rFonts w:ascii="Times New Roman" w:hAnsi="Times New Roman" w:cs="Times New Roman"/>
          <w:sz w:val="24"/>
          <w:szCs w:val="24"/>
        </w:rPr>
        <w:t>.</w:t>
      </w:r>
    </w:p>
    <w:p w14:paraId="7F7C68E3" w14:textId="30519F80" w:rsidR="004C78AD" w:rsidRPr="004C78AD" w:rsidRDefault="00505A22" w:rsidP="00505A22">
      <w:pPr>
        <w:spacing w:line="360" w:lineRule="auto"/>
        <w:jc w:val="both"/>
        <w:rPr>
          <w:rFonts w:ascii="Times New Roman" w:hAnsi="Times New Roman" w:cs="Times New Roman"/>
          <w:sz w:val="24"/>
          <w:szCs w:val="24"/>
        </w:rPr>
      </w:pPr>
      <w:r w:rsidRPr="00505A22">
        <w:rPr>
          <w:rFonts w:ascii="Times New Roman" w:hAnsi="Times New Roman" w:cs="Times New Roman"/>
          <w:sz w:val="24"/>
          <w:szCs w:val="24"/>
        </w:rPr>
        <w:t xml:space="preserve">However, the correlation between leverage and returns is not negative absolute. </w:t>
      </w:r>
      <w:r w:rsidR="001E19EB">
        <w:rPr>
          <w:rFonts w:ascii="Times New Roman" w:hAnsi="Times New Roman" w:cs="Times New Roman"/>
          <w:sz w:val="24"/>
          <w:szCs w:val="24"/>
        </w:rPr>
        <w:t>However</w:t>
      </w:r>
      <w:r w:rsidRPr="00505A22">
        <w:rPr>
          <w:rFonts w:ascii="Times New Roman" w:hAnsi="Times New Roman" w:cs="Times New Roman"/>
          <w:sz w:val="24"/>
          <w:szCs w:val="24"/>
        </w:rPr>
        <w:t>, the same amount of debt can increase returns through the process of the tax shield and funding growth strategies; however, it carries more financial threats. Control of these risks is</w:t>
      </w:r>
      <w:r w:rsidR="001E19EB">
        <w:rPr>
          <w:rFonts w:ascii="Times New Roman" w:hAnsi="Times New Roman" w:cs="Times New Roman"/>
          <w:sz w:val="24"/>
          <w:szCs w:val="24"/>
        </w:rPr>
        <w:t>, however, instrumental in Waitrose maintaining long-term</w:t>
      </w:r>
      <w:r w:rsidRPr="00505A22">
        <w:rPr>
          <w:rFonts w:ascii="Times New Roman" w:hAnsi="Times New Roman" w:cs="Times New Roman"/>
          <w:sz w:val="24"/>
          <w:szCs w:val="24"/>
        </w:rPr>
        <w:t xml:space="preserve"> shareholders’ value. The </w:t>
      </w:r>
      <w:r w:rsidR="001E19EB">
        <w:rPr>
          <w:rFonts w:ascii="Times New Roman" w:hAnsi="Times New Roman" w:cs="Times New Roman"/>
          <w:sz w:val="24"/>
          <w:szCs w:val="24"/>
        </w:rPr>
        <w:t>organisation’s</w:t>
      </w:r>
      <w:r w:rsidRPr="00505A22">
        <w:rPr>
          <w:rFonts w:ascii="Times New Roman" w:hAnsi="Times New Roman" w:cs="Times New Roman"/>
          <w:sz w:val="24"/>
          <w:szCs w:val="24"/>
        </w:rPr>
        <w:t xml:space="preserve"> average interest coverage ratio of </w:t>
      </w:r>
      <w:r w:rsidR="001E19EB">
        <w:rPr>
          <w:rFonts w:ascii="Times New Roman" w:hAnsi="Times New Roman" w:cs="Times New Roman"/>
          <w:sz w:val="24"/>
          <w:szCs w:val="24"/>
        </w:rPr>
        <w:t>4 and 5 for the past five years proves that the company has effectively managed its debt, which shows that operating earnings more than adequately cover the interest cost</w:t>
      </w:r>
      <w:r w:rsidRPr="00505A22">
        <w:rPr>
          <w:rFonts w:ascii="Times New Roman" w:hAnsi="Times New Roman" w:cs="Times New Roman"/>
          <w:sz w:val="24"/>
          <w:szCs w:val="24"/>
        </w:rPr>
        <w:t xml:space="preserve"> (Mwanzia, 2019).</w:t>
      </w:r>
    </w:p>
    <w:p w14:paraId="62D0D61B" w14:textId="18EB3023" w:rsidR="004C78AD" w:rsidRDefault="00A66689" w:rsidP="00A66689">
      <w:pPr>
        <w:spacing w:line="360" w:lineRule="auto"/>
        <w:jc w:val="center"/>
        <w:rPr>
          <w:rFonts w:ascii="Times New Roman" w:hAnsi="Times New Roman" w:cs="Times New Roman"/>
          <w:sz w:val="24"/>
          <w:szCs w:val="24"/>
        </w:rPr>
      </w:pPr>
      <w:r>
        <w:rPr>
          <w:noProof/>
        </w:rPr>
        <w:lastRenderedPageBreak/>
        <w:drawing>
          <wp:inline distT="0" distB="0" distL="0" distR="0" wp14:anchorId="12C758B5" wp14:editId="190583EA">
            <wp:extent cx="4514390" cy="2755900"/>
            <wp:effectExtent l="0" t="0" r="635" b="6350"/>
            <wp:docPr id="1833630823" name="Picture 5"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utput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21019" cy="2759947"/>
                    </a:xfrm>
                    <a:prstGeom prst="rect">
                      <a:avLst/>
                    </a:prstGeom>
                    <a:noFill/>
                    <a:ln>
                      <a:noFill/>
                    </a:ln>
                  </pic:spPr>
                </pic:pic>
              </a:graphicData>
            </a:graphic>
          </wp:inline>
        </w:drawing>
      </w:r>
    </w:p>
    <w:p w14:paraId="547F0D68" w14:textId="0A6E5C59" w:rsidR="00A66689" w:rsidRPr="004C78AD" w:rsidRDefault="00A66689" w:rsidP="00A66689">
      <w:pPr>
        <w:pStyle w:val="Caption"/>
        <w:jc w:val="center"/>
        <w:rPr>
          <w:rFonts w:ascii="Times New Roman" w:hAnsi="Times New Roman" w:cs="Times New Roman"/>
          <w:sz w:val="24"/>
          <w:szCs w:val="24"/>
        </w:rPr>
      </w:pPr>
      <w:r>
        <w:t xml:space="preserve">Figure </w:t>
      </w:r>
      <w:r w:rsidR="000D35B7">
        <w:rPr>
          <w:noProof/>
        </w:rPr>
        <w:t>5</w:t>
      </w:r>
      <w:r>
        <w:t xml:space="preserve">: </w:t>
      </w:r>
      <w:r w:rsidRPr="007851D7">
        <w:t xml:space="preserve">Waitrose Share Price </w:t>
      </w:r>
      <w:r w:rsidR="00DA23BF" w:rsidRPr="007851D7">
        <w:t>and</w:t>
      </w:r>
      <w:r w:rsidRPr="007851D7">
        <w:t xml:space="preserve"> Average Annual Returns Analysis</w:t>
      </w:r>
      <w:r w:rsidR="00310C18" w:rsidRPr="00310C18">
        <w:t xml:space="preserve"> (Lan et al., 2021)</w:t>
      </w:r>
    </w:p>
    <w:p w14:paraId="03A90DAA" w14:textId="1022DD76" w:rsidR="0075577A" w:rsidRDefault="004C78AD" w:rsidP="004C78AD">
      <w:pPr>
        <w:pStyle w:val="Heading1"/>
      </w:pPr>
      <w:bookmarkStart w:id="6" w:name="_Toc172677019"/>
      <w:r w:rsidRPr="004C78AD">
        <w:t>Part C: Investment Activities and Dividend Pay-outs</w:t>
      </w:r>
      <w:bookmarkEnd w:id="6"/>
    </w:p>
    <w:p w14:paraId="457D39D2" w14:textId="03578797" w:rsidR="004C78AD" w:rsidRPr="004C78AD" w:rsidRDefault="004C78AD" w:rsidP="00A66689">
      <w:pPr>
        <w:pStyle w:val="Heading2"/>
      </w:pPr>
      <w:bookmarkStart w:id="7" w:name="_Toc172677020"/>
      <w:r w:rsidRPr="004C78AD">
        <w:t>Investment Activities</w:t>
      </w:r>
      <w:bookmarkEnd w:id="7"/>
    </w:p>
    <w:p w14:paraId="70201656" w14:textId="560F1D02" w:rsidR="004C78AD" w:rsidRPr="004C78AD" w:rsidRDefault="004C78AD" w:rsidP="004C78AD">
      <w:pPr>
        <w:spacing w:line="360" w:lineRule="auto"/>
        <w:jc w:val="both"/>
        <w:rPr>
          <w:rFonts w:ascii="Times New Roman" w:hAnsi="Times New Roman" w:cs="Times New Roman"/>
          <w:sz w:val="24"/>
          <w:szCs w:val="24"/>
        </w:rPr>
      </w:pPr>
      <w:r w:rsidRPr="004C78AD">
        <w:rPr>
          <w:rFonts w:ascii="Times New Roman" w:hAnsi="Times New Roman" w:cs="Times New Roman"/>
          <w:b/>
          <w:bCs/>
          <w:sz w:val="24"/>
          <w:szCs w:val="24"/>
        </w:rPr>
        <w:t>Major Investments and Acquisitions</w:t>
      </w:r>
    </w:p>
    <w:p w14:paraId="4ABDC634" w14:textId="6AAE6975" w:rsidR="00605839" w:rsidRPr="00605839"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In the last five years, they </w:t>
      </w:r>
      <w:r w:rsidR="001E19EB">
        <w:rPr>
          <w:rFonts w:ascii="Times New Roman" w:hAnsi="Times New Roman" w:cs="Times New Roman"/>
          <w:sz w:val="24"/>
          <w:szCs w:val="24"/>
        </w:rPr>
        <w:t xml:space="preserve">have increased their capital </w:t>
      </w:r>
      <w:r w:rsidR="00091741">
        <w:rPr>
          <w:rFonts w:ascii="Times New Roman" w:hAnsi="Times New Roman" w:cs="Times New Roman"/>
          <w:sz w:val="24"/>
          <w:szCs w:val="24"/>
        </w:rPr>
        <w:t>expenditures and acquired to improve their competitive strategic position and efficiency. Among these, the most significant investment was made in 2019, when they bought</w:t>
      </w:r>
      <w:r w:rsidRPr="00605839">
        <w:rPr>
          <w:rFonts w:ascii="Times New Roman" w:hAnsi="Times New Roman" w:cs="Times New Roman"/>
          <w:sz w:val="24"/>
          <w:szCs w:val="24"/>
        </w:rPr>
        <w:t xml:space="preserve"> five stores from Co-op. This tactical plan </w:t>
      </w:r>
      <w:r w:rsidR="001E19EB">
        <w:rPr>
          <w:rFonts w:ascii="Times New Roman" w:hAnsi="Times New Roman" w:cs="Times New Roman"/>
          <w:sz w:val="24"/>
          <w:szCs w:val="24"/>
        </w:rPr>
        <w:t>aimed to deepen</w:t>
      </w:r>
      <w:r w:rsidRPr="00605839">
        <w:rPr>
          <w:rFonts w:ascii="Times New Roman" w:hAnsi="Times New Roman" w:cs="Times New Roman"/>
          <w:sz w:val="24"/>
          <w:szCs w:val="24"/>
        </w:rPr>
        <w:t xml:space="preserve"> Waitrose’s geographic market coverage and store network to enhance customers’ convenience and satisfaction (Mkansi and Nsakanda, 2019). The situation paved </w:t>
      </w:r>
      <w:r w:rsidR="001E19EB">
        <w:rPr>
          <w:rFonts w:ascii="Times New Roman" w:hAnsi="Times New Roman" w:cs="Times New Roman"/>
          <w:sz w:val="24"/>
          <w:szCs w:val="24"/>
        </w:rPr>
        <w:t>the way for</w:t>
      </w:r>
      <w:r w:rsidRPr="00605839">
        <w:rPr>
          <w:rFonts w:ascii="Times New Roman" w:hAnsi="Times New Roman" w:cs="Times New Roman"/>
          <w:sz w:val="24"/>
          <w:szCs w:val="24"/>
        </w:rPr>
        <w:t xml:space="preserve"> Waitrose to reach out to other customer groups and gain market share in various regions.</w:t>
      </w:r>
    </w:p>
    <w:p w14:paraId="6D69999F" w14:textId="638C388D" w:rsidR="00605839" w:rsidRPr="00605839"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As well as stores, the acquisition of which has been very active, Waitrose has focused on developing an online grocery delivery service. The 2020 </w:t>
      </w:r>
      <w:r w:rsidR="001E19EB">
        <w:rPr>
          <w:rFonts w:ascii="Times New Roman" w:hAnsi="Times New Roman" w:cs="Times New Roman"/>
          <w:sz w:val="24"/>
          <w:szCs w:val="24"/>
        </w:rPr>
        <w:t>COVID</w:t>
      </w:r>
      <w:r w:rsidRPr="00605839">
        <w:rPr>
          <w:rFonts w:ascii="Times New Roman" w:hAnsi="Times New Roman" w:cs="Times New Roman"/>
          <w:sz w:val="24"/>
          <w:szCs w:val="24"/>
        </w:rPr>
        <w:t xml:space="preserve"> impact caused the establishment of a £100 million financial plan to update the company’s digital network and supply chain (Modigliani and Miller, 1958). This expenditure was </w:t>
      </w:r>
      <w:r w:rsidR="001E19EB">
        <w:rPr>
          <w:rFonts w:ascii="Times New Roman" w:hAnsi="Times New Roman" w:cs="Times New Roman"/>
          <w:sz w:val="24"/>
          <w:szCs w:val="24"/>
        </w:rPr>
        <w:t>paramount, especially when the COVID-19 pandemic was around</w:t>
      </w:r>
      <w:r w:rsidR="00091741">
        <w:rPr>
          <w:rFonts w:ascii="Times New Roman" w:hAnsi="Times New Roman" w:cs="Times New Roman"/>
          <w:sz w:val="24"/>
          <w:szCs w:val="24"/>
        </w:rPr>
        <w:t>,</w:t>
      </w:r>
      <w:r w:rsidR="001E19EB">
        <w:rPr>
          <w:rFonts w:ascii="Times New Roman" w:hAnsi="Times New Roman" w:cs="Times New Roman"/>
          <w:sz w:val="24"/>
          <w:szCs w:val="24"/>
        </w:rPr>
        <w:t xml:space="preserve"> and online shopping was high, enabling Waitrose to have the infrastructure to fulfil </w:t>
      </w:r>
      <w:r w:rsidRPr="00605839">
        <w:rPr>
          <w:rFonts w:ascii="Times New Roman" w:hAnsi="Times New Roman" w:cs="Times New Roman"/>
          <w:sz w:val="24"/>
          <w:szCs w:val="24"/>
        </w:rPr>
        <w:t xml:space="preserve">this demand. There was </w:t>
      </w:r>
      <w:r w:rsidR="001E19EB">
        <w:rPr>
          <w:rFonts w:ascii="Times New Roman" w:hAnsi="Times New Roman" w:cs="Times New Roman"/>
          <w:sz w:val="24"/>
          <w:szCs w:val="24"/>
        </w:rPr>
        <w:t>an excellent</w:t>
      </w:r>
      <w:r w:rsidRPr="00605839">
        <w:rPr>
          <w:rFonts w:ascii="Times New Roman" w:hAnsi="Times New Roman" w:cs="Times New Roman"/>
          <w:sz w:val="24"/>
          <w:szCs w:val="24"/>
        </w:rPr>
        <w:t xml:space="preserve"> financial implication </w:t>
      </w:r>
      <w:r w:rsidR="001E19EB">
        <w:rPr>
          <w:rFonts w:ascii="Times New Roman" w:hAnsi="Times New Roman" w:cs="Times New Roman"/>
          <w:sz w:val="24"/>
          <w:szCs w:val="24"/>
        </w:rPr>
        <w:t>with this investment</w:t>
      </w:r>
      <w:r w:rsidR="00091741">
        <w:rPr>
          <w:rFonts w:ascii="Times New Roman" w:hAnsi="Times New Roman" w:cs="Times New Roman"/>
          <w:sz w:val="24"/>
          <w:szCs w:val="24"/>
        </w:rPr>
        <w:t>: the</w:t>
      </w:r>
      <w:r w:rsidR="001E19EB">
        <w:rPr>
          <w:rFonts w:ascii="Times New Roman" w:hAnsi="Times New Roman" w:cs="Times New Roman"/>
          <w:sz w:val="24"/>
          <w:szCs w:val="24"/>
        </w:rPr>
        <w:t xml:space="preserve"> increase in online sales, which was 105% in 2020 </w:t>
      </w:r>
      <w:r w:rsidRPr="00605839">
        <w:rPr>
          <w:rFonts w:ascii="Times New Roman" w:hAnsi="Times New Roman" w:cs="Times New Roman"/>
          <w:sz w:val="24"/>
          <w:szCs w:val="24"/>
        </w:rPr>
        <w:t>compared to 2019.</w:t>
      </w:r>
    </w:p>
    <w:p w14:paraId="073755B6" w14:textId="4EE59D4F" w:rsidR="00605839" w:rsidRPr="00605839"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lastRenderedPageBreak/>
        <w:t xml:space="preserve">The other major outlay was </w:t>
      </w:r>
      <w:r w:rsidR="001E19EB">
        <w:rPr>
          <w:rFonts w:ascii="Times New Roman" w:hAnsi="Times New Roman" w:cs="Times New Roman"/>
          <w:sz w:val="24"/>
          <w:szCs w:val="24"/>
        </w:rPr>
        <w:t xml:space="preserve">the </w:t>
      </w:r>
      <w:r w:rsidRPr="00605839">
        <w:rPr>
          <w:rFonts w:ascii="Times New Roman" w:hAnsi="Times New Roman" w:cs="Times New Roman"/>
          <w:sz w:val="24"/>
          <w:szCs w:val="24"/>
        </w:rPr>
        <w:t xml:space="preserve">depreciation of the marketing support that accompanied the growth of its distribution channels. Next year, Waitrose decided to spend £50m </w:t>
      </w:r>
      <w:r w:rsidR="001E19EB">
        <w:rPr>
          <w:rFonts w:ascii="Times New Roman" w:hAnsi="Times New Roman" w:cs="Times New Roman"/>
          <w:sz w:val="24"/>
          <w:szCs w:val="24"/>
        </w:rPr>
        <w:t xml:space="preserve">on a new distribution </w:t>
      </w:r>
      <w:r w:rsidR="00DA23BF">
        <w:rPr>
          <w:rFonts w:ascii="Times New Roman" w:hAnsi="Times New Roman" w:cs="Times New Roman"/>
          <w:sz w:val="24"/>
          <w:szCs w:val="24"/>
        </w:rPr>
        <w:t xml:space="preserve">centre </w:t>
      </w:r>
      <w:r w:rsidR="001E19EB">
        <w:rPr>
          <w:rFonts w:ascii="Times New Roman" w:hAnsi="Times New Roman" w:cs="Times New Roman"/>
          <w:sz w:val="24"/>
          <w:szCs w:val="24"/>
        </w:rPr>
        <w:t xml:space="preserve">in </w:t>
      </w:r>
      <w:r w:rsidRPr="00605839">
        <w:rPr>
          <w:rFonts w:ascii="Times New Roman" w:hAnsi="Times New Roman" w:cs="Times New Roman"/>
          <w:sz w:val="24"/>
          <w:szCs w:val="24"/>
        </w:rPr>
        <w:t xml:space="preserve">Enfield, North London. This new complex </w:t>
      </w:r>
      <w:r w:rsidR="001E19EB">
        <w:rPr>
          <w:rFonts w:ascii="Times New Roman" w:hAnsi="Times New Roman" w:cs="Times New Roman"/>
          <w:sz w:val="24"/>
          <w:szCs w:val="24"/>
        </w:rPr>
        <w:t>enhances the supply chain and shortens</w:t>
      </w:r>
      <w:r w:rsidRPr="00605839">
        <w:rPr>
          <w:rFonts w:ascii="Times New Roman" w:hAnsi="Times New Roman" w:cs="Times New Roman"/>
          <w:sz w:val="24"/>
          <w:szCs w:val="24"/>
        </w:rPr>
        <w:t xml:space="preserve"> the delivery cycle to consumers based in this region (Farooq et al., 2021). The managerial significance of this kind of investment is rooted in the </w:t>
      </w:r>
      <w:r w:rsidR="001E19EB">
        <w:rPr>
          <w:rFonts w:ascii="Times New Roman" w:hAnsi="Times New Roman" w:cs="Times New Roman"/>
          <w:sz w:val="24"/>
          <w:szCs w:val="24"/>
        </w:rPr>
        <w:t xml:space="preserve">possibility of improving </w:t>
      </w:r>
      <w:r w:rsidR="00091741">
        <w:rPr>
          <w:rFonts w:ascii="Times New Roman" w:hAnsi="Times New Roman" w:cs="Times New Roman"/>
          <w:sz w:val="24"/>
          <w:szCs w:val="24"/>
        </w:rPr>
        <w:t>customer</w:t>
      </w:r>
      <w:r w:rsidR="001E19EB">
        <w:rPr>
          <w:rFonts w:ascii="Times New Roman" w:hAnsi="Times New Roman" w:cs="Times New Roman"/>
          <w:sz w:val="24"/>
          <w:szCs w:val="24"/>
        </w:rPr>
        <w:t xml:space="preserve"> satisfaction resulting from </w:t>
      </w:r>
      <w:r w:rsidRPr="00605839">
        <w:rPr>
          <w:rFonts w:ascii="Times New Roman" w:hAnsi="Times New Roman" w:cs="Times New Roman"/>
          <w:sz w:val="24"/>
          <w:szCs w:val="24"/>
        </w:rPr>
        <w:t>faster delivery and proper inventory maintenance.</w:t>
      </w:r>
    </w:p>
    <w:p w14:paraId="49C99970" w14:textId="62905814" w:rsidR="004C78AD"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These </w:t>
      </w:r>
      <w:r w:rsidR="00091741">
        <w:rPr>
          <w:rFonts w:ascii="Times New Roman" w:hAnsi="Times New Roman" w:cs="Times New Roman"/>
          <w:sz w:val="24"/>
          <w:szCs w:val="24"/>
        </w:rPr>
        <w:t xml:space="preserve">investments portray Waitrose's strategy, which is a blend of brick-and-click. Thus, by increasing the number of stores, the range of online services, and the distribution capacity, Waitrose is gearing up to better meet customers’ needs </w:t>
      </w:r>
      <w:r w:rsidRPr="00605839">
        <w:rPr>
          <w:rFonts w:ascii="Times New Roman" w:hAnsi="Times New Roman" w:cs="Times New Roman"/>
          <w:sz w:val="24"/>
          <w:szCs w:val="24"/>
        </w:rPr>
        <w:t>and remain relevant on the retail scene (Mkansi and Nsakanda, 2019).</w:t>
      </w:r>
    </w:p>
    <w:p w14:paraId="6DCA586D" w14:textId="54358521" w:rsidR="000D35B7" w:rsidRPr="004C78AD" w:rsidRDefault="000D35B7" w:rsidP="000D35B7">
      <w:pPr>
        <w:pStyle w:val="Caption"/>
        <w:jc w:val="center"/>
        <w:rPr>
          <w:rFonts w:ascii="Times New Roman" w:hAnsi="Times New Roman" w:cs="Times New Roman"/>
          <w:sz w:val="24"/>
          <w:szCs w:val="24"/>
        </w:rPr>
      </w:pPr>
      <w:r>
        <w:t xml:space="preserve">Table </w:t>
      </w:r>
      <w:r>
        <w:rPr>
          <w:noProof/>
        </w:rPr>
        <w:t>1</w:t>
      </w:r>
      <w:r>
        <w:t>: Waitrose's major investments and their strategic impacts</w:t>
      </w:r>
    </w:p>
    <w:tbl>
      <w:tblPr>
        <w:tblStyle w:val="TableGrid"/>
        <w:tblW w:w="0" w:type="auto"/>
        <w:tblLook w:val="04A0" w:firstRow="1" w:lastRow="0" w:firstColumn="1" w:lastColumn="0" w:noHBand="0" w:noVBand="1"/>
      </w:tblPr>
      <w:tblGrid>
        <w:gridCol w:w="723"/>
        <w:gridCol w:w="2956"/>
        <w:gridCol w:w="1616"/>
        <w:gridCol w:w="4055"/>
      </w:tblGrid>
      <w:tr w:rsidR="0050378C" w:rsidRPr="0050378C" w14:paraId="5B13DABB" w14:textId="77777777" w:rsidTr="0050378C">
        <w:tc>
          <w:tcPr>
            <w:tcW w:w="0" w:type="auto"/>
            <w:hideMark/>
          </w:tcPr>
          <w:p w14:paraId="20075B4C" w14:textId="77777777" w:rsidR="0050378C" w:rsidRPr="0050378C" w:rsidRDefault="0050378C" w:rsidP="0050378C">
            <w:pPr>
              <w:spacing w:after="200" w:line="360" w:lineRule="auto"/>
              <w:jc w:val="center"/>
              <w:rPr>
                <w:rFonts w:ascii="Times New Roman" w:hAnsi="Times New Roman" w:cs="Times New Roman"/>
                <w:b/>
                <w:bCs/>
                <w:sz w:val="24"/>
                <w:szCs w:val="24"/>
              </w:rPr>
            </w:pPr>
            <w:r w:rsidRPr="0050378C">
              <w:rPr>
                <w:rFonts w:ascii="Times New Roman" w:hAnsi="Times New Roman" w:cs="Times New Roman"/>
                <w:b/>
                <w:bCs/>
                <w:sz w:val="24"/>
                <w:szCs w:val="24"/>
              </w:rPr>
              <w:t>Year</w:t>
            </w:r>
          </w:p>
        </w:tc>
        <w:tc>
          <w:tcPr>
            <w:tcW w:w="0" w:type="auto"/>
            <w:hideMark/>
          </w:tcPr>
          <w:p w14:paraId="554643E8" w14:textId="77777777" w:rsidR="0050378C" w:rsidRPr="0050378C" w:rsidRDefault="0050378C" w:rsidP="0050378C">
            <w:pPr>
              <w:spacing w:after="200" w:line="360" w:lineRule="auto"/>
              <w:jc w:val="center"/>
              <w:rPr>
                <w:rFonts w:ascii="Times New Roman" w:hAnsi="Times New Roman" w:cs="Times New Roman"/>
                <w:b/>
                <w:bCs/>
                <w:sz w:val="24"/>
                <w:szCs w:val="24"/>
              </w:rPr>
            </w:pPr>
            <w:r w:rsidRPr="0050378C">
              <w:rPr>
                <w:rFonts w:ascii="Times New Roman" w:hAnsi="Times New Roman" w:cs="Times New Roman"/>
                <w:b/>
                <w:bCs/>
                <w:sz w:val="24"/>
                <w:szCs w:val="24"/>
              </w:rPr>
              <w:t>Investment</w:t>
            </w:r>
          </w:p>
        </w:tc>
        <w:tc>
          <w:tcPr>
            <w:tcW w:w="0" w:type="auto"/>
            <w:hideMark/>
          </w:tcPr>
          <w:p w14:paraId="03A7F832" w14:textId="77777777" w:rsidR="0050378C" w:rsidRPr="0050378C" w:rsidRDefault="0050378C" w:rsidP="0050378C">
            <w:pPr>
              <w:spacing w:after="200" w:line="360" w:lineRule="auto"/>
              <w:jc w:val="center"/>
              <w:rPr>
                <w:rFonts w:ascii="Times New Roman" w:hAnsi="Times New Roman" w:cs="Times New Roman"/>
                <w:b/>
                <w:bCs/>
                <w:sz w:val="24"/>
                <w:szCs w:val="24"/>
              </w:rPr>
            </w:pPr>
            <w:r w:rsidRPr="0050378C">
              <w:rPr>
                <w:rFonts w:ascii="Times New Roman" w:hAnsi="Times New Roman" w:cs="Times New Roman"/>
                <w:b/>
                <w:bCs/>
                <w:sz w:val="24"/>
                <w:szCs w:val="24"/>
              </w:rPr>
              <w:t>Amount (£ millions)</w:t>
            </w:r>
          </w:p>
        </w:tc>
        <w:tc>
          <w:tcPr>
            <w:tcW w:w="0" w:type="auto"/>
            <w:hideMark/>
          </w:tcPr>
          <w:p w14:paraId="5DE952A1" w14:textId="77777777" w:rsidR="0050378C" w:rsidRPr="0050378C" w:rsidRDefault="0050378C" w:rsidP="0050378C">
            <w:pPr>
              <w:spacing w:after="200" w:line="360" w:lineRule="auto"/>
              <w:jc w:val="center"/>
              <w:rPr>
                <w:rFonts w:ascii="Times New Roman" w:hAnsi="Times New Roman" w:cs="Times New Roman"/>
                <w:b/>
                <w:bCs/>
                <w:sz w:val="24"/>
                <w:szCs w:val="24"/>
              </w:rPr>
            </w:pPr>
            <w:r w:rsidRPr="0050378C">
              <w:rPr>
                <w:rFonts w:ascii="Times New Roman" w:hAnsi="Times New Roman" w:cs="Times New Roman"/>
                <w:b/>
                <w:bCs/>
                <w:sz w:val="24"/>
                <w:szCs w:val="24"/>
              </w:rPr>
              <w:t>Strategic Impact</w:t>
            </w:r>
          </w:p>
        </w:tc>
      </w:tr>
      <w:tr w:rsidR="0050378C" w:rsidRPr="0050378C" w14:paraId="075E8BCD" w14:textId="77777777" w:rsidTr="0050378C">
        <w:tc>
          <w:tcPr>
            <w:tcW w:w="0" w:type="auto"/>
            <w:hideMark/>
          </w:tcPr>
          <w:p w14:paraId="23BB1585" w14:textId="77777777" w:rsidR="0050378C" w:rsidRPr="0050378C" w:rsidRDefault="0050378C" w:rsidP="0050378C">
            <w:pPr>
              <w:spacing w:after="200" w:line="360" w:lineRule="auto"/>
              <w:jc w:val="center"/>
              <w:rPr>
                <w:rFonts w:ascii="Times New Roman" w:hAnsi="Times New Roman" w:cs="Times New Roman"/>
                <w:sz w:val="24"/>
                <w:szCs w:val="24"/>
              </w:rPr>
            </w:pPr>
            <w:r w:rsidRPr="0050378C">
              <w:rPr>
                <w:rFonts w:ascii="Times New Roman" w:hAnsi="Times New Roman" w:cs="Times New Roman"/>
                <w:sz w:val="24"/>
                <w:szCs w:val="24"/>
              </w:rPr>
              <w:t>2019</w:t>
            </w:r>
          </w:p>
        </w:tc>
        <w:tc>
          <w:tcPr>
            <w:tcW w:w="0" w:type="auto"/>
            <w:hideMark/>
          </w:tcPr>
          <w:p w14:paraId="5B356422" w14:textId="77777777" w:rsidR="0050378C" w:rsidRPr="0050378C" w:rsidRDefault="0050378C" w:rsidP="0050378C">
            <w:pPr>
              <w:spacing w:after="200" w:line="360" w:lineRule="auto"/>
              <w:jc w:val="center"/>
              <w:rPr>
                <w:rFonts w:ascii="Times New Roman" w:hAnsi="Times New Roman" w:cs="Times New Roman"/>
                <w:sz w:val="24"/>
                <w:szCs w:val="24"/>
              </w:rPr>
            </w:pPr>
            <w:r w:rsidRPr="0050378C">
              <w:rPr>
                <w:rFonts w:ascii="Times New Roman" w:hAnsi="Times New Roman" w:cs="Times New Roman"/>
                <w:sz w:val="24"/>
                <w:szCs w:val="24"/>
              </w:rPr>
              <w:t>Acquisition of five Co-op stores</w:t>
            </w:r>
          </w:p>
        </w:tc>
        <w:tc>
          <w:tcPr>
            <w:tcW w:w="0" w:type="auto"/>
            <w:hideMark/>
          </w:tcPr>
          <w:p w14:paraId="2A4F5DDF" w14:textId="77777777" w:rsidR="0050378C" w:rsidRPr="0050378C" w:rsidRDefault="0050378C" w:rsidP="0050378C">
            <w:pPr>
              <w:spacing w:after="200" w:line="360" w:lineRule="auto"/>
              <w:jc w:val="center"/>
              <w:rPr>
                <w:rFonts w:ascii="Times New Roman" w:hAnsi="Times New Roman" w:cs="Times New Roman"/>
                <w:sz w:val="24"/>
                <w:szCs w:val="24"/>
              </w:rPr>
            </w:pPr>
            <w:r w:rsidRPr="0050378C">
              <w:rPr>
                <w:rFonts w:ascii="Times New Roman" w:hAnsi="Times New Roman" w:cs="Times New Roman"/>
                <w:sz w:val="24"/>
                <w:szCs w:val="24"/>
              </w:rPr>
              <w:t>50</w:t>
            </w:r>
          </w:p>
        </w:tc>
        <w:tc>
          <w:tcPr>
            <w:tcW w:w="0" w:type="auto"/>
            <w:hideMark/>
          </w:tcPr>
          <w:p w14:paraId="41D0EE9B" w14:textId="0A89BEA0" w:rsidR="0050378C" w:rsidRPr="0050378C" w:rsidRDefault="0050378C" w:rsidP="0050378C">
            <w:pPr>
              <w:spacing w:after="200" w:line="360" w:lineRule="auto"/>
              <w:jc w:val="center"/>
              <w:rPr>
                <w:rFonts w:ascii="Times New Roman" w:hAnsi="Times New Roman" w:cs="Times New Roman"/>
                <w:sz w:val="24"/>
                <w:szCs w:val="24"/>
              </w:rPr>
            </w:pPr>
            <w:r w:rsidRPr="0050378C">
              <w:rPr>
                <w:rFonts w:ascii="Times New Roman" w:hAnsi="Times New Roman" w:cs="Times New Roman"/>
                <w:sz w:val="24"/>
                <w:szCs w:val="24"/>
              </w:rPr>
              <w:t xml:space="preserve">Strengthened presence in key geographical areas, </w:t>
            </w:r>
            <w:r w:rsidR="00091741">
              <w:rPr>
                <w:rFonts w:ascii="Times New Roman" w:hAnsi="Times New Roman" w:cs="Times New Roman"/>
                <w:sz w:val="24"/>
                <w:szCs w:val="24"/>
              </w:rPr>
              <w:t>optimised</w:t>
            </w:r>
            <w:r w:rsidRPr="0050378C">
              <w:rPr>
                <w:rFonts w:ascii="Times New Roman" w:hAnsi="Times New Roman" w:cs="Times New Roman"/>
                <w:sz w:val="24"/>
                <w:szCs w:val="24"/>
              </w:rPr>
              <w:t xml:space="preserve"> store portfolio</w:t>
            </w:r>
          </w:p>
        </w:tc>
      </w:tr>
      <w:tr w:rsidR="0050378C" w:rsidRPr="0050378C" w14:paraId="61F38220" w14:textId="77777777" w:rsidTr="0050378C">
        <w:tc>
          <w:tcPr>
            <w:tcW w:w="0" w:type="auto"/>
            <w:hideMark/>
          </w:tcPr>
          <w:p w14:paraId="5125E2A1" w14:textId="77777777" w:rsidR="0050378C" w:rsidRPr="0050378C" w:rsidRDefault="0050378C" w:rsidP="0050378C">
            <w:pPr>
              <w:spacing w:after="200" w:line="360" w:lineRule="auto"/>
              <w:jc w:val="center"/>
              <w:rPr>
                <w:rFonts w:ascii="Times New Roman" w:hAnsi="Times New Roman" w:cs="Times New Roman"/>
                <w:sz w:val="24"/>
                <w:szCs w:val="24"/>
              </w:rPr>
            </w:pPr>
            <w:r w:rsidRPr="0050378C">
              <w:rPr>
                <w:rFonts w:ascii="Times New Roman" w:hAnsi="Times New Roman" w:cs="Times New Roman"/>
                <w:sz w:val="24"/>
                <w:szCs w:val="24"/>
              </w:rPr>
              <w:t>2020</w:t>
            </w:r>
          </w:p>
        </w:tc>
        <w:tc>
          <w:tcPr>
            <w:tcW w:w="0" w:type="auto"/>
            <w:hideMark/>
          </w:tcPr>
          <w:p w14:paraId="35742C4E" w14:textId="77777777" w:rsidR="0050378C" w:rsidRPr="0050378C" w:rsidRDefault="0050378C" w:rsidP="0050378C">
            <w:pPr>
              <w:spacing w:after="200" w:line="360" w:lineRule="auto"/>
              <w:jc w:val="center"/>
              <w:rPr>
                <w:rFonts w:ascii="Times New Roman" w:hAnsi="Times New Roman" w:cs="Times New Roman"/>
                <w:sz w:val="24"/>
                <w:szCs w:val="24"/>
              </w:rPr>
            </w:pPr>
            <w:r w:rsidRPr="0050378C">
              <w:rPr>
                <w:rFonts w:ascii="Times New Roman" w:hAnsi="Times New Roman" w:cs="Times New Roman"/>
                <w:sz w:val="24"/>
                <w:szCs w:val="24"/>
              </w:rPr>
              <w:t>Digital infrastructure and logistics enhancement</w:t>
            </w:r>
          </w:p>
        </w:tc>
        <w:tc>
          <w:tcPr>
            <w:tcW w:w="0" w:type="auto"/>
            <w:hideMark/>
          </w:tcPr>
          <w:p w14:paraId="44D482CE" w14:textId="77777777" w:rsidR="0050378C" w:rsidRPr="0050378C" w:rsidRDefault="0050378C" w:rsidP="0050378C">
            <w:pPr>
              <w:spacing w:after="200" w:line="360" w:lineRule="auto"/>
              <w:jc w:val="center"/>
              <w:rPr>
                <w:rFonts w:ascii="Times New Roman" w:hAnsi="Times New Roman" w:cs="Times New Roman"/>
                <w:sz w:val="24"/>
                <w:szCs w:val="24"/>
              </w:rPr>
            </w:pPr>
            <w:r w:rsidRPr="0050378C">
              <w:rPr>
                <w:rFonts w:ascii="Times New Roman" w:hAnsi="Times New Roman" w:cs="Times New Roman"/>
                <w:sz w:val="24"/>
                <w:szCs w:val="24"/>
              </w:rPr>
              <w:t>100</w:t>
            </w:r>
          </w:p>
        </w:tc>
        <w:tc>
          <w:tcPr>
            <w:tcW w:w="0" w:type="auto"/>
            <w:hideMark/>
          </w:tcPr>
          <w:p w14:paraId="27AAE3D7" w14:textId="16E1EC91" w:rsidR="0050378C" w:rsidRPr="0050378C" w:rsidRDefault="0050378C" w:rsidP="0050378C">
            <w:pPr>
              <w:spacing w:after="200" w:line="360" w:lineRule="auto"/>
              <w:jc w:val="center"/>
              <w:rPr>
                <w:rFonts w:ascii="Times New Roman" w:hAnsi="Times New Roman" w:cs="Times New Roman"/>
                <w:sz w:val="24"/>
                <w:szCs w:val="24"/>
              </w:rPr>
            </w:pPr>
            <w:r w:rsidRPr="0050378C">
              <w:rPr>
                <w:rFonts w:ascii="Times New Roman" w:hAnsi="Times New Roman" w:cs="Times New Roman"/>
                <w:sz w:val="24"/>
                <w:szCs w:val="24"/>
              </w:rPr>
              <w:t xml:space="preserve">Enhanced digital capabilities, supported </w:t>
            </w:r>
            <w:r w:rsidR="000D35B7">
              <w:rPr>
                <w:rFonts w:ascii="Times New Roman" w:hAnsi="Times New Roman" w:cs="Times New Roman"/>
                <w:sz w:val="24"/>
                <w:szCs w:val="24"/>
              </w:rPr>
              <w:t xml:space="preserve">the </w:t>
            </w:r>
            <w:r w:rsidRPr="0050378C">
              <w:rPr>
                <w:rFonts w:ascii="Times New Roman" w:hAnsi="Times New Roman" w:cs="Times New Roman"/>
                <w:sz w:val="24"/>
                <w:szCs w:val="24"/>
              </w:rPr>
              <w:t>surge in online sales</w:t>
            </w:r>
          </w:p>
        </w:tc>
      </w:tr>
      <w:tr w:rsidR="0050378C" w:rsidRPr="0050378C" w14:paraId="2E85AC8F" w14:textId="77777777" w:rsidTr="0050378C">
        <w:tc>
          <w:tcPr>
            <w:tcW w:w="0" w:type="auto"/>
            <w:hideMark/>
          </w:tcPr>
          <w:p w14:paraId="55D3E95B" w14:textId="77777777" w:rsidR="0050378C" w:rsidRPr="0050378C" w:rsidRDefault="0050378C" w:rsidP="0050378C">
            <w:pPr>
              <w:spacing w:after="200" w:line="360" w:lineRule="auto"/>
              <w:jc w:val="center"/>
              <w:rPr>
                <w:rFonts w:ascii="Times New Roman" w:hAnsi="Times New Roman" w:cs="Times New Roman"/>
                <w:sz w:val="24"/>
                <w:szCs w:val="24"/>
              </w:rPr>
            </w:pPr>
            <w:r w:rsidRPr="0050378C">
              <w:rPr>
                <w:rFonts w:ascii="Times New Roman" w:hAnsi="Times New Roman" w:cs="Times New Roman"/>
                <w:sz w:val="24"/>
                <w:szCs w:val="24"/>
              </w:rPr>
              <w:t>2021</w:t>
            </w:r>
          </w:p>
        </w:tc>
        <w:tc>
          <w:tcPr>
            <w:tcW w:w="0" w:type="auto"/>
            <w:hideMark/>
          </w:tcPr>
          <w:p w14:paraId="3DAC18D5" w14:textId="384189A0" w:rsidR="0050378C" w:rsidRPr="0050378C" w:rsidRDefault="0050378C" w:rsidP="0050378C">
            <w:pPr>
              <w:spacing w:after="200" w:line="360" w:lineRule="auto"/>
              <w:jc w:val="center"/>
              <w:rPr>
                <w:rFonts w:ascii="Times New Roman" w:hAnsi="Times New Roman" w:cs="Times New Roman"/>
                <w:sz w:val="24"/>
                <w:szCs w:val="24"/>
              </w:rPr>
            </w:pPr>
            <w:r w:rsidRPr="0050378C">
              <w:rPr>
                <w:rFonts w:ascii="Times New Roman" w:hAnsi="Times New Roman" w:cs="Times New Roman"/>
                <w:sz w:val="24"/>
                <w:szCs w:val="24"/>
              </w:rPr>
              <w:t xml:space="preserve">New distribution </w:t>
            </w:r>
            <w:r w:rsidR="00091741">
              <w:rPr>
                <w:rFonts w:ascii="Times New Roman" w:hAnsi="Times New Roman" w:cs="Times New Roman"/>
                <w:sz w:val="24"/>
                <w:szCs w:val="24"/>
              </w:rPr>
              <w:t>centre</w:t>
            </w:r>
            <w:r w:rsidRPr="0050378C">
              <w:rPr>
                <w:rFonts w:ascii="Times New Roman" w:hAnsi="Times New Roman" w:cs="Times New Roman"/>
                <w:sz w:val="24"/>
                <w:szCs w:val="24"/>
              </w:rPr>
              <w:t xml:space="preserve"> in Enfield</w:t>
            </w:r>
          </w:p>
        </w:tc>
        <w:tc>
          <w:tcPr>
            <w:tcW w:w="0" w:type="auto"/>
            <w:hideMark/>
          </w:tcPr>
          <w:p w14:paraId="0E4175E1" w14:textId="77777777" w:rsidR="0050378C" w:rsidRPr="0050378C" w:rsidRDefault="0050378C" w:rsidP="0050378C">
            <w:pPr>
              <w:spacing w:after="200" w:line="360" w:lineRule="auto"/>
              <w:jc w:val="center"/>
              <w:rPr>
                <w:rFonts w:ascii="Times New Roman" w:hAnsi="Times New Roman" w:cs="Times New Roman"/>
                <w:sz w:val="24"/>
                <w:szCs w:val="24"/>
              </w:rPr>
            </w:pPr>
            <w:r w:rsidRPr="0050378C">
              <w:rPr>
                <w:rFonts w:ascii="Times New Roman" w:hAnsi="Times New Roman" w:cs="Times New Roman"/>
                <w:sz w:val="24"/>
                <w:szCs w:val="24"/>
              </w:rPr>
              <w:t>50</w:t>
            </w:r>
          </w:p>
        </w:tc>
        <w:tc>
          <w:tcPr>
            <w:tcW w:w="0" w:type="auto"/>
            <w:hideMark/>
          </w:tcPr>
          <w:p w14:paraId="0053EBB2" w14:textId="77777777" w:rsidR="0050378C" w:rsidRPr="0050378C" w:rsidRDefault="0050378C" w:rsidP="0050378C">
            <w:pPr>
              <w:spacing w:after="200" w:line="360" w:lineRule="auto"/>
              <w:jc w:val="center"/>
              <w:rPr>
                <w:rFonts w:ascii="Times New Roman" w:hAnsi="Times New Roman" w:cs="Times New Roman"/>
                <w:sz w:val="24"/>
                <w:szCs w:val="24"/>
              </w:rPr>
            </w:pPr>
            <w:r w:rsidRPr="0050378C">
              <w:rPr>
                <w:rFonts w:ascii="Times New Roman" w:hAnsi="Times New Roman" w:cs="Times New Roman"/>
                <w:sz w:val="24"/>
                <w:szCs w:val="24"/>
              </w:rPr>
              <w:t>Improved supply chain efficiency, reduced delivery times</w:t>
            </w:r>
          </w:p>
        </w:tc>
      </w:tr>
    </w:tbl>
    <w:p w14:paraId="561028C4" w14:textId="0069D03B" w:rsidR="004C78AD" w:rsidRPr="004C78AD" w:rsidRDefault="004C78AD" w:rsidP="004C78AD">
      <w:pPr>
        <w:spacing w:line="360" w:lineRule="auto"/>
        <w:jc w:val="both"/>
        <w:rPr>
          <w:rFonts w:ascii="Times New Roman" w:hAnsi="Times New Roman" w:cs="Times New Roman"/>
          <w:sz w:val="24"/>
          <w:szCs w:val="24"/>
        </w:rPr>
      </w:pPr>
    </w:p>
    <w:p w14:paraId="44F8C131" w14:textId="7C81C23C" w:rsidR="004C78AD" w:rsidRPr="004C78AD" w:rsidRDefault="004C78AD" w:rsidP="004C78AD">
      <w:pPr>
        <w:spacing w:line="360" w:lineRule="auto"/>
        <w:jc w:val="both"/>
        <w:rPr>
          <w:rFonts w:ascii="Times New Roman" w:hAnsi="Times New Roman" w:cs="Times New Roman"/>
          <w:sz w:val="24"/>
          <w:szCs w:val="24"/>
        </w:rPr>
      </w:pPr>
      <w:r w:rsidRPr="004C78AD">
        <w:rPr>
          <w:rFonts w:ascii="Times New Roman" w:hAnsi="Times New Roman" w:cs="Times New Roman"/>
          <w:b/>
          <w:bCs/>
          <w:sz w:val="24"/>
          <w:szCs w:val="24"/>
        </w:rPr>
        <w:t>Capital Expenditures and Projects</w:t>
      </w:r>
    </w:p>
    <w:p w14:paraId="68823DF3" w14:textId="50157D23" w:rsidR="00605839" w:rsidRPr="00605839"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Over the past five years, Waitrose has invested a lot of capital </w:t>
      </w:r>
      <w:r w:rsidR="00091741">
        <w:rPr>
          <w:rFonts w:ascii="Times New Roman" w:hAnsi="Times New Roman" w:cs="Times New Roman"/>
          <w:sz w:val="24"/>
          <w:szCs w:val="24"/>
        </w:rPr>
        <w:t>in</w:t>
      </w:r>
      <w:r w:rsidRPr="00605839">
        <w:rPr>
          <w:rFonts w:ascii="Times New Roman" w:hAnsi="Times New Roman" w:cs="Times New Roman"/>
          <w:sz w:val="24"/>
          <w:szCs w:val="24"/>
        </w:rPr>
        <w:t xml:space="preserve"> the following strategic </w:t>
      </w:r>
      <w:r w:rsidR="00091741">
        <w:rPr>
          <w:rFonts w:ascii="Times New Roman" w:hAnsi="Times New Roman" w:cs="Times New Roman"/>
          <w:sz w:val="24"/>
          <w:szCs w:val="24"/>
        </w:rPr>
        <w:t>critical</w:t>
      </w:r>
      <w:r w:rsidRPr="00605839">
        <w:rPr>
          <w:rFonts w:ascii="Times New Roman" w:hAnsi="Times New Roman" w:cs="Times New Roman"/>
          <w:sz w:val="24"/>
          <w:szCs w:val="24"/>
        </w:rPr>
        <w:t xml:space="preserve"> projects </w:t>
      </w:r>
      <w:r w:rsidR="00091741">
        <w:rPr>
          <w:rFonts w:ascii="Times New Roman" w:hAnsi="Times New Roman" w:cs="Times New Roman"/>
          <w:sz w:val="24"/>
          <w:szCs w:val="24"/>
        </w:rPr>
        <w:t>for</w:t>
      </w:r>
      <w:r w:rsidRPr="00605839">
        <w:rPr>
          <w:rFonts w:ascii="Times New Roman" w:hAnsi="Times New Roman" w:cs="Times New Roman"/>
          <w:sz w:val="24"/>
          <w:szCs w:val="24"/>
        </w:rPr>
        <w:t xml:space="preserve"> the future growth of the business. One of the bigger investment programmes was the improvement of the stores, including renovations to customer areas. From 2019 to 2021, Waitrose planned to invest £150 million </w:t>
      </w:r>
      <w:r w:rsidR="00091741">
        <w:rPr>
          <w:rFonts w:ascii="Times New Roman" w:hAnsi="Times New Roman" w:cs="Times New Roman"/>
          <w:sz w:val="24"/>
          <w:szCs w:val="24"/>
        </w:rPr>
        <w:t xml:space="preserve">in refurbishing its stores, particularly in the new designs that </w:t>
      </w:r>
      <w:r w:rsidRPr="00605839">
        <w:rPr>
          <w:rFonts w:ascii="Times New Roman" w:hAnsi="Times New Roman" w:cs="Times New Roman"/>
          <w:sz w:val="24"/>
          <w:szCs w:val="24"/>
        </w:rPr>
        <w:t xml:space="preserve">enhance the facilities and introduce new technology to serve the customers better. Many of these </w:t>
      </w:r>
      <w:r w:rsidRPr="00605839">
        <w:rPr>
          <w:rFonts w:ascii="Times New Roman" w:hAnsi="Times New Roman" w:cs="Times New Roman"/>
          <w:sz w:val="24"/>
          <w:szCs w:val="24"/>
        </w:rPr>
        <w:lastRenderedPageBreak/>
        <w:t xml:space="preserve">refurbishments have added </w:t>
      </w:r>
      <w:r w:rsidR="00091741">
        <w:rPr>
          <w:rFonts w:ascii="Times New Roman" w:hAnsi="Times New Roman" w:cs="Times New Roman"/>
          <w:sz w:val="24"/>
          <w:szCs w:val="24"/>
        </w:rPr>
        <w:t>to the visual appeal of the stores, but they have also added to</w:t>
      </w:r>
      <w:r w:rsidRPr="00605839">
        <w:rPr>
          <w:rFonts w:ascii="Times New Roman" w:hAnsi="Times New Roman" w:cs="Times New Roman"/>
          <w:sz w:val="24"/>
          <w:szCs w:val="24"/>
        </w:rPr>
        <w:t xml:space="preserve"> functionality and customer satisfaction.</w:t>
      </w:r>
    </w:p>
    <w:p w14:paraId="678F7701" w14:textId="7A0FB9AB" w:rsidR="00605839" w:rsidRPr="00605839"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The other important one was the direct investment into creating sustainable energy. In 2020</w:t>
      </w:r>
      <w:r w:rsidR="00091741">
        <w:rPr>
          <w:rFonts w:ascii="Times New Roman" w:hAnsi="Times New Roman" w:cs="Times New Roman"/>
          <w:sz w:val="24"/>
          <w:szCs w:val="24"/>
        </w:rPr>
        <w:t>, Waitrose spent £75 million to put solar panels and energy-saving</w:t>
      </w:r>
      <w:r w:rsidRPr="00605839">
        <w:rPr>
          <w:rFonts w:ascii="Times New Roman" w:hAnsi="Times New Roman" w:cs="Times New Roman"/>
          <w:sz w:val="24"/>
          <w:szCs w:val="24"/>
        </w:rPr>
        <w:t xml:space="preserve"> lighting in the stores and depots (Suamir, Wirajati, and Santosa, 2019). The above investment is projected to yield a 20% annual savings in energy consumption and meet the </w:t>
      </w:r>
      <w:r w:rsidR="00091741">
        <w:rPr>
          <w:rFonts w:ascii="Times New Roman" w:hAnsi="Times New Roman" w:cs="Times New Roman"/>
          <w:sz w:val="24"/>
          <w:szCs w:val="24"/>
        </w:rPr>
        <w:t>organisation’s</w:t>
      </w:r>
      <w:r w:rsidRPr="00605839">
        <w:rPr>
          <w:rFonts w:ascii="Times New Roman" w:hAnsi="Times New Roman" w:cs="Times New Roman"/>
          <w:sz w:val="24"/>
          <w:szCs w:val="24"/>
        </w:rPr>
        <w:t xml:space="preserve"> sustainable development objectives. Thus, the long-term benefits of investing in vertical integration consist </w:t>
      </w:r>
      <w:r w:rsidR="00091741">
        <w:rPr>
          <w:rFonts w:ascii="Times New Roman" w:hAnsi="Times New Roman" w:cs="Times New Roman"/>
          <w:sz w:val="24"/>
          <w:szCs w:val="24"/>
        </w:rPr>
        <w:t>of cost-savings and improving the company’s image as</w:t>
      </w:r>
      <w:r w:rsidRPr="00605839">
        <w:rPr>
          <w:rFonts w:ascii="Times New Roman" w:hAnsi="Times New Roman" w:cs="Times New Roman"/>
          <w:sz w:val="24"/>
          <w:szCs w:val="24"/>
        </w:rPr>
        <w:t xml:space="preserve"> a market leader in terms of sustainability.</w:t>
      </w:r>
    </w:p>
    <w:p w14:paraId="05D55881" w14:textId="7C07090A" w:rsidR="00605839" w:rsidRPr="00605839"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Waitrose has also engaged significantly in </w:t>
      </w:r>
      <w:r w:rsidR="00091741">
        <w:rPr>
          <w:rFonts w:ascii="Times New Roman" w:hAnsi="Times New Roman" w:cs="Times New Roman"/>
          <w:sz w:val="24"/>
          <w:szCs w:val="24"/>
        </w:rPr>
        <w:t xml:space="preserve">the </w:t>
      </w:r>
      <w:r w:rsidRPr="00605839">
        <w:rPr>
          <w:rFonts w:ascii="Times New Roman" w:hAnsi="Times New Roman" w:cs="Times New Roman"/>
          <w:sz w:val="24"/>
          <w:szCs w:val="24"/>
        </w:rPr>
        <w:t xml:space="preserve">procurement of appropriate supply chain technology. In 2021, it adopted </w:t>
      </w:r>
      <w:r w:rsidR="00091741">
        <w:rPr>
          <w:rFonts w:ascii="Times New Roman" w:hAnsi="Times New Roman" w:cs="Times New Roman"/>
          <w:sz w:val="24"/>
          <w:szCs w:val="24"/>
        </w:rPr>
        <w:t>a</w:t>
      </w:r>
      <w:r w:rsidRPr="00605839">
        <w:rPr>
          <w:rFonts w:ascii="Times New Roman" w:hAnsi="Times New Roman" w:cs="Times New Roman"/>
          <w:sz w:val="24"/>
          <w:szCs w:val="24"/>
        </w:rPr>
        <w:t xml:space="preserve"> new warehouse management system that cost £50 million to implement new and advanced procedures of its functioning that have assisted in decreasing the wastage and increasing the spice’s precision of the inventory (Hajdu, 2024). From this system, best practices in </w:t>
      </w:r>
      <w:r w:rsidR="00091741">
        <w:rPr>
          <w:rFonts w:ascii="Times New Roman" w:hAnsi="Times New Roman" w:cs="Times New Roman"/>
          <w:sz w:val="24"/>
          <w:szCs w:val="24"/>
        </w:rPr>
        <w:t>analytics and artificial intelligence are used to enhance the functions of a warehouse in that it shortens the period taken in order fulfilment and, at the same,</w:t>
      </w:r>
      <w:r w:rsidRPr="00605839">
        <w:rPr>
          <w:rFonts w:ascii="Times New Roman" w:hAnsi="Times New Roman" w:cs="Times New Roman"/>
          <w:sz w:val="24"/>
          <w:szCs w:val="24"/>
        </w:rPr>
        <w:t xml:space="preserve"> reduces costs.</w:t>
      </w:r>
    </w:p>
    <w:p w14:paraId="4137046B" w14:textId="244036D1" w:rsidR="004C78AD" w:rsidRPr="004C78AD"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These capital projects are </w:t>
      </w:r>
      <w:r w:rsidR="00091741">
        <w:rPr>
          <w:rFonts w:ascii="Times New Roman" w:hAnsi="Times New Roman" w:cs="Times New Roman"/>
          <w:sz w:val="24"/>
          <w:szCs w:val="24"/>
        </w:rPr>
        <w:t>essential</w:t>
      </w:r>
      <w:r w:rsidRPr="00605839">
        <w:rPr>
          <w:rFonts w:ascii="Times New Roman" w:hAnsi="Times New Roman" w:cs="Times New Roman"/>
          <w:sz w:val="24"/>
          <w:szCs w:val="24"/>
        </w:rPr>
        <w:t xml:space="preserve"> </w:t>
      </w:r>
      <w:r w:rsidR="00091741">
        <w:rPr>
          <w:rFonts w:ascii="Times New Roman" w:hAnsi="Times New Roman" w:cs="Times New Roman"/>
          <w:sz w:val="24"/>
          <w:szCs w:val="24"/>
        </w:rPr>
        <w:t xml:space="preserve">and </w:t>
      </w:r>
      <w:r w:rsidRPr="00605839">
        <w:rPr>
          <w:rFonts w:ascii="Times New Roman" w:hAnsi="Times New Roman" w:cs="Times New Roman"/>
          <w:sz w:val="24"/>
          <w:szCs w:val="24"/>
        </w:rPr>
        <w:t>significant for Waitrose’s long-term development. The renewals of store locations increase the buyers’ awareness</w:t>
      </w:r>
      <w:r w:rsidR="00091741">
        <w:rPr>
          <w:rFonts w:ascii="Times New Roman" w:hAnsi="Times New Roman" w:cs="Times New Roman"/>
          <w:sz w:val="24"/>
          <w:szCs w:val="24"/>
        </w:rPr>
        <w:t xml:space="preserve">, and more clients are attracted through the store. At the same time, </w:t>
      </w:r>
      <w:r w:rsidRPr="00605839">
        <w:rPr>
          <w:rFonts w:ascii="Times New Roman" w:hAnsi="Times New Roman" w:cs="Times New Roman"/>
          <w:sz w:val="24"/>
          <w:szCs w:val="24"/>
        </w:rPr>
        <w:t xml:space="preserve">the enhancement of proceeds for sustainable energy and chain supply technology makes Organisations run effectively and efficiently (Czinkota et al., 2021). Together, these projects play a part </w:t>
      </w:r>
      <w:r w:rsidR="00091741">
        <w:rPr>
          <w:rFonts w:ascii="Times New Roman" w:hAnsi="Times New Roman" w:cs="Times New Roman"/>
          <w:sz w:val="24"/>
          <w:szCs w:val="24"/>
        </w:rPr>
        <w:t>in creating a better business model resistant to</w:t>
      </w:r>
      <w:r w:rsidRPr="00605839">
        <w:rPr>
          <w:rFonts w:ascii="Times New Roman" w:hAnsi="Times New Roman" w:cs="Times New Roman"/>
          <w:sz w:val="24"/>
          <w:szCs w:val="24"/>
        </w:rPr>
        <w:t xml:space="preserve"> growth in the competitive environment.</w:t>
      </w:r>
    </w:p>
    <w:p w14:paraId="76B14600" w14:textId="6A5AD9DF" w:rsidR="004C78AD" w:rsidRDefault="0050378C" w:rsidP="0050378C">
      <w:pPr>
        <w:spacing w:line="360" w:lineRule="auto"/>
        <w:jc w:val="center"/>
        <w:rPr>
          <w:rFonts w:ascii="Times New Roman" w:hAnsi="Times New Roman" w:cs="Times New Roman"/>
          <w:sz w:val="24"/>
          <w:szCs w:val="24"/>
        </w:rPr>
      </w:pPr>
      <w:r>
        <w:rPr>
          <w:noProof/>
        </w:rPr>
        <w:lastRenderedPageBreak/>
        <w:drawing>
          <wp:inline distT="0" distB="0" distL="0" distR="0" wp14:anchorId="768267C0" wp14:editId="3FBEBBC8">
            <wp:extent cx="4565650" cy="2738902"/>
            <wp:effectExtent l="0" t="0" r="6350" b="4445"/>
            <wp:docPr id="230741049" name="Picture 6"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utput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67524" cy="2740026"/>
                    </a:xfrm>
                    <a:prstGeom prst="rect">
                      <a:avLst/>
                    </a:prstGeom>
                    <a:noFill/>
                    <a:ln>
                      <a:noFill/>
                    </a:ln>
                  </pic:spPr>
                </pic:pic>
              </a:graphicData>
            </a:graphic>
          </wp:inline>
        </w:drawing>
      </w:r>
    </w:p>
    <w:p w14:paraId="73CD3D8F" w14:textId="541F7D2A" w:rsidR="0050378C" w:rsidRPr="004C78AD" w:rsidRDefault="0050378C" w:rsidP="0050378C">
      <w:pPr>
        <w:pStyle w:val="Caption"/>
        <w:jc w:val="center"/>
        <w:rPr>
          <w:rFonts w:ascii="Times New Roman" w:hAnsi="Times New Roman" w:cs="Times New Roman"/>
          <w:sz w:val="24"/>
          <w:szCs w:val="24"/>
        </w:rPr>
      </w:pPr>
      <w:r>
        <w:t xml:space="preserve">Figure </w:t>
      </w:r>
      <w:r w:rsidR="000D35B7">
        <w:rPr>
          <w:noProof/>
        </w:rPr>
        <w:t>6</w:t>
      </w:r>
      <w:r>
        <w:t xml:space="preserve">: </w:t>
      </w:r>
      <w:r w:rsidRPr="004A1790">
        <w:t xml:space="preserve">Capital Expenditures </w:t>
      </w:r>
      <w:proofErr w:type="gramStart"/>
      <w:r w:rsidRPr="004A1790">
        <w:t>And</w:t>
      </w:r>
      <w:proofErr w:type="gramEnd"/>
      <w:r w:rsidRPr="004A1790">
        <w:t xml:space="preserve"> Expected Returns Analysis</w:t>
      </w:r>
      <w:r w:rsidR="006C240D" w:rsidRPr="006C240D">
        <w:t xml:space="preserve"> (Jiang, Kanodia</w:t>
      </w:r>
      <w:r w:rsidR="00BC18C1">
        <w:t>,</w:t>
      </w:r>
      <w:r w:rsidR="006C240D" w:rsidRPr="006C240D">
        <w:t xml:space="preserve"> and Zhang, 2023)</w:t>
      </w:r>
    </w:p>
    <w:p w14:paraId="09D752A2" w14:textId="422EBCBF" w:rsidR="004C78AD" w:rsidRPr="004C78AD" w:rsidRDefault="004C78AD" w:rsidP="004C78AD">
      <w:pPr>
        <w:spacing w:line="360" w:lineRule="auto"/>
        <w:jc w:val="both"/>
        <w:rPr>
          <w:rFonts w:ascii="Times New Roman" w:hAnsi="Times New Roman" w:cs="Times New Roman"/>
          <w:sz w:val="24"/>
          <w:szCs w:val="24"/>
        </w:rPr>
      </w:pPr>
      <w:r w:rsidRPr="004C78AD">
        <w:rPr>
          <w:rFonts w:ascii="Times New Roman" w:hAnsi="Times New Roman" w:cs="Times New Roman"/>
          <w:b/>
          <w:bCs/>
          <w:sz w:val="24"/>
          <w:szCs w:val="24"/>
        </w:rPr>
        <w:t>Innovation and Sustainability Investments</w:t>
      </w:r>
    </w:p>
    <w:p w14:paraId="6CF3E372" w14:textId="7C63EAB8" w:rsidR="00605839" w:rsidRPr="00605839"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Specifically, the company has gone a long way in innovation and sustainability to acknowledge these as crucial factors in the </w:t>
      </w:r>
      <w:r w:rsidR="00091741">
        <w:rPr>
          <w:rFonts w:ascii="Times New Roman" w:hAnsi="Times New Roman" w:cs="Times New Roman"/>
          <w:sz w:val="24"/>
          <w:szCs w:val="24"/>
        </w:rPr>
        <w:t>business’s</w:t>
      </w:r>
      <w:r w:rsidRPr="00605839">
        <w:rPr>
          <w:rFonts w:ascii="Times New Roman" w:hAnsi="Times New Roman" w:cs="Times New Roman"/>
          <w:sz w:val="24"/>
          <w:szCs w:val="24"/>
        </w:rPr>
        <w:t xml:space="preserve"> future. In 2021, £30 million more </w:t>
      </w:r>
      <w:r w:rsidR="00091741">
        <w:rPr>
          <w:rFonts w:ascii="Times New Roman" w:hAnsi="Times New Roman" w:cs="Times New Roman"/>
          <w:sz w:val="24"/>
          <w:szCs w:val="24"/>
        </w:rPr>
        <w:t xml:space="preserve">was spent on progressive sights, such as a new mobile application and artificial intelligence in customer support (Pearson, 2020). These innovations aim to provide a customised shopping experience to the consumer, making online shopping more accessible and more </w:t>
      </w:r>
      <w:r w:rsidRPr="00605839">
        <w:rPr>
          <w:rFonts w:ascii="Times New Roman" w:hAnsi="Times New Roman" w:cs="Times New Roman"/>
          <w:sz w:val="24"/>
          <w:szCs w:val="24"/>
        </w:rPr>
        <w:t>efficient and thus increasing the interaction level with the customer.</w:t>
      </w:r>
    </w:p>
    <w:p w14:paraId="4AEA21E3" w14:textId="0BECC257" w:rsidR="004C78AD" w:rsidRPr="004C78AD"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Sustainability has also been a major consideration in the execution of </w:t>
      </w:r>
      <w:r w:rsidR="00091741">
        <w:rPr>
          <w:rFonts w:ascii="Times New Roman" w:hAnsi="Times New Roman" w:cs="Times New Roman"/>
          <w:sz w:val="24"/>
          <w:szCs w:val="24"/>
        </w:rPr>
        <w:t>this</w:t>
      </w:r>
      <w:r w:rsidRPr="00605839">
        <w:rPr>
          <w:rFonts w:ascii="Times New Roman" w:hAnsi="Times New Roman" w:cs="Times New Roman"/>
          <w:sz w:val="24"/>
          <w:szCs w:val="24"/>
        </w:rPr>
        <w:t xml:space="preserve"> agenda. Thus, Waitrose invested £50 million into proper sustainability projects </w:t>
      </w:r>
      <w:r w:rsidR="00091741">
        <w:rPr>
          <w:rFonts w:ascii="Times New Roman" w:hAnsi="Times New Roman" w:cs="Times New Roman"/>
          <w:sz w:val="24"/>
          <w:szCs w:val="24"/>
        </w:rPr>
        <w:t>covering</w:t>
      </w:r>
      <w:r w:rsidRPr="00605839">
        <w:rPr>
          <w:rFonts w:ascii="Times New Roman" w:hAnsi="Times New Roman" w:cs="Times New Roman"/>
          <w:sz w:val="24"/>
          <w:szCs w:val="24"/>
        </w:rPr>
        <w:t xml:space="preserve"> sustainable packaging and using renewable energy sources (Newborn, 2022). An outstanding example is </w:t>
      </w:r>
      <w:r w:rsidR="00091741">
        <w:rPr>
          <w:rFonts w:ascii="Times New Roman" w:hAnsi="Times New Roman" w:cs="Times New Roman"/>
          <w:sz w:val="24"/>
          <w:szCs w:val="24"/>
        </w:rPr>
        <w:t>launching a new range of packaging materials to consist of fully recyclable materials by 2023, thus cutting down on plastics by 50 per cent</w:t>
      </w:r>
      <w:r w:rsidRPr="00605839">
        <w:rPr>
          <w:rFonts w:ascii="Times New Roman" w:hAnsi="Times New Roman" w:cs="Times New Roman"/>
          <w:sz w:val="24"/>
          <w:szCs w:val="24"/>
        </w:rPr>
        <w:t>. Also, the investment in renewable energy</w:t>
      </w:r>
      <w:r w:rsidR="00091741">
        <w:rPr>
          <w:rFonts w:ascii="Times New Roman" w:hAnsi="Times New Roman" w:cs="Times New Roman"/>
          <w:sz w:val="24"/>
          <w:szCs w:val="24"/>
        </w:rPr>
        <w:t>, like installing solar panels for electricity and improving energy usage systems, ensures</w:t>
      </w:r>
      <w:r w:rsidRPr="00605839">
        <w:rPr>
          <w:rFonts w:ascii="Times New Roman" w:hAnsi="Times New Roman" w:cs="Times New Roman"/>
          <w:sz w:val="24"/>
          <w:szCs w:val="24"/>
        </w:rPr>
        <w:t xml:space="preserve"> Waitrose aims to be a net </w:t>
      </w:r>
      <w:r w:rsidR="00091741">
        <w:rPr>
          <w:rFonts w:ascii="Times New Roman" w:hAnsi="Times New Roman" w:cs="Times New Roman"/>
          <w:sz w:val="24"/>
          <w:szCs w:val="24"/>
        </w:rPr>
        <w:t>zero-carbon</w:t>
      </w:r>
      <w:r w:rsidRPr="00605839">
        <w:rPr>
          <w:rFonts w:ascii="Times New Roman" w:hAnsi="Times New Roman" w:cs="Times New Roman"/>
          <w:sz w:val="24"/>
          <w:szCs w:val="24"/>
        </w:rPr>
        <w:t xml:space="preserve"> business by 2035. All these investments </w:t>
      </w:r>
      <w:r w:rsidR="00091741">
        <w:rPr>
          <w:rFonts w:ascii="Times New Roman" w:hAnsi="Times New Roman" w:cs="Times New Roman"/>
          <w:sz w:val="24"/>
          <w:szCs w:val="24"/>
        </w:rPr>
        <w:t>align</w:t>
      </w:r>
      <w:r w:rsidRPr="00605839">
        <w:rPr>
          <w:rFonts w:ascii="Times New Roman" w:hAnsi="Times New Roman" w:cs="Times New Roman"/>
          <w:sz w:val="24"/>
          <w:szCs w:val="24"/>
        </w:rPr>
        <w:t xml:space="preserve"> with </w:t>
      </w:r>
      <w:r w:rsidR="00091741">
        <w:rPr>
          <w:rFonts w:ascii="Times New Roman" w:hAnsi="Times New Roman" w:cs="Times New Roman"/>
          <w:sz w:val="24"/>
          <w:szCs w:val="24"/>
        </w:rPr>
        <w:t>Waitrose's strategic plan and will enhance</w:t>
      </w:r>
      <w:r w:rsidRPr="00605839">
        <w:rPr>
          <w:rFonts w:ascii="Times New Roman" w:hAnsi="Times New Roman" w:cs="Times New Roman"/>
          <w:sz w:val="24"/>
          <w:szCs w:val="24"/>
        </w:rPr>
        <w:t xml:space="preserve"> the company’s brand reputation as a modern and eco-friendly company (Jones et al., 2017). The long-term benefits involve </w:t>
      </w:r>
      <w:r w:rsidR="00091741">
        <w:rPr>
          <w:rFonts w:ascii="Times New Roman" w:hAnsi="Times New Roman" w:cs="Times New Roman"/>
          <w:sz w:val="24"/>
          <w:szCs w:val="24"/>
        </w:rPr>
        <w:t>cost reduction</w:t>
      </w:r>
      <w:r w:rsidRPr="00605839">
        <w:rPr>
          <w:rFonts w:ascii="Times New Roman" w:hAnsi="Times New Roman" w:cs="Times New Roman"/>
          <w:sz w:val="24"/>
          <w:szCs w:val="24"/>
        </w:rPr>
        <w:t xml:space="preserve"> through energy efficiency, </w:t>
      </w:r>
      <w:r w:rsidR="00091741">
        <w:rPr>
          <w:rFonts w:ascii="Times New Roman" w:hAnsi="Times New Roman" w:cs="Times New Roman"/>
          <w:sz w:val="24"/>
          <w:szCs w:val="24"/>
        </w:rPr>
        <w:t>customer</w:t>
      </w:r>
      <w:r w:rsidRPr="00605839">
        <w:rPr>
          <w:rFonts w:ascii="Times New Roman" w:hAnsi="Times New Roman" w:cs="Times New Roman"/>
          <w:sz w:val="24"/>
          <w:szCs w:val="24"/>
        </w:rPr>
        <w:t xml:space="preserve"> loyalty resulting from sustainability direction, and technological improvement that ensures the firm competes well.</w:t>
      </w:r>
    </w:p>
    <w:p w14:paraId="1322EB91" w14:textId="0C1B8811" w:rsidR="004C78AD" w:rsidRDefault="000D35B7" w:rsidP="000D35B7">
      <w:pPr>
        <w:spacing w:line="360" w:lineRule="auto"/>
        <w:jc w:val="center"/>
        <w:rPr>
          <w:rFonts w:ascii="Times New Roman" w:hAnsi="Times New Roman" w:cs="Times New Roman"/>
          <w:sz w:val="24"/>
          <w:szCs w:val="24"/>
        </w:rPr>
      </w:pPr>
      <w:r>
        <w:rPr>
          <w:noProof/>
        </w:rPr>
        <w:lastRenderedPageBreak/>
        <w:drawing>
          <wp:inline distT="0" distB="0" distL="0" distR="0" wp14:anchorId="2A377F0A" wp14:editId="48F6DFC9">
            <wp:extent cx="4629150" cy="2858599"/>
            <wp:effectExtent l="0" t="0" r="0" b="0"/>
            <wp:docPr id="231309368" name="Picture 7"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utput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38897" cy="2864618"/>
                    </a:xfrm>
                    <a:prstGeom prst="rect">
                      <a:avLst/>
                    </a:prstGeom>
                    <a:noFill/>
                    <a:ln>
                      <a:noFill/>
                    </a:ln>
                  </pic:spPr>
                </pic:pic>
              </a:graphicData>
            </a:graphic>
          </wp:inline>
        </w:drawing>
      </w:r>
    </w:p>
    <w:p w14:paraId="21CD85A0" w14:textId="1A922939" w:rsidR="000D35B7" w:rsidRPr="004C78AD" w:rsidRDefault="000D35B7" w:rsidP="000D35B7">
      <w:pPr>
        <w:pStyle w:val="Caption"/>
        <w:jc w:val="center"/>
        <w:rPr>
          <w:rFonts w:ascii="Times New Roman" w:hAnsi="Times New Roman" w:cs="Times New Roman"/>
          <w:sz w:val="24"/>
          <w:szCs w:val="24"/>
        </w:rPr>
      </w:pPr>
      <w:r>
        <w:t xml:space="preserve">Figure </w:t>
      </w:r>
      <w:r>
        <w:rPr>
          <w:noProof/>
        </w:rPr>
        <w:t>7</w:t>
      </w:r>
      <w:r>
        <w:t xml:space="preserve">: </w:t>
      </w:r>
      <w:r w:rsidRPr="000A7DC6">
        <w:t xml:space="preserve">Innovation And Sustainability Investments </w:t>
      </w:r>
      <w:proofErr w:type="gramStart"/>
      <w:r w:rsidRPr="000A7DC6">
        <w:t>And</w:t>
      </w:r>
      <w:proofErr w:type="gramEnd"/>
      <w:r w:rsidRPr="000A7DC6">
        <w:t xml:space="preserve"> Anticipated Benefits</w:t>
      </w:r>
      <w:r w:rsidR="006C240D" w:rsidRPr="006C240D">
        <w:t xml:space="preserve"> (Ávila, 2017)</w:t>
      </w:r>
    </w:p>
    <w:p w14:paraId="75A7C901" w14:textId="0DB10F54" w:rsidR="004C78AD" w:rsidRPr="004C78AD" w:rsidRDefault="004C78AD" w:rsidP="000D35B7">
      <w:pPr>
        <w:pStyle w:val="Heading2"/>
      </w:pPr>
      <w:bookmarkStart w:id="8" w:name="_Toc172677021"/>
      <w:r w:rsidRPr="004C78AD">
        <w:t>Dividend Pay-outs</w:t>
      </w:r>
      <w:bookmarkEnd w:id="8"/>
    </w:p>
    <w:p w14:paraId="40D71949" w14:textId="0DB095B3" w:rsidR="004C78AD" w:rsidRPr="004C78AD" w:rsidRDefault="004C78AD" w:rsidP="004C78AD">
      <w:pPr>
        <w:spacing w:line="360" w:lineRule="auto"/>
        <w:jc w:val="both"/>
        <w:rPr>
          <w:rFonts w:ascii="Times New Roman" w:hAnsi="Times New Roman" w:cs="Times New Roman"/>
          <w:sz w:val="24"/>
          <w:szCs w:val="24"/>
        </w:rPr>
      </w:pPr>
      <w:r w:rsidRPr="004C78AD">
        <w:rPr>
          <w:rFonts w:ascii="Times New Roman" w:hAnsi="Times New Roman" w:cs="Times New Roman"/>
          <w:b/>
          <w:bCs/>
          <w:sz w:val="24"/>
          <w:szCs w:val="24"/>
        </w:rPr>
        <w:t>Dividend History and Policy</w:t>
      </w:r>
    </w:p>
    <w:p w14:paraId="37F76AF9" w14:textId="17FD831D" w:rsidR="00605839" w:rsidRPr="00605839"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The company has followed a policy of paying dividends regularly to ensure that there are constant returns on investments to the shareholders while at the same time ensuring that there </w:t>
      </w:r>
      <w:r w:rsidR="00DA23BF" w:rsidRPr="00605839">
        <w:rPr>
          <w:rFonts w:ascii="Times New Roman" w:hAnsi="Times New Roman" w:cs="Times New Roman"/>
          <w:sz w:val="24"/>
          <w:szCs w:val="24"/>
        </w:rPr>
        <w:t>are</w:t>
      </w:r>
      <w:r w:rsidRPr="00605839">
        <w:rPr>
          <w:rFonts w:ascii="Times New Roman" w:hAnsi="Times New Roman" w:cs="Times New Roman"/>
          <w:sz w:val="24"/>
          <w:szCs w:val="24"/>
        </w:rPr>
        <w:t xml:space="preserve"> some retained </w:t>
      </w:r>
      <w:r w:rsidR="00DA23BF" w:rsidRPr="00605839">
        <w:rPr>
          <w:rFonts w:ascii="Times New Roman" w:hAnsi="Times New Roman" w:cs="Times New Roman"/>
          <w:sz w:val="24"/>
          <w:szCs w:val="24"/>
        </w:rPr>
        <w:t>earnings</w:t>
      </w:r>
      <w:r w:rsidRPr="00605839">
        <w:rPr>
          <w:rFonts w:ascii="Times New Roman" w:hAnsi="Times New Roman" w:cs="Times New Roman"/>
          <w:sz w:val="24"/>
          <w:szCs w:val="24"/>
        </w:rPr>
        <w:t xml:space="preserve"> that would be useful for future investments. Indeed, it is evident that </w:t>
      </w:r>
      <w:r w:rsidR="00DA23BF" w:rsidRPr="00605839">
        <w:rPr>
          <w:rFonts w:ascii="Times New Roman" w:hAnsi="Times New Roman" w:cs="Times New Roman"/>
          <w:sz w:val="24"/>
          <w:szCs w:val="24"/>
        </w:rPr>
        <w:t>Waitrose’s</w:t>
      </w:r>
      <w:r w:rsidRPr="00605839">
        <w:rPr>
          <w:rFonts w:ascii="Times New Roman" w:hAnsi="Times New Roman" w:cs="Times New Roman"/>
          <w:sz w:val="24"/>
          <w:szCs w:val="24"/>
        </w:rPr>
        <w:t xml:space="preserve"> dividend policy has been on an upward for the last five years, meaning that the company is financially sound and highly committed to its shareholders (Michie, 2021). The average rate for the growth of dividends has been around 4% every year and the highest have been noticed in the last two fiscal years that too since the company exceeded the market expectations on earnings.</w:t>
      </w:r>
    </w:p>
    <w:p w14:paraId="5504C145" w14:textId="2DF8C6FC" w:rsidR="004C78AD" w:rsidRPr="004C78AD"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The management thought process used in determining Waitrose’s dividend policy is anchored in the need to do what is necessary to retain current investors</w:t>
      </w:r>
      <w:r w:rsidR="001E19EB">
        <w:rPr>
          <w:rFonts w:ascii="Times New Roman" w:hAnsi="Times New Roman" w:cs="Times New Roman"/>
          <w:sz w:val="24"/>
          <w:szCs w:val="24"/>
        </w:rPr>
        <w:t xml:space="preserve"> and, at the same time, get new investors on board</w:t>
      </w:r>
      <w:r w:rsidRPr="00605839">
        <w:rPr>
          <w:rFonts w:ascii="Times New Roman" w:hAnsi="Times New Roman" w:cs="Times New Roman"/>
          <w:sz w:val="24"/>
          <w:szCs w:val="24"/>
        </w:rPr>
        <w:t>. A feature of the company’s policy is a combination of the principle of sound generation and the amount of funds paid in the form of dividends meaningful in earnings growth (Verga Matos, Barros, Miranda Sarmento, 2020). During the good years</w:t>
      </w:r>
      <w:r w:rsidR="001E19EB">
        <w:rPr>
          <w:rFonts w:ascii="Times New Roman" w:hAnsi="Times New Roman" w:cs="Times New Roman"/>
          <w:sz w:val="24"/>
          <w:szCs w:val="24"/>
        </w:rPr>
        <w:t>, specifically in 2020, Waitrose gave special dividends to its shareholders because it experienced excellent cash flow and profitability during the COVID-19</w:t>
      </w:r>
      <w:r w:rsidRPr="00605839">
        <w:rPr>
          <w:rFonts w:ascii="Times New Roman" w:hAnsi="Times New Roman" w:cs="Times New Roman"/>
          <w:sz w:val="24"/>
          <w:szCs w:val="24"/>
        </w:rPr>
        <w:t xml:space="preserve"> pandemic (Waitrose names Emma Isaac as new head of brand marketing, 2021). On the other hand, dividends have been regulated during the years of low </w:t>
      </w:r>
      <w:r w:rsidRPr="00605839">
        <w:rPr>
          <w:rFonts w:ascii="Times New Roman" w:hAnsi="Times New Roman" w:cs="Times New Roman"/>
          <w:sz w:val="24"/>
          <w:szCs w:val="24"/>
        </w:rPr>
        <w:lastRenderedPageBreak/>
        <w:t xml:space="preserve">earnings so that financial stability is not </w:t>
      </w:r>
      <w:r w:rsidR="001E19EB">
        <w:rPr>
          <w:rFonts w:ascii="Times New Roman" w:hAnsi="Times New Roman" w:cs="Times New Roman"/>
          <w:sz w:val="24"/>
          <w:szCs w:val="24"/>
        </w:rPr>
        <w:t>threatened</w:t>
      </w:r>
      <w:r w:rsidRPr="00605839">
        <w:rPr>
          <w:rFonts w:ascii="Times New Roman" w:hAnsi="Times New Roman" w:cs="Times New Roman"/>
          <w:sz w:val="24"/>
          <w:szCs w:val="24"/>
        </w:rPr>
        <w:t>, while reinvestment in growth projects is not cut.</w:t>
      </w:r>
    </w:p>
    <w:p w14:paraId="327755D9" w14:textId="7059E827" w:rsidR="004C78AD" w:rsidRDefault="000D35B7" w:rsidP="000D35B7">
      <w:pPr>
        <w:spacing w:line="360" w:lineRule="auto"/>
        <w:jc w:val="center"/>
        <w:rPr>
          <w:rFonts w:ascii="Times New Roman" w:hAnsi="Times New Roman" w:cs="Times New Roman"/>
          <w:sz w:val="24"/>
          <w:szCs w:val="24"/>
        </w:rPr>
      </w:pPr>
      <w:r>
        <w:rPr>
          <w:noProof/>
        </w:rPr>
        <w:drawing>
          <wp:inline distT="0" distB="0" distL="0" distR="0" wp14:anchorId="0DF31AD5" wp14:editId="1543112E">
            <wp:extent cx="4019550" cy="2609272"/>
            <wp:effectExtent l="0" t="0" r="0" b="635"/>
            <wp:docPr id="1895449265" name="Picture 8"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utput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29830" cy="2615945"/>
                    </a:xfrm>
                    <a:prstGeom prst="rect">
                      <a:avLst/>
                    </a:prstGeom>
                    <a:noFill/>
                    <a:ln>
                      <a:noFill/>
                    </a:ln>
                  </pic:spPr>
                </pic:pic>
              </a:graphicData>
            </a:graphic>
          </wp:inline>
        </w:drawing>
      </w:r>
    </w:p>
    <w:p w14:paraId="6213250B" w14:textId="55CA1918" w:rsidR="000D35B7" w:rsidRPr="004C78AD" w:rsidRDefault="000D35B7" w:rsidP="000D35B7">
      <w:pPr>
        <w:pStyle w:val="Caption"/>
        <w:jc w:val="center"/>
        <w:rPr>
          <w:rFonts w:ascii="Times New Roman" w:hAnsi="Times New Roman" w:cs="Times New Roman"/>
          <w:sz w:val="24"/>
          <w:szCs w:val="24"/>
        </w:rPr>
      </w:pPr>
      <w:r>
        <w:t xml:space="preserve">Figure </w:t>
      </w:r>
      <w:r>
        <w:rPr>
          <w:noProof/>
        </w:rPr>
        <w:t>8</w:t>
      </w:r>
      <w:r>
        <w:t xml:space="preserve">: </w:t>
      </w:r>
      <w:r w:rsidRPr="004177F7">
        <w:t>Waitrose Dividend History (2017-2021)</w:t>
      </w:r>
      <w:r w:rsidR="0028678B" w:rsidRPr="0028678B">
        <w:t xml:space="preserve"> (Wood, 2023)</w:t>
      </w:r>
    </w:p>
    <w:p w14:paraId="2725413F" w14:textId="5CA37061" w:rsidR="004C78AD" w:rsidRPr="004C78AD" w:rsidRDefault="004C78AD" w:rsidP="004C78AD">
      <w:pPr>
        <w:spacing w:line="360" w:lineRule="auto"/>
        <w:jc w:val="both"/>
        <w:rPr>
          <w:rFonts w:ascii="Times New Roman" w:hAnsi="Times New Roman" w:cs="Times New Roman"/>
          <w:sz w:val="24"/>
          <w:szCs w:val="24"/>
        </w:rPr>
      </w:pPr>
      <w:r w:rsidRPr="004C78AD">
        <w:rPr>
          <w:rFonts w:ascii="Times New Roman" w:hAnsi="Times New Roman" w:cs="Times New Roman"/>
          <w:b/>
          <w:bCs/>
          <w:sz w:val="24"/>
          <w:szCs w:val="24"/>
        </w:rPr>
        <w:t>Factors Influencing Dividend Decisions</w:t>
      </w:r>
    </w:p>
    <w:p w14:paraId="7A826395" w14:textId="5793FEE8" w:rsidR="00605839" w:rsidRPr="00605839"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Several factors determine </w:t>
      </w:r>
      <w:r w:rsidR="001E19EB">
        <w:rPr>
          <w:rFonts w:ascii="Times New Roman" w:hAnsi="Times New Roman" w:cs="Times New Roman"/>
          <w:sz w:val="24"/>
          <w:szCs w:val="24"/>
        </w:rPr>
        <w:t>Waitrose's Dividend policy: its profitability and cash flow, market conditions, and</w:t>
      </w:r>
      <w:r w:rsidRPr="00605839">
        <w:rPr>
          <w:rFonts w:ascii="Times New Roman" w:hAnsi="Times New Roman" w:cs="Times New Roman"/>
          <w:sz w:val="24"/>
          <w:szCs w:val="24"/>
        </w:rPr>
        <w:t xml:space="preserve"> shareholders’ expectations. First, profitability is a </w:t>
      </w:r>
      <w:r w:rsidR="001E19EB">
        <w:rPr>
          <w:rFonts w:ascii="Times New Roman" w:hAnsi="Times New Roman" w:cs="Times New Roman"/>
          <w:sz w:val="24"/>
          <w:szCs w:val="24"/>
        </w:rPr>
        <w:t>primary</w:t>
      </w:r>
      <w:r w:rsidRPr="00605839">
        <w:rPr>
          <w:rFonts w:ascii="Times New Roman" w:hAnsi="Times New Roman" w:cs="Times New Roman"/>
          <w:sz w:val="24"/>
          <w:szCs w:val="24"/>
        </w:rPr>
        <w:t xml:space="preserve"> consideration because, as a rule, dividends are funded by net income. </w:t>
      </w:r>
      <w:r w:rsidR="001E19EB">
        <w:rPr>
          <w:rFonts w:ascii="Times New Roman" w:hAnsi="Times New Roman" w:cs="Times New Roman"/>
          <w:sz w:val="24"/>
          <w:szCs w:val="24"/>
        </w:rPr>
        <w:t xml:space="preserve">Waitrose’s financial performance </w:t>
      </w:r>
      <w:r w:rsidRPr="00605839">
        <w:rPr>
          <w:rFonts w:ascii="Times New Roman" w:hAnsi="Times New Roman" w:cs="Times New Roman"/>
          <w:sz w:val="24"/>
          <w:szCs w:val="24"/>
        </w:rPr>
        <w:t>has been relatively profitable in the last five years</w:t>
      </w:r>
      <w:r w:rsidR="001E19EB">
        <w:rPr>
          <w:rFonts w:ascii="Times New Roman" w:hAnsi="Times New Roman" w:cs="Times New Roman"/>
          <w:sz w:val="24"/>
          <w:szCs w:val="24"/>
        </w:rPr>
        <w:t>, with net profit margins fluctuating between 2% and 4%, guaranteeing constant dividends to</w:t>
      </w:r>
      <w:r w:rsidRPr="00605839">
        <w:rPr>
          <w:rFonts w:ascii="Times New Roman" w:hAnsi="Times New Roman" w:cs="Times New Roman"/>
          <w:sz w:val="24"/>
          <w:szCs w:val="24"/>
        </w:rPr>
        <w:t xml:space="preserve"> the shareholders (Vicén Sampériz, 2020).</w:t>
      </w:r>
    </w:p>
    <w:p w14:paraId="773355BE" w14:textId="7200C4B0" w:rsidR="00605839" w:rsidRPr="00605839"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Cash flow issues are as important as well. The operational cash flow in </w:t>
      </w:r>
      <w:r w:rsidR="001E19EB">
        <w:rPr>
          <w:rFonts w:ascii="Times New Roman" w:hAnsi="Times New Roman" w:cs="Times New Roman"/>
          <w:sz w:val="24"/>
          <w:szCs w:val="24"/>
        </w:rPr>
        <w:t>the case of Waitrose has been good,</w:t>
      </w:r>
      <w:r w:rsidRPr="00605839">
        <w:rPr>
          <w:rFonts w:ascii="Times New Roman" w:hAnsi="Times New Roman" w:cs="Times New Roman"/>
          <w:sz w:val="24"/>
          <w:szCs w:val="24"/>
        </w:rPr>
        <w:t xml:space="preserve"> and this has been due to proper cost controls and increasing sales. In general, operations cash in 2020 jumped significantly because of increased sales during the pandemic</w:t>
      </w:r>
      <w:r w:rsidR="001E19EB">
        <w:rPr>
          <w:rFonts w:ascii="Times New Roman" w:hAnsi="Times New Roman" w:cs="Times New Roman"/>
          <w:sz w:val="24"/>
          <w:szCs w:val="24"/>
        </w:rPr>
        <w:t>; this, together with solid dividend coverage, the company can afford to invest</w:t>
      </w:r>
      <w:r w:rsidRPr="00605839">
        <w:rPr>
          <w:rFonts w:ascii="Times New Roman" w:hAnsi="Times New Roman" w:cs="Times New Roman"/>
          <w:sz w:val="24"/>
          <w:szCs w:val="24"/>
        </w:rPr>
        <w:t xml:space="preserve"> in new projects (Azzahra, 2024). This is good because it enhances the company’s credit ratings, besides the fact that cash flows from operations dominate the financing of dividends, which promotes financial health.</w:t>
      </w:r>
    </w:p>
    <w:p w14:paraId="076D5BBA" w14:textId="4F872D88" w:rsidR="00605839" w:rsidRPr="00605839"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Market factors also influence </w:t>
      </w:r>
      <w:r w:rsidR="001E19EB">
        <w:rPr>
          <w:rFonts w:ascii="Times New Roman" w:hAnsi="Times New Roman" w:cs="Times New Roman"/>
          <w:sz w:val="24"/>
          <w:szCs w:val="24"/>
        </w:rPr>
        <w:t xml:space="preserve">a firm's dividend policy </w:t>
      </w:r>
      <w:r w:rsidRPr="00605839">
        <w:rPr>
          <w:rFonts w:ascii="Times New Roman" w:hAnsi="Times New Roman" w:cs="Times New Roman"/>
          <w:sz w:val="24"/>
          <w:szCs w:val="24"/>
        </w:rPr>
        <w:t xml:space="preserve">to a certain extent. In the </w:t>
      </w:r>
      <w:r w:rsidR="001E19EB">
        <w:rPr>
          <w:rFonts w:ascii="Times New Roman" w:hAnsi="Times New Roman" w:cs="Times New Roman"/>
          <w:sz w:val="24"/>
          <w:szCs w:val="24"/>
        </w:rPr>
        <w:t>recession or stock fluctuations period</w:t>
      </w:r>
      <w:r w:rsidRPr="00605839">
        <w:rPr>
          <w:rFonts w:ascii="Times New Roman" w:hAnsi="Times New Roman" w:cs="Times New Roman"/>
          <w:sz w:val="24"/>
          <w:szCs w:val="24"/>
        </w:rPr>
        <w:t xml:space="preserve">, </w:t>
      </w:r>
      <w:r w:rsidR="001E19EB">
        <w:rPr>
          <w:rFonts w:ascii="Times New Roman" w:hAnsi="Times New Roman" w:cs="Times New Roman"/>
          <w:sz w:val="24"/>
          <w:szCs w:val="24"/>
        </w:rPr>
        <w:t>conservative policy focuses on the company’s solvency rather than profit maximization</w:t>
      </w:r>
      <w:r w:rsidRPr="00605839">
        <w:rPr>
          <w:rFonts w:ascii="Times New Roman" w:hAnsi="Times New Roman" w:cs="Times New Roman"/>
          <w:sz w:val="24"/>
          <w:szCs w:val="24"/>
        </w:rPr>
        <w:t xml:space="preserve"> and high </w:t>
      </w:r>
      <w:r w:rsidR="001E19EB">
        <w:rPr>
          <w:rFonts w:ascii="Times New Roman" w:hAnsi="Times New Roman" w:cs="Times New Roman"/>
          <w:sz w:val="24"/>
          <w:szCs w:val="24"/>
        </w:rPr>
        <w:t>dividend</w:t>
      </w:r>
      <w:r w:rsidRPr="00605839">
        <w:rPr>
          <w:rFonts w:ascii="Times New Roman" w:hAnsi="Times New Roman" w:cs="Times New Roman"/>
          <w:sz w:val="24"/>
          <w:szCs w:val="24"/>
        </w:rPr>
        <w:t xml:space="preserve"> payment (McManners, 2023). This approach was witnessed at </w:t>
      </w:r>
      <w:r w:rsidRPr="00605839">
        <w:rPr>
          <w:rFonts w:ascii="Times New Roman" w:hAnsi="Times New Roman" w:cs="Times New Roman"/>
          <w:sz w:val="24"/>
          <w:szCs w:val="24"/>
        </w:rPr>
        <w:lastRenderedPageBreak/>
        <w:t xml:space="preserve">the start of 2020 </w:t>
      </w:r>
      <w:r w:rsidR="001E19EB">
        <w:rPr>
          <w:rFonts w:ascii="Times New Roman" w:hAnsi="Times New Roman" w:cs="Times New Roman"/>
          <w:sz w:val="24"/>
          <w:szCs w:val="24"/>
        </w:rPr>
        <w:t>when</w:t>
      </w:r>
      <w:r w:rsidRPr="00605839">
        <w:rPr>
          <w:rFonts w:ascii="Times New Roman" w:hAnsi="Times New Roman" w:cs="Times New Roman"/>
          <w:sz w:val="24"/>
          <w:szCs w:val="24"/>
        </w:rPr>
        <w:t xml:space="preserve"> unsettled information on the pandemic led to </w:t>
      </w:r>
      <w:r w:rsidR="001E19EB">
        <w:rPr>
          <w:rFonts w:ascii="Times New Roman" w:hAnsi="Times New Roman" w:cs="Times New Roman"/>
          <w:sz w:val="24"/>
          <w:szCs w:val="24"/>
        </w:rPr>
        <w:t>suspending</w:t>
      </w:r>
      <w:r w:rsidRPr="00605839">
        <w:rPr>
          <w:rFonts w:ascii="Times New Roman" w:hAnsi="Times New Roman" w:cs="Times New Roman"/>
          <w:sz w:val="24"/>
          <w:szCs w:val="24"/>
        </w:rPr>
        <w:t xml:space="preserve"> a continuous enhancement of the company’s dividend despite sound economic growth.</w:t>
      </w:r>
    </w:p>
    <w:p w14:paraId="090D28F2" w14:textId="51B93EDC" w:rsidR="004C78AD" w:rsidRPr="004C78AD"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Another </w:t>
      </w:r>
      <w:r w:rsidR="001E19EB">
        <w:rPr>
          <w:rFonts w:ascii="Times New Roman" w:hAnsi="Times New Roman" w:cs="Times New Roman"/>
          <w:sz w:val="24"/>
          <w:szCs w:val="24"/>
        </w:rPr>
        <w:t>critical</w:t>
      </w:r>
      <w:r w:rsidRPr="00605839">
        <w:rPr>
          <w:rFonts w:ascii="Times New Roman" w:hAnsi="Times New Roman" w:cs="Times New Roman"/>
          <w:sz w:val="24"/>
          <w:szCs w:val="24"/>
        </w:rPr>
        <w:t xml:space="preserve"> factor is the </w:t>
      </w:r>
      <w:r w:rsidR="001E19EB">
        <w:rPr>
          <w:rFonts w:ascii="Times New Roman" w:hAnsi="Times New Roman" w:cs="Times New Roman"/>
          <w:sz w:val="24"/>
          <w:szCs w:val="24"/>
        </w:rPr>
        <w:t>shareholders' expectations, which are</w:t>
      </w:r>
      <w:r w:rsidRPr="00605839">
        <w:rPr>
          <w:rFonts w:ascii="Times New Roman" w:hAnsi="Times New Roman" w:cs="Times New Roman"/>
          <w:sz w:val="24"/>
          <w:szCs w:val="24"/>
        </w:rPr>
        <w:t xml:space="preserve"> mainly because of the increased desire for shareholders to seek a high return on their investment. Waitrose also has the quest to fulfill different investors’ needs, such as institutional investors targeting stable income and retail investors focusing on capital gains. Thus, </w:t>
      </w:r>
      <w:r w:rsidR="001E19EB">
        <w:rPr>
          <w:rFonts w:ascii="Times New Roman" w:hAnsi="Times New Roman" w:cs="Times New Roman"/>
          <w:sz w:val="24"/>
          <w:szCs w:val="24"/>
        </w:rPr>
        <w:t>a consistent policy ensures investors’ confidence and long-term loyalty, which</w:t>
      </w:r>
      <w:r w:rsidRPr="00605839">
        <w:rPr>
          <w:rFonts w:ascii="Times New Roman" w:hAnsi="Times New Roman" w:cs="Times New Roman"/>
          <w:sz w:val="24"/>
          <w:szCs w:val="24"/>
        </w:rPr>
        <w:t xml:space="preserve"> are critical for sustaining a firm’s share price and market capitalization (O’Higgins, 2017).</w:t>
      </w:r>
    </w:p>
    <w:p w14:paraId="58E89425" w14:textId="5038C5D3" w:rsidR="004C78AD" w:rsidRPr="004C78AD" w:rsidRDefault="004C78AD" w:rsidP="004C78AD">
      <w:pPr>
        <w:spacing w:line="360" w:lineRule="auto"/>
        <w:jc w:val="both"/>
        <w:rPr>
          <w:rFonts w:ascii="Times New Roman" w:hAnsi="Times New Roman" w:cs="Times New Roman"/>
          <w:sz w:val="24"/>
          <w:szCs w:val="24"/>
        </w:rPr>
      </w:pPr>
      <w:r w:rsidRPr="004C78AD">
        <w:rPr>
          <w:rFonts w:ascii="Times New Roman" w:hAnsi="Times New Roman" w:cs="Times New Roman"/>
          <w:b/>
          <w:bCs/>
          <w:sz w:val="24"/>
          <w:szCs w:val="24"/>
        </w:rPr>
        <w:t>Impact of Dividend Decisions on Financial Health</w:t>
      </w:r>
    </w:p>
    <w:p w14:paraId="176F96EE" w14:textId="6077A6AD" w:rsidR="00605839" w:rsidRPr="00605839" w:rsidRDefault="001E19EB" w:rsidP="006058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Waitrose's dividend policies have certain effects on the company’s </w:t>
      </w:r>
      <w:r w:rsidR="00C817BC">
        <w:rPr>
          <w:rFonts w:ascii="Times New Roman" w:hAnsi="Times New Roman" w:cs="Times New Roman"/>
          <w:sz w:val="24"/>
          <w:szCs w:val="24"/>
        </w:rPr>
        <w:t>condition</w:t>
      </w:r>
      <w:r>
        <w:rPr>
          <w:rFonts w:ascii="Times New Roman" w:hAnsi="Times New Roman" w:cs="Times New Roman"/>
          <w:sz w:val="24"/>
          <w:szCs w:val="24"/>
        </w:rPr>
        <w:t>. Earnings from regular dividend remunerations indicate operational solvency and organizational strength, thus boosting investor confidence. This stability can mean a higher-priced</w:t>
      </w:r>
      <w:r w:rsidR="00605839" w:rsidRPr="00605839">
        <w:rPr>
          <w:rFonts w:ascii="Times New Roman" w:hAnsi="Times New Roman" w:cs="Times New Roman"/>
          <w:sz w:val="24"/>
          <w:szCs w:val="24"/>
        </w:rPr>
        <w:t xml:space="preserve"> stock as well as a lower cost of capital because investors are assured of stable income from Waitrose.</w:t>
      </w:r>
    </w:p>
    <w:p w14:paraId="2EFDDEB6" w14:textId="5BDE2226" w:rsidR="00605839" w:rsidRPr="00605839"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Thus, while paying high dividends, a company must consider its ability to invest in available growth prospects. </w:t>
      </w:r>
      <w:r w:rsidR="001E19EB">
        <w:rPr>
          <w:rFonts w:ascii="Times New Roman" w:hAnsi="Times New Roman" w:cs="Times New Roman"/>
          <w:sz w:val="24"/>
          <w:szCs w:val="24"/>
        </w:rPr>
        <w:t>Waitrose has achieved this because of its good balance in issuing dividends and avoiding</w:t>
      </w:r>
      <w:r w:rsidRPr="00605839">
        <w:rPr>
          <w:rFonts w:ascii="Times New Roman" w:hAnsi="Times New Roman" w:cs="Times New Roman"/>
          <w:sz w:val="24"/>
          <w:szCs w:val="24"/>
        </w:rPr>
        <w:t xml:space="preserve"> compromising strategic investments. While declaring the dividends, let it be noted that the company’s financial liquidity </w:t>
      </w:r>
      <w:r w:rsidR="001E19EB">
        <w:rPr>
          <w:rFonts w:ascii="Times New Roman" w:hAnsi="Times New Roman" w:cs="Times New Roman"/>
          <w:sz w:val="24"/>
          <w:szCs w:val="24"/>
        </w:rPr>
        <w:t>ratio, a debt-to-equity ratio, is</w:t>
      </w:r>
      <w:r w:rsidRPr="00605839">
        <w:rPr>
          <w:rFonts w:ascii="Times New Roman" w:hAnsi="Times New Roman" w:cs="Times New Roman"/>
          <w:sz w:val="24"/>
          <w:szCs w:val="24"/>
        </w:rPr>
        <w:t xml:space="preserve"> under control, </w:t>
      </w:r>
      <w:r w:rsidR="001E19EB">
        <w:rPr>
          <w:rFonts w:ascii="Times New Roman" w:hAnsi="Times New Roman" w:cs="Times New Roman"/>
          <w:sz w:val="24"/>
          <w:szCs w:val="24"/>
        </w:rPr>
        <w:t>demonstrating</w:t>
      </w:r>
      <w:r w:rsidRPr="00605839">
        <w:rPr>
          <w:rFonts w:ascii="Times New Roman" w:hAnsi="Times New Roman" w:cs="Times New Roman"/>
          <w:sz w:val="24"/>
          <w:szCs w:val="24"/>
        </w:rPr>
        <w:t xml:space="preserve"> the </w:t>
      </w:r>
      <w:r w:rsidR="001E19EB">
        <w:rPr>
          <w:rFonts w:ascii="Times New Roman" w:hAnsi="Times New Roman" w:cs="Times New Roman"/>
          <w:sz w:val="24"/>
          <w:szCs w:val="24"/>
        </w:rPr>
        <w:t>excellent</w:t>
      </w:r>
      <w:r w:rsidRPr="00605839">
        <w:rPr>
          <w:rFonts w:ascii="Times New Roman" w:hAnsi="Times New Roman" w:cs="Times New Roman"/>
          <w:sz w:val="24"/>
          <w:szCs w:val="24"/>
        </w:rPr>
        <w:t xml:space="preserve"> financial standards maintained by the company.</w:t>
      </w:r>
    </w:p>
    <w:p w14:paraId="773CA0DE" w14:textId="1F51383B" w:rsidR="004C78AD" w:rsidRPr="004C78AD" w:rsidRDefault="00605839" w:rsidP="00605839">
      <w:pPr>
        <w:spacing w:line="360" w:lineRule="auto"/>
        <w:jc w:val="both"/>
        <w:rPr>
          <w:rFonts w:ascii="Times New Roman" w:hAnsi="Times New Roman" w:cs="Times New Roman"/>
          <w:sz w:val="24"/>
          <w:szCs w:val="24"/>
        </w:rPr>
      </w:pPr>
      <w:r w:rsidRPr="00605839">
        <w:rPr>
          <w:rFonts w:ascii="Times New Roman" w:hAnsi="Times New Roman" w:cs="Times New Roman"/>
          <w:sz w:val="24"/>
          <w:szCs w:val="24"/>
        </w:rPr>
        <w:t xml:space="preserve">Still on the relative valuation analysis of Waitrose, looking at Waitrose’s dividend yield, a figure has been in the range of 3-4% more so when compared to its peers such as Tesco or Sainsbury’s (WAITROSE, 2020). </w:t>
      </w:r>
      <w:r w:rsidR="001E19EB">
        <w:rPr>
          <w:rFonts w:ascii="Times New Roman" w:hAnsi="Times New Roman" w:cs="Times New Roman"/>
          <w:sz w:val="24"/>
          <w:szCs w:val="24"/>
        </w:rPr>
        <w:t>In a higher leverage category, Tesco has a slightly lower dividend yield, reflecting</w:t>
      </w:r>
      <w:r w:rsidRPr="00605839">
        <w:rPr>
          <w:rFonts w:ascii="Times New Roman" w:hAnsi="Times New Roman" w:cs="Times New Roman"/>
          <w:sz w:val="24"/>
          <w:szCs w:val="24"/>
        </w:rPr>
        <w:t xml:space="preserve"> that the firm has higher debt expenses to meet. Sainsbury’s has a similar strategy and dividend yield</w:t>
      </w:r>
      <w:r w:rsidR="001E19EB">
        <w:rPr>
          <w:rFonts w:ascii="Times New Roman" w:hAnsi="Times New Roman" w:cs="Times New Roman"/>
          <w:sz w:val="24"/>
          <w:szCs w:val="24"/>
        </w:rPr>
        <w:t>, though it is somewhat lower than Tesco's</w:t>
      </w:r>
      <w:r w:rsidRPr="00605839">
        <w:rPr>
          <w:rFonts w:ascii="Times New Roman" w:hAnsi="Times New Roman" w:cs="Times New Roman"/>
          <w:sz w:val="24"/>
          <w:szCs w:val="24"/>
        </w:rPr>
        <w:t>, and it also targets dividends in relation to reinvestment requirements.</w:t>
      </w:r>
    </w:p>
    <w:p w14:paraId="6BF4544A" w14:textId="494E08B0" w:rsidR="004C78AD" w:rsidRPr="004C78AD" w:rsidRDefault="004C78AD" w:rsidP="004C78AD">
      <w:pPr>
        <w:spacing w:line="360" w:lineRule="auto"/>
        <w:jc w:val="both"/>
        <w:rPr>
          <w:rFonts w:ascii="Times New Roman" w:hAnsi="Times New Roman" w:cs="Times New Roman"/>
          <w:sz w:val="24"/>
          <w:szCs w:val="24"/>
        </w:rPr>
      </w:pPr>
      <w:r w:rsidRPr="004C78AD">
        <w:rPr>
          <w:rFonts w:ascii="Times New Roman" w:hAnsi="Times New Roman" w:cs="Times New Roman"/>
          <w:b/>
          <w:bCs/>
          <w:sz w:val="24"/>
          <w:szCs w:val="24"/>
        </w:rPr>
        <w:t>Future Dividend Prospects</w:t>
      </w:r>
    </w:p>
    <w:p w14:paraId="3C19FAB3" w14:textId="2B0529BC" w:rsidR="004C78AD" w:rsidRDefault="001E19EB" w:rsidP="004C78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future, Waitrose is expected to generate decent dividend yields depending on the company’s performance and </w:t>
      </w:r>
      <w:r w:rsidRPr="001E19EB">
        <w:rPr>
          <w:rFonts w:ascii="Times New Roman" w:hAnsi="Times New Roman" w:cs="Times New Roman"/>
          <w:sz w:val="24"/>
          <w:szCs w:val="24"/>
        </w:rPr>
        <w:t xml:space="preserve">operational strategies. Thus, </w:t>
      </w:r>
      <w:r w:rsidR="00C817BC" w:rsidRPr="001E19EB">
        <w:rPr>
          <w:rFonts w:ascii="Times New Roman" w:hAnsi="Times New Roman" w:cs="Times New Roman"/>
          <w:sz w:val="24"/>
          <w:szCs w:val="24"/>
        </w:rPr>
        <w:t>regarding</w:t>
      </w:r>
      <w:r w:rsidRPr="001E19EB">
        <w:rPr>
          <w:rFonts w:ascii="Times New Roman" w:hAnsi="Times New Roman" w:cs="Times New Roman"/>
          <w:sz w:val="24"/>
          <w:szCs w:val="24"/>
        </w:rPr>
        <w:t xml:space="preserve"> the present tendencies, it is possible to predict further constant annual dividend </w:t>
      </w:r>
      <w:r>
        <w:rPr>
          <w:rFonts w:ascii="Times New Roman" w:hAnsi="Times New Roman" w:cs="Times New Roman"/>
          <w:sz w:val="24"/>
          <w:szCs w:val="24"/>
        </w:rPr>
        <w:t>increases</w:t>
      </w:r>
      <w:r w:rsidRPr="001E19EB">
        <w:rPr>
          <w:rFonts w:ascii="Times New Roman" w:hAnsi="Times New Roman" w:cs="Times New Roman"/>
          <w:sz w:val="24"/>
          <w:szCs w:val="24"/>
        </w:rPr>
        <w:t xml:space="preserve"> within the range of 3-4% in the case of </w:t>
      </w:r>
      <w:r w:rsidRPr="001E19EB">
        <w:rPr>
          <w:rFonts w:ascii="Times New Roman" w:hAnsi="Times New Roman" w:cs="Times New Roman"/>
          <w:sz w:val="24"/>
          <w:szCs w:val="24"/>
        </w:rPr>
        <w:lastRenderedPageBreak/>
        <w:t xml:space="preserve">maintaining the company’s profitability and healthy cash flows. The situations under which changes in the dividend policy are likely to occur include the following: For example, to fund </w:t>
      </w:r>
      <w:r>
        <w:rPr>
          <w:rFonts w:ascii="Times New Roman" w:hAnsi="Times New Roman" w:cs="Times New Roman"/>
          <w:sz w:val="24"/>
          <w:szCs w:val="24"/>
        </w:rPr>
        <w:t>digitalization or sustainability efforts, more resources might be directed there, resulting in a temporary slowdown</w:t>
      </w:r>
      <w:r w:rsidRPr="001E19EB">
        <w:rPr>
          <w:rFonts w:ascii="Times New Roman" w:hAnsi="Times New Roman" w:cs="Times New Roman"/>
          <w:sz w:val="24"/>
          <w:szCs w:val="24"/>
        </w:rPr>
        <w:t xml:space="preserve"> in </w:t>
      </w:r>
      <w:r>
        <w:rPr>
          <w:rFonts w:ascii="Times New Roman" w:hAnsi="Times New Roman" w:cs="Times New Roman"/>
          <w:sz w:val="24"/>
          <w:szCs w:val="24"/>
        </w:rPr>
        <w:t>dividend</w:t>
      </w:r>
      <w:r w:rsidRPr="001E19EB">
        <w:rPr>
          <w:rFonts w:ascii="Times New Roman" w:hAnsi="Times New Roman" w:cs="Times New Roman"/>
          <w:sz w:val="24"/>
          <w:szCs w:val="24"/>
        </w:rPr>
        <w:t xml:space="preserve"> growth (</w:t>
      </w:r>
      <w:r w:rsidR="00C817BC" w:rsidRPr="001E19EB">
        <w:rPr>
          <w:rFonts w:ascii="Times New Roman" w:hAnsi="Times New Roman" w:cs="Times New Roman"/>
          <w:sz w:val="24"/>
          <w:szCs w:val="24"/>
        </w:rPr>
        <w:t>Greiner</w:t>
      </w:r>
      <w:r w:rsidRPr="001E19EB">
        <w:rPr>
          <w:rFonts w:ascii="Times New Roman" w:hAnsi="Times New Roman" w:cs="Times New Roman"/>
          <w:sz w:val="24"/>
          <w:szCs w:val="24"/>
        </w:rPr>
        <w:t xml:space="preserve">, Günther and Walkshäusl, 2022). On the other hand, a stable and consistent increase in </w:t>
      </w:r>
      <w:r>
        <w:rPr>
          <w:rFonts w:ascii="Times New Roman" w:hAnsi="Times New Roman" w:cs="Times New Roman"/>
          <w:sz w:val="24"/>
          <w:szCs w:val="24"/>
        </w:rPr>
        <w:t>revenues and improving operating effectiveness could be accompanied by</w:t>
      </w:r>
      <w:r w:rsidRPr="001E19EB">
        <w:rPr>
          <w:rFonts w:ascii="Times New Roman" w:hAnsi="Times New Roman" w:cs="Times New Roman"/>
          <w:sz w:val="24"/>
          <w:szCs w:val="24"/>
        </w:rPr>
        <w:t xml:space="preserve"> increased or special dividends.</w:t>
      </w:r>
    </w:p>
    <w:p w14:paraId="17E36C86" w14:textId="77777777" w:rsidR="00F45AC2" w:rsidRDefault="00F45AC2" w:rsidP="004C78AD">
      <w:pPr>
        <w:spacing w:line="360" w:lineRule="auto"/>
        <w:jc w:val="both"/>
        <w:rPr>
          <w:rFonts w:ascii="Times New Roman" w:hAnsi="Times New Roman" w:cs="Times New Roman"/>
          <w:sz w:val="24"/>
          <w:szCs w:val="24"/>
        </w:rPr>
      </w:pPr>
    </w:p>
    <w:p w14:paraId="0AC71C23" w14:textId="77777777" w:rsidR="00F45AC2" w:rsidRPr="004C78AD" w:rsidRDefault="00F45AC2" w:rsidP="004C78AD">
      <w:pPr>
        <w:spacing w:line="360" w:lineRule="auto"/>
        <w:jc w:val="both"/>
        <w:rPr>
          <w:rFonts w:ascii="Times New Roman" w:hAnsi="Times New Roman" w:cs="Times New Roman"/>
          <w:sz w:val="24"/>
          <w:szCs w:val="24"/>
        </w:rPr>
      </w:pPr>
    </w:p>
    <w:p w14:paraId="48798C6B" w14:textId="77777777" w:rsidR="004C78AD" w:rsidRDefault="004C78AD" w:rsidP="0075577A">
      <w:pPr>
        <w:spacing w:line="360" w:lineRule="auto"/>
        <w:jc w:val="both"/>
        <w:rPr>
          <w:rFonts w:ascii="Times New Roman" w:hAnsi="Times New Roman" w:cs="Times New Roman"/>
          <w:sz w:val="24"/>
          <w:szCs w:val="24"/>
        </w:rPr>
      </w:pPr>
    </w:p>
    <w:p w14:paraId="4AA73B58" w14:textId="77777777" w:rsidR="00091741" w:rsidRDefault="00091741" w:rsidP="0075577A">
      <w:pPr>
        <w:spacing w:line="360" w:lineRule="auto"/>
        <w:jc w:val="both"/>
        <w:rPr>
          <w:rFonts w:ascii="Times New Roman" w:hAnsi="Times New Roman" w:cs="Times New Roman"/>
          <w:sz w:val="24"/>
          <w:szCs w:val="24"/>
        </w:rPr>
      </w:pPr>
    </w:p>
    <w:p w14:paraId="6AB3A4C8" w14:textId="77777777" w:rsidR="00091741" w:rsidRDefault="00091741" w:rsidP="0075577A">
      <w:pPr>
        <w:spacing w:line="360" w:lineRule="auto"/>
        <w:jc w:val="both"/>
        <w:rPr>
          <w:rFonts w:ascii="Times New Roman" w:hAnsi="Times New Roman" w:cs="Times New Roman"/>
          <w:sz w:val="24"/>
          <w:szCs w:val="24"/>
        </w:rPr>
      </w:pPr>
    </w:p>
    <w:p w14:paraId="41209082" w14:textId="77777777" w:rsidR="00091741" w:rsidRDefault="00091741" w:rsidP="0075577A">
      <w:pPr>
        <w:spacing w:line="360" w:lineRule="auto"/>
        <w:jc w:val="both"/>
        <w:rPr>
          <w:rFonts w:ascii="Times New Roman" w:hAnsi="Times New Roman" w:cs="Times New Roman"/>
          <w:sz w:val="24"/>
          <w:szCs w:val="24"/>
        </w:rPr>
      </w:pPr>
    </w:p>
    <w:p w14:paraId="6CF2FD03" w14:textId="77777777" w:rsidR="00091741" w:rsidRDefault="00091741" w:rsidP="0075577A">
      <w:pPr>
        <w:spacing w:line="360" w:lineRule="auto"/>
        <w:jc w:val="both"/>
        <w:rPr>
          <w:rFonts w:ascii="Times New Roman" w:hAnsi="Times New Roman" w:cs="Times New Roman"/>
          <w:sz w:val="24"/>
          <w:szCs w:val="24"/>
        </w:rPr>
      </w:pPr>
    </w:p>
    <w:p w14:paraId="56DA18EA" w14:textId="77777777" w:rsidR="00091741" w:rsidRDefault="00091741" w:rsidP="0075577A">
      <w:pPr>
        <w:spacing w:line="360" w:lineRule="auto"/>
        <w:jc w:val="both"/>
        <w:rPr>
          <w:rFonts w:ascii="Times New Roman" w:hAnsi="Times New Roman" w:cs="Times New Roman"/>
          <w:sz w:val="24"/>
          <w:szCs w:val="24"/>
        </w:rPr>
      </w:pPr>
    </w:p>
    <w:p w14:paraId="4EA4083E" w14:textId="77777777" w:rsidR="00091741" w:rsidRDefault="00091741" w:rsidP="0075577A">
      <w:pPr>
        <w:spacing w:line="360" w:lineRule="auto"/>
        <w:jc w:val="both"/>
        <w:rPr>
          <w:rFonts w:ascii="Times New Roman" w:hAnsi="Times New Roman" w:cs="Times New Roman"/>
          <w:sz w:val="24"/>
          <w:szCs w:val="24"/>
        </w:rPr>
      </w:pPr>
    </w:p>
    <w:p w14:paraId="078C63F3" w14:textId="77777777" w:rsidR="00091741" w:rsidRDefault="00091741" w:rsidP="0075577A">
      <w:pPr>
        <w:spacing w:line="360" w:lineRule="auto"/>
        <w:jc w:val="both"/>
        <w:rPr>
          <w:rFonts w:ascii="Times New Roman" w:hAnsi="Times New Roman" w:cs="Times New Roman"/>
          <w:sz w:val="24"/>
          <w:szCs w:val="24"/>
        </w:rPr>
      </w:pPr>
    </w:p>
    <w:p w14:paraId="0FDDC65E" w14:textId="77777777" w:rsidR="00091741" w:rsidRDefault="00091741" w:rsidP="0075577A">
      <w:pPr>
        <w:spacing w:line="360" w:lineRule="auto"/>
        <w:jc w:val="both"/>
        <w:rPr>
          <w:rFonts w:ascii="Times New Roman" w:hAnsi="Times New Roman" w:cs="Times New Roman"/>
          <w:sz w:val="24"/>
          <w:szCs w:val="24"/>
        </w:rPr>
      </w:pPr>
    </w:p>
    <w:p w14:paraId="50812F5F" w14:textId="77777777" w:rsidR="00091741" w:rsidRDefault="00091741" w:rsidP="0075577A">
      <w:pPr>
        <w:spacing w:line="360" w:lineRule="auto"/>
        <w:jc w:val="both"/>
        <w:rPr>
          <w:rFonts w:ascii="Times New Roman" w:hAnsi="Times New Roman" w:cs="Times New Roman"/>
          <w:sz w:val="24"/>
          <w:szCs w:val="24"/>
        </w:rPr>
      </w:pPr>
    </w:p>
    <w:p w14:paraId="7B61F6E5" w14:textId="77777777" w:rsidR="00091741" w:rsidRDefault="00091741" w:rsidP="0075577A">
      <w:pPr>
        <w:spacing w:line="360" w:lineRule="auto"/>
        <w:jc w:val="both"/>
        <w:rPr>
          <w:rFonts w:ascii="Times New Roman" w:hAnsi="Times New Roman" w:cs="Times New Roman"/>
          <w:sz w:val="24"/>
          <w:szCs w:val="24"/>
        </w:rPr>
      </w:pPr>
    </w:p>
    <w:p w14:paraId="51F0406A" w14:textId="77777777" w:rsidR="00091741" w:rsidRDefault="00091741" w:rsidP="0075577A">
      <w:pPr>
        <w:spacing w:line="360" w:lineRule="auto"/>
        <w:jc w:val="both"/>
        <w:rPr>
          <w:rFonts w:ascii="Times New Roman" w:hAnsi="Times New Roman" w:cs="Times New Roman"/>
          <w:sz w:val="24"/>
          <w:szCs w:val="24"/>
        </w:rPr>
      </w:pPr>
    </w:p>
    <w:p w14:paraId="1B6C0D3C" w14:textId="77777777" w:rsidR="00F45AC2" w:rsidRPr="00BC18C1" w:rsidRDefault="00F45AC2" w:rsidP="00BC18C1">
      <w:pPr>
        <w:pStyle w:val="Heading1"/>
      </w:pPr>
      <w:bookmarkStart w:id="9" w:name="_Toc172677022"/>
      <w:r w:rsidRPr="00BC18C1">
        <w:lastRenderedPageBreak/>
        <w:t>Reference list</w:t>
      </w:r>
      <w:bookmarkEnd w:id="9"/>
    </w:p>
    <w:p w14:paraId="07F88274" w14:textId="2F9299CD" w:rsidR="00BC18C1" w:rsidRDefault="00BC18C1" w:rsidP="00BC18C1">
      <w:pPr>
        <w:pStyle w:val="NormalWeb"/>
        <w:spacing w:before="0" w:beforeAutospacing="0" w:after="240" w:afterAutospacing="0" w:line="360" w:lineRule="auto"/>
        <w:jc w:val="both"/>
      </w:pPr>
      <w:r>
        <w:t xml:space="preserve">Allen, J., Piecyk, M. and Piotrowska, M. (2018) </w:t>
      </w:r>
      <w:r>
        <w:rPr>
          <w:i/>
          <w:iCs/>
        </w:rPr>
        <w:t xml:space="preserve">An Analysis </w:t>
      </w:r>
      <w:proofErr w:type="gramStart"/>
      <w:r>
        <w:rPr>
          <w:i/>
          <w:iCs/>
        </w:rPr>
        <w:t>Of</w:t>
      </w:r>
      <w:proofErr w:type="gramEnd"/>
      <w:r>
        <w:rPr>
          <w:i/>
          <w:iCs/>
        </w:rPr>
        <w:t xml:space="preserve"> The Same-Day Delivery Market And Operations In The </w:t>
      </w:r>
      <w:r w:rsidR="001E19EB">
        <w:rPr>
          <w:i/>
          <w:iCs/>
        </w:rPr>
        <w:t>UK</w:t>
      </w:r>
      <w:r>
        <w:t>. Available at: http://www.ftc2050.com/reports/ftc2050-2018-Same-day_delivery_market_UK.pdf.</w:t>
      </w:r>
    </w:p>
    <w:p w14:paraId="63B16378" w14:textId="77777777" w:rsidR="00BC18C1" w:rsidRDefault="00BC18C1" w:rsidP="00BC18C1">
      <w:pPr>
        <w:pStyle w:val="NormalWeb"/>
        <w:spacing w:before="0" w:beforeAutospacing="0" w:after="240" w:afterAutospacing="0" w:line="360" w:lineRule="auto"/>
        <w:jc w:val="both"/>
      </w:pPr>
      <w:r>
        <w:t xml:space="preserve">Ávila, L.V. (2017) </w:t>
      </w:r>
      <w:r>
        <w:rPr>
          <w:i/>
          <w:iCs/>
        </w:rPr>
        <w:t>https://librarysearch.uwtsd.ac.uk/discovery/fulldisplay?&amp;context=PC&amp;vid=44WHELF_UWTSD:44WHELF_UWTSD_VU1&amp;search_scope=Search_ELEC&amp;tab=Everything&amp;docid=cdi_crossref_primary_10_1016_j_jclepro_2017_07_025</w:t>
      </w:r>
      <w:r>
        <w:t xml:space="preserve">, </w:t>
      </w:r>
      <w:r>
        <w:rPr>
          <w:i/>
          <w:iCs/>
        </w:rPr>
        <w:t>librarysearch.uwtsd.ac.uk</w:t>
      </w:r>
      <w:r>
        <w:t>. Available at: https://librarysearch.uwtsd.ac.uk/permalink/44WHELF_UWTSD/igoone/cdi_crossref_primary_10_1016_j_jclepro_2017_07_025 (Accessed: 23 July 2024).</w:t>
      </w:r>
    </w:p>
    <w:p w14:paraId="2741EFCD" w14:textId="74FA1274" w:rsidR="00BC18C1" w:rsidRDefault="00BC18C1" w:rsidP="00BC18C1">
      <w:pPr>
        <w:pStyle w:val="NormalWeb"/>
        <w:spacing w:before="0" w:beforeAutospacing="0" w:after="240" w:afterAutospacing="0" w:line="360" w:lineRule="auto"/>
        <w:jc w:val="both"/>
      </w:pPr>
      <w:r>
        <w:t xml:space="preserve">Azzahra, A.S. (2024) </w:t>
      </w:r>
      <w:r>
        <w:rPr>
          <w:i/>
          <w:iCs/>
        </w:rPr>
        <w:t xml:space="preserve">Management of Strategic and Operational Challenges: </w:t>
      </w:r>
      <w:proofErr w:type="gramStart"/>
      <w:r>
        <w:rPr>
          <w:i/>
          <w:iCs/>
        </w:rPr>
        <w:t>an</w:t>
      </w:r>
      <w:proofErr w:type="gramEnd"/>
      <w:r>
        <w:rPr>
          <w:i/>
          <w:iCs/>
        </w:rPr>
        <w:t xml:space="preserve"> Empirical Analysis of Business and Financial Performance in the Real Estate Industry in 2020-2022 (PT. </w:t>
      </w:r>
      <w:proofErr w:type="spellStart"/>
      <w:r>
        <w:rPr>
          <w:i/>
          <w:iCs/>
        </w:rPr>
        <w:t>Pakuwon</w:t>
      </w:r>
      <w:proofErr w:type="spellEnd"/>
      <w:r>
        <w:rPr>
          <w:i/>
          <w:iCs/>
        </w:rPr>
        <w:t xml:space="preserve"> Jati </w:t>
      </w:r>
      <w:proofErr w:type="spellStart"/>
      <w:r w:rsidR="001E19EB">
        <w:rPr>
          <w:i/>
          <w:iCs/>
        </w:rPr>
        <w:t>Tbk</w:t>
      </w:r>
      <w:proofErr w:type="spellEnd"/>
      <w:r w:rsidR="001E19EB">
        <w:rPr>
          <w:i/>
          <w:iCs/>
        </w:rPr>
        <w:t xml:space="preserve"> &amp; PT. </w:t>
      </w:r>
      <w:proofErr w:type="spellStart"/>
      <w:r w:rsidR="001E19EB">
        <w:rPr>
          <w:i/>
          <w:iCs/>
        </w:rPr>
        <w:t>Ciputra</w:t>
      </w:r>
      <w:proofErr w:type="spellEnd"/>
      <w:r w:rsidR="001E19EB">
        <w:rPr>
          <w:i/>
          <w:iCs/>
        </w:rPr>
        <w:t xml:space="preserve"> Development </w:t>
      </w:r>
      <w:proofErr w:type="spellStart"/>
      <w:r w:rsidR="001E19EB">
        <w:rPr>
          <w:i/>
          <w:iCs/>
        </w:rPr>
        <w:t>Tbk</w:t>
      </w:r>
      <w:proofErr w:type="spellEnd"/>
      <w:r w:rsidR="001E19EB">
        <w:rPr>
          <w:i/>
          <w:iCs/>
        </w:rPr>
        <w:t xml:space="preserve">), </w:t>
      </w:r>
      <w:proofErr w:type="spellStart"/>
      <w:r w:rsidR="001E19EB">
        <w:rPr>
          <w:i/>
          <w:iCs/>
        </w:rPr>
        <w:t>dspace</w:t>
      </w:r>
      <w:proofErr w:type="spellEnd"/>
      <w:r w:rsidR="001E19EB">
        <w:rPr>
          <w:i/>
          <w:iCs/>
        </w:rPr>
        <w:t>. iii</w:t>
      </w:r>
      <w:r>
        <w:rPr>
          <w:i/>
          <w:iCs/>
        </w:rPr>
        <w:t>.ac.id</w:t>
      </w:r>
      <w:r>
        <w:t>. Available at: https://dspace.uii.ac.id/handle/123456789/50291 (Accessed: 23 July 2024).</w:t>
      </w:r>
    </w:p>
    <w:p w14:paraId="279952F5" w14:textId="77777777" w:rsidR="00BC18C1" w:rsidRDefault="00BC18C1" w:rsidP="00BC18C1">
      <w:pPr>
        <w:pStyle w:val="NormalWeb"/>
        <w:spacing w:before="0" w:beforeAutospacing="0" w:after="240" w:afterAutospacing="0" w:line="360" w:lineRule="auto"/>
        <w:jc w:val="both"/>
      </w:pPr>
      <w:r>
        <w:t xml:space="preserve">Baines, P., Fill, C. and Rosengren, S. (2017) </w:t>
      </w:r>
      <w:r>
        <w:rPr>
          <w:i/>
          <w:iCs/>
        </w:rPr>
        <w:t>Marketing</w:t>
      </w:r>
      <w:r>
        <w:t xml:space="preserve">, </w:t>
      </w:r>
      <w:r>
        <w:rPr>
          <w:i/>
          <w:iCs/>
        </w:rPr>
        <w:t>Google Books</w:t>
      </w:r>
      <w:r>
        <w:t>. Oxford University Press. Available at: https://books.google.com/books?hl=en&amp;lr=&amp;id=MQeTDQAAQBAJ&amp;oi=fnd&amp;pg=PP1&amp;dq=In+2020 (Accessed: 23 July 2024).</w:t>
      </w:r>
    </w:p>
    <w:p w14:paraId="40103F6B" w14:textId="77777777" w:rsidR="00BC18C1" w:rsidRDefault="00BC18C1" w:rsidP="00BC18C1">
      <w:pPr>
        <w:pStyle w:val="NormalWeb"/>
        <w:spacing w:before="0" w:beforeAutospacing="0" w:after="240" w:afterAutospacing="0" w:line="360" w:lineRule="auto"/>
        <w:jc w:val="both"/>
      </w:pPr>
      <w:r>
        <w:t xml:space="preserve">Beckers, J., Birkin, M., Clarke, G., Hood, N., </w:t>
      </w:r>
      <w:proofErr w:type="spellStart"/>
      <w:r>
        <w:t>Newing</w:t>
      </w:r>
      <w:proofErr w:type="spellEnd"/>
      <w:r>
        <w:t xml:space="preserve">, A. and Urquhart, R. (2021) ‘Incorporating E‐commerce into Retail Location Models’, </w:t>
      </w:r>
      <w:r>
        <w:rPr>
          <w:i/>
          <w:iCs/>
        </w:rPr>
        <w:t>Geographical Analysis</w:t>
      </w:r>
      <w:r>
        <w:t>, 54(2). Available at: https://doi.org/10.1111/gean.12285.</w:t>
      </w:r>
    </w:p>
    <w:p w14:paraId="4A5DD179" w14:textId="77777777" w:rsidR="00BC18C1" w:rsidRDefault="00BC18C1" w:rsidP="00BC18C1">
      <w:pPr>
        <w:pStyle w:val="NormalWeb"/>
        <w:spacing w:before="0" w:beforeAutospacing="0" w:after="240" w:afterAutospacing="0" w:line="360" w:lineRule="auto"/>
        <w:jc w:val="both"/>
      </w:pPr>
      <w:r>
        <w:t xml:space="preserve">Borek, R. and Syp, A. (2022) </w:t>
      </w:r>
      <w:r>
        <w:rPr>
          <w:i/>
          <w:iCs/>
        </w:rPr>
        <w:t>D1.2_Report on reference farming system</w:t>
      </w:r>
      <w:r>
        <w:t xml:space="preserve">, </w:t>
      </w:r>
      <w:r>
        <w:rPr>
          <w:i/>
          <w:iCs/>
        </w:rPr>
        <w:t>orgprints.org</w:t>
      </w:r>
      <w:r>
        <w:t>. Available at: https://orgprints.org/53362/ (Accessed: 23 July 2024).</w:t>
      </w:r>
    </w:p>
    <w:p w14:paraId="0C39F47D" w14:textId="77777777" w:rsidR="00BC18C1" w:rsidRDefault="00BC18C1" w:rsidP="00BC18C1">
      <w:pPr>
        <w:pStyle w:val="NormalWeb"/>
        <w:spacing w:before="0" w:beforeAutospacing="0" w:after="240" w:afterAutospacing="0" w:line="360" w:lineRule="auto"/>
        <w:jc w:val="both"/>
      </w:pPr>
      <w:r>
        <w:t xml:space="preserve">Bozic, B., Siebert, S. and Martin, G. (2019) ‘A strategic action fields perspective on organizational trust repair’, </w:t>
      </w:r>
      <w:r>
        <w:rPr>
          <w:i/>
          <w:iCs/>
        </w:rPr>
        <w:t>European Management Journal</w:t>
      </w:r>
      <w:r>
        <w:t>, 37(1), pp. 58–66. Available at: https://doi.org/10.1016/j.emj.2018.04.005.</w:t>
      </w:r>
    </w:p>
    <w:p w14:paraId="2665179C" w14:textId="77777777" w:rsidR="00BC18C1" w:rsidRDefault="00BC18C1" w:rsidP="00BC18C1">
      <w:pPr>
        <w:pStyle w:val="NormalWeb"/>
        <w:spacing w:before="0" w:beforeAutospacing="0" w:after="240" w:afterAutospacing="0" w:line="360" w:lineRule="auto"/>
        <w:jc w:val="both"/>
      </w:pPr>
      <w:r>
        <w:lastRenderedPageBreak/>
        <w:t xml:space="preserve">Chenchehene, J. (2019) </w:t>
      </w:r>
      <w:r>
        <w:rPr>
          <w:i/>
          <w:iCs/>
        </w:rPr>
        <w:t>Corporate governance and financial distress prediction in the UK.</w:t>
      </w:r>
      <w:r>
        <w:t xml:space="preserve">, </w:t>
      </w:r>
      <w:r>
        <w:rPr>
          <w:i/>
          <w:iCs/>
        </w:rPr>
        <w:t>eprints.bournemouth.ac.uk</w:t>
      </w:r>
      <w:r>
        <w:t>. Available at: http://eprints.bournemouth.ac.uk/32417/.</w:t>
      </w:r>
    </w:p>
    <w:p w14:paraId="0F4777FE" w14:textId="77777777" w:rsidR="00BC18C1" w:rsidRDefault="00BC18C1" w:rsidP="00BC18C1">
      <w:pPr>
        <w:pStyle w:val="NormalWeb"/>
        <w:spacing w:before="0" w:beforeAutospacing="0" w:after="240" w:afterAutospacing="0" w:line="360" w:lineRule="auto"/>
        <w:jc w:val="both"/>
      </w:pPr>
      <w:proofErr w:type="spellStart"/>
      <w:r>
        <w:t>Czinkota</w:t>
      </w:r>
      <w:proofErr w:type="spellEnd"/>
      <w:r>
        <w:t xml:space="preserve">, M.R., </w:t>
      </w:r>
      <w:proofErr w:type="spellStart"/>
      <w:r>
        <w:t>Kotabe</w:t>
      </w:r>
      <w:proofErr w:type="spellEnd"/>
      <w:r>
        <w:t xml:space="preserve">, M., </w:t>
      </w:r>
      <w:proofErr w:type="spellStart"/>
      <w:r>
        <w:t>Vrontis</w:t>
      </w:r>
      <w:proofErr w:type="spellEnd"/>
      <w:r>
        <w:t xml:space="preserve">, D. and Shams, S.M.R. (2021) ‘Distribution and Supply Chain Management’, </w:t>
      </w:r>
      <w:r>
        <w:rPr>
          <w:i/>
          <w:iCs/>
        </w:rPr>
        <w:t>Springer Texts in Business and Economics</w:t>
      </w:r>
      <w:r>
        <w:t>, pp. 499–552. Available at: https://www.researchgate.net/publication/354108633_Distribution_and_Supply_Chain_Management.</w:t>
      </w:r>
    </w:p>
    <w:p w14:paraId="43D30737" w14:textId="77777777" w:rsidR="00BC18C1" w:rsidRDefault="00BC18C1" w:rsidP="00BC18C1">
      <w:pPr>
        <w:pStyle w:val="NormalWeb"/>
        <w:spacing w:before="0" w:beforeAutospacing="0" w:after="240" w:afterAutospacing="0" w:line="360" w:lineRule="auto"/>
        <w:jc w:val="both"/>
      </w:pPr>
      <w:r>
        <w:t xml:space="preserve">Damodaran, A. (2024) </w:t>
      </w:r>
      <w:r>
        <w:rPr>
          <w:i/>
          <w:iCs/>
        </w:rPr>
        <w:t>The Little Book of Valuation: How to Value a Company, Pick a Stock, and Profit</w:t>
      </w:r>
      <w:r>
        <w:t xml:space="preserve">, </w:t>
      </w:r>
      <w:r>
        <w:rPr>
          <w:i/>
          <w:iCs/>
        </w:rPr>
        <w:t>Google Books</w:t>
      </w:r>
      <w:r>
        <w:t>. John Wiley &amp; Sons. Available at: https://books.google.com/books?hl=en&amp;lr=&amp;id=gRHwEAAAQBAJ&amp;oi=fnd&amp;pg=PR1&amp;dq=The+net+profit+margin+has+ranged+between+2%25+and+4%25 (Accessed: 23 July 2024).</w:t>
      </w:r>
    </w:p>
    <w:p w14:paraId="11C8AED0" w14:textId="77777777" w:rsidR="00BC18C1" w:rsidRDefault="00BC18C1" w:rsidP="00BC18C1">
      <w:pPr>
        <w:pStyle w:val="NormalWeb"/>
        <w:spacing w:before="0" w:beforeAutospacing="0" w:after="240" w:afterAutospacing="0" w:line="360" w:lineRule="auto"/>
        <w:jc w:val="both"/>
      </w:pPr>
      <w:r>
        <w:t xml:space="preserve">Delgado, J. (2021) </w:t>
      </w:r>
      <w:r>
        <w:rPr>
          <w:i/>
          <w:iCs/>
        </w:rPr>
        <w:t>PORTUGUESE WINE SME COMPETITIVENESS -FINANCIAL ASSESSMENT OF GERMANY ENTRY STRATEGY CATARINA COSTA SEQUEIRA Work project carried out under the supervision of</w:t>
      </w:r>
      <w:r>
        <w:t>. Available at: https://run.unl.pt/bitstream/10362/123213/1/2020-21_fall_29094_catarinasequeira.pdf (Accessed: 23 July 2024).</w:t>
      </w:r>
    </w:p>
    <w:p w14:paraId="5AE70F44" w14:textId="77777777" w:rsidR="00BC18C1" w:rsidRDefault="00BC18C1" w:rsidP="00BC18C1">
      <w:pPr>
        <w:pStyle w:val="NormalWeb"/>
        <w:spacing w:before="0" w:beforeAutospacing="0" w:after="240" w:afterAutospacing="0" w:line="360" w:lineRule="auto"/>
        <w:jc w:val="both"/>
      </w:pPr>
      <w:r>
        <w:t xml:space="preserve">Farooq, M.U., Hussain, A., Masood, T. and Habib, M.S. (2021) ‘Supply chain operations management in pandemics: A state-of-the-art review inspired by COVID-19’, </w:t>
      </w:r>
      <w:r>
        <w:rPr>
          <w:i/>
          <w:iCs/>
        </w:rPr>
        <w:t>Sustainability</w:t>
      </w:r>
      <w:r>
        <w:t>, 13(5), p. 2504. Available at: https://doi.org/10.3390/su13052504.</w:t>
      </w:r>
    </w:p>
    <w:p w14:paraId="6D419C43" w14:textId="77777777" w:rsidR="00BC18C1" w:rsidRDefault="00BC18C1" w:rsidP="00BC18C1">
      <w:pPr>
        <w:pStyle w:val="NormalWeb"/>
        <w:spacing w:before="0" w:beforeAutospacing="0" w:after="240" w:afterAutospacing="0" w:line="360" w:lineRule="auto"/>
        <w:jc w:val="both"/>
      </w:pPr>
      <w:proofErr w:type="spellStart"/>
      <w:r>
        <w:t>Gleißner</w:t>
      </w:r>
      <w:proofErr w:type="spellEnd"/>
      <w:r>
        <w:t xml:space="preserve">, W., Günther, T. and Walkshäusl, C. (2022) ‘Financial sustainability: Measurement and Empirical Evidence’, </w:t>
      </w:r>
      <w:r>
        <w:rPr>
          <w:i/>
          <w:iCs/>
        </w:rPr>
        <w:t>Journal of Business Economics</w:t>
      </w:r>
      <w:r>
        <w:t>, 92(3), pp. 467–516.</w:t>
      </w:r>
    </w:p>
    <w:p w14:paraId="09149A26" w14:textId="77777777" w:rsidR="00BC18C1" w:rsidRDefault="00BC18C1" w:rsidP="00BC18C1">
      <w:pPr>
        <w:pStyle w:val="NormalWeb"/>
        <w:spacing w:before="0" w:beforeAutospacing="0" w:after="240" w:afterAutospacing="0" w:line="360" w:lineRule="auto"/>
        <w:jc w:val="both"/>
      </w:pPr>
      <w:r>
        <w:t xml:space="preserve">Griffith, R., Krol, M. and Smith, K. (2018) ‘Why Do Retailers Advertise Store Brands Differently Across Product Categories?’, </w:t>
      </w:r>
      <w:r>
        <w:rPr>
          <w:i/>
          <w:iCs/>
        </w:rPr>
        <w:t>The Journal of Industrial Economics</w:t>
      </w:r>
      <w:r>
        <w:t>, 66(3), pp. 519–569. Available at: https://doi.org/10.1111/joie.12178.</w:t>
      </w:r>
    </w:p>
    <w:p w14:paraId="766A552E" w14:textId="77777777" w:rsidR="00BC18C1" w:rsidRDefault="00BC18C1" w:rsidP="00BC18C1">
      <w:pPr>
        <w:pStyle w:val="NormalWeb"/>
        <w:spacing w:before="0" w:beforeAutospacing="0" w:after="240" w:afterAutospacing="0" w:line="360" w:lineRule="auto"/>
        <w:jc w:val="both"/>
      </w:pPr>
      <w:r>
        <w:t xml:space="preserve">Hajdu, N. (2024) </w:t>
      </w:r>
      <w:r>
        <w:rPr>
          <w:i/>
          <w:iCs/>
        </w:rPr>
        <w:t xml:space="preserve">Advancing organizational </w:t>
      </w:r>
      <w:proofErr w:type="gramStart"/>
      <w:r>
        <w:rPr>
          <w:i/>
          <w:iCs/>
        </w:rPr>
        <w:t>analytics :</w:t>
      </w:r>
      <w:proofErr w:type="gramEnd"/>
      <w:r>
        <w:rPr>
          <w:i/>
          <w:iCs/>
        </w:rPr>
        <w:t xml:space="preserve"> a strategic roadmap for implementing machine learning in warehouse management system</w:t>
      </w:r>
      <w:r>
        <w:t xml:space="preserve">, </w:t>
      </w:r>
      <w:r>
        <w:rPr>
          <w:i/>
          <w:iCs/>
        </w:rPr>
        <w:t>laturi.oulu.fi</w:t>
      </w:r>
      <w:r>
        <w:t>. Available at: https://oulurepo.oulu.fi/handle/10024/50958 (Accessed: 23 July 2024).</w:t>
      </w:r>
    </w:p>
    <w:p w14:paraId="6852BA72" w14:textId="77777777" w:rsidR="00BC18C1" w:rsidRDefault="00BC18C1" w:rsidP="00BC18C1">
      <w:pPr>
        <w:pStyle w:val="NormalWeb"/>
        <w:spacing w:before="0" w:beforeAutospacing="0" w:after="240" w:afterAutospacing="0" w:line="360" w:lineRule="auto"/>
        <w:jc w:val="both"/>
      </w:pPr>
      <w:r>
        <w:lastRenderedPageBreak/>
        <w:t xml:space="preserve">Hasanuddin, R., Darman, D., Taufan, M.Y., Salim, A., Muslim, M. and Putra, A.H.P.K. (2021) ‘The Effect of Firm Size, Debt, Current Ratio, and Investment Opportunity Set on Earnings Quality: An Empirical Study in Indonesia’, </w:t>
      </w:r>
      <w:r>
        <w:rPr>
          <w:i/>
          <w:iCs/>
        </w:rPr>
        <w:t>The Journal of Asian Finance, Economics and Business</w:t>
      </w:r>
      <w:r>
        <w:t>, 8(6), pp. 179–188. Available at: https://doi.org/10.13106/jafeb.2021.vol8.no6.0179.</w:t>
      </w:r>
    </w:p>
    <w:p w14:paraId="48C7A79E" w14:textId="77777777" w:rsidR="00BC18C1" w:rsidRDefault="00BC18C1" w:rsidP="00BC18C1">
      <w:pPr>
        <w:pStyle w:val="NormalWeb"/>
        <w:spacing w:before="0" w:beforeAutospacing="0" w:after="240" w:afterAutospacing="0" w:line="360" w:lineRule="auto"/>
        <w:jc w:val="both"/>
      </w:pPr>
      <w:r>
        <w:t xml:space="preserve">Hayes, A. (2024) </w:t>
      </w:r>
      <w:r>
        <w:rPr>
          <w:i/>
          <w:iCs/>
        </w:rPr>
        <w:t>Why the Interest Coverage Ratio Matters</w:t>
      </w:r>
      <w:r>
        <w:t xml:space="preserve">, </w:t>
      </w:r>
      <w:r>
        <w:rPr>
          <w:i/>
          <w:iCs/>
        </w:rPr>
        <w:t>Investopedia</w:t>
      </w:r>
      <w:r>
        <w:t>. Available at: https://www.investopedia.com/terms/i/interestcoverageratio.asp.</w:t>
      </w:r>
    </w:p>
    <w:p w14:paraId="2E762A12" w14:textId="77777777" w:rsidR="00BC18C1" w:rsidRDefault="00BC18C1" w:rsidP="00BC18C1">
      <w:pPr>
        <w:pStyle w:val="NormalWeb"/>
        <w:spacing w:before="0" w:beforeAutospacing="0" w:after="240" w:afterAutospacing="0" w:line="360" w:lineRule="auto"/>
        <w:jc w:val="both"/>
      </w:pPr>
      <w:r>
        <w:t xml:space="preserve">Helliwell, R., Morris, C. and Raman, S. (2020) ‘Antibiotic stewardship and its implications for agricultural animal-human relationships: Insights from an intensive dairy farm in England’, </w:t>
      </w:r>
      <w:r>
        <w:rPr>
          <w:i/>
          <w:iCs/>
        </w:rPr>
        <w:t>Journal of Rural Studies</w:t>
      </w:r>
      <w:r>
        <w:t>, 78, pp. 447–456. Available at: https://doi.org/10.1016/j.jrurstud.2020.07.008.</w:t>
      </w:r>
    </w:p>
    <w:p w14:paraId="0638CDEF" w14:textId="77777777" w:rsidR="00BC18C1" w:rsidRDefault="00BC18C1" w:rsidP="00BC18C1">
      <w:pPr>
        <w:pStyle w:val="NormalWeb"/>
        <w:spacing w:before="0" w:beforeAutospacing="0" w:after="240" w:afterAutospacing="0" w:line="360" w:lineRule="auto"/>
        <w:jc w:val="both"/>
      </w:pPr>
      <w:r>
        <w:t xml:space="preserve">James, T., Else, T. and School, M. (2021) </w:t>
      </w:r>
      <w:proofErr w:type="spellStart"/>
      <w:r>
        <w:rPr>
          <w:i/>
          <w:iCs/>
        </w:rPr>
        <w:t>Conceptualising</w:t>
      </w:r>
      <w:proofErr w:type="spellEnd"/>
      <w:r>
        <w:rPr>
          <w:i/>
          <w:iCs/>
        </w:rPr>
        <w:t xml:space="preserve"> and evaluating hegemonic agri-food supply chain sustainability practices: a UK dairy industry perspective</w:t>
      </w:r>
      <w:r>
        <w:t>. Available at: https://etheses.whiterose.ac.uk/31102/1/T%20ELSE%20THESIS%202022.pdf.</w:t>
      </w:r>
    </w:p>
    <w:p w14:paraId="4C40F1B0" w14:textId="77777777" w:rsidR="00BC18C1" w:rsidRDefault="00BC18C1" w:rsidP="00BC18C1">
      <w:pPr>
        <w:pStyle w:val="NormalWeb"/>
        <w:spacing w:before="0" w:beforeAutospacing="0" w:after="240" w:afterAutospacing="0" w:line="360" w:lineRule="auto"/>
        <w:jc w:val="both"/>
      </w:pPr>
      <w:r>
        <w:t xml:space="preserve">Jenns, C. (2023) </w:t>
      </w:r>
      <w:r>
        <w:rPr>
          <w:i/>
          <w:iCs/>
        </w:rPr>
        <w:t xml:space="preserve">Waitrose invests in AI for </w:t>
      </w:r>
      <w:proofErr w:type="spellStart"/>
      <w:r>
        <w:rPr>
          <w:i/>
          <w:iCs/>
        </w:rPr>
        <w:t>personalised</w:t>
      </w:r>
      <w:proofErr w:type="spellEnd"/>
      <w:r>
        <w:rPr>
          <w:i/>
          <w:iCs/>
        </w:rPr>
        <w:t xml:space="preserve"> online shopping</w:t>
      </w:r>
      <w:r>
        <w:t xml:space="preserve">, </w:t>
      </w:r>
      <w:r>
        <w:rPr>
          <w:i/>
          <w:iCs/>
        </w:rPr>
        <w:t>Retail Insight Network</w:t>
      </w:r>
      <w:r>
        <w:t>. Available at: https://www.retail-insight-network.com/news/waitrose-invests-ai-personalised-online-shopping/.</w:t>
      </w:r>
    </w:p>
    <w:p w14:paraId="7284B8B0" w14:textId="77777777" w:rsidR="00BC18C1" w:rsidRDefault="00BC18C1" w:rsidP="00BC18C1">
      <w:pPr>
        <w:pStyle w:val="NormalWeb"/>
        <w:spacing w:before="0" w:beforeAutospacing="0" w:after="240" w:afterAutospacing="0" w:line="360" w:lineRule="auto"/>
        <w:jc w:val="both"/>
      </w:pPr>
      <w:r>
        <w:t xml:space="preserve">Ji, H. (2019) ‘The Impact of Interest Coverage Ratio on Value Relevance of Reported Earnings: Evidence from South Korea’, </w:t>
      </w:r>
      <w:r>
        <w:rPr>
          <w:i/>
          <w:iCs/>
        </w:rPr>
        <w:t>Sustainability</w:t>
      </w:r>
      <w:r>
        <w:t>, 11(24), p. 7193. Available at: https://doi.org/10.3390/su11247193.</w:t>
      </w:r>
    </w:p>
    <w:p w14:paraId="68AE2A47" w14:textId="77777777" w:rsidR="00BC18C1" w:rsidRDefault="00BC18C1" w:rsidP="00BC18C1">
      <w:pPr>
        <w:pStyle w:val="NormalWeb"/>
        <w:spacing w:before="0" w:beforeAutospacing="0" w:after="240" w:afterAutospacing="0" w:line="360" w:lineRule="auto"/>
        <w:jc w:val="both"/>
      </w:pPr>
      <w:r>
        <w:t xml:space="preserve">Jiang, X., Kanodia, C. and Zhang, G. (2023) </w:t>
      </w:r>
      <w:r>
        <w:rPr>
          <w:i/>
          <w:iCs/>
        </w:rPr>
        <w:t>https://librarysearch.uwtsd.ac.uk/discovery/fulldisplay?&amp;context=PC&amp;vid=44WHELF_UWTSD:44WHELF_UWTSD_VU1&amp;search_scope=Search_ELEC&amp;tab=Everything&amp;docid=cdi_proquest_journals_2842029326</w:t>
      </w:r>
      <w:r>
        <w:t xml:space="preserve">, </w:t>
      </w:r>
      <w:r>
        <w:rPr>
          <w:i/>
          <w:iCs/>
        </w:rPr>
        <w:t>librarysearch.uwtsd.ac.uk</w:t>
      </w:r>
      <w:r>
        <w:t>. Available at: https://librarysearch.uwtsd.ac.uk/permalink/44WHELF_UWTSD/igoone/cdi_proquest_journals_2842029326 (Accessed: 23 July 2024).</w:t>
      </w:r>
    </w:p>
    <w:p w14:paraId="7C98C6D2" w14:textId="77777777" w:rsidR="00BC18C1" w:rsidRDefault="00BC18C1" w:rsidP="00BC18C1">
      <w:pPr>
        <w:pStyle w:val="NormalWeb"/>
        <w:spacing w:before="0" w:beforeAutospacing="0" w:after="240" w:afterAutospacing="0" w:line="360" w:lineRule="auto"/>
        <w:jc w:val="both"/>
      </w:pPr>
      <w:r>
        <w:t xml:space="preserve">JLP to roll out electric delivery fleet for John Lewis Waitrose (2020) </w:t>
      </w:r>
      <w:r>
        <w:rPr>
          <w:i/>
          <w:iCs/>
        </w:rPr>
        <w:t>https://librarysearch.uwtsd.ac.uk/discovery/fulldisplay?&amp;context=PC&amp;vid=44WHELF_UWTSD</w:t>
      </w:r>
      <w:r>
        <w:rPr>
          <w:i/>
          <w:iCs/>
        </w:rPr>
        <w:lastRenderedPageBreak/>
        <w:t>:44WHELF_UWTSD_VU1&amp;search_scope=Search_ELEC&amp;tab=Everything&amp;docid=cdi_proquest_reports_2429380727</w:t>
      </w:r>
      <w:r>
        <w:t xml:space="preserve">, </w:t>
      </w:r>
      <w:r>
        <w:rPr>
          <w:i/>
          <w:iCs/>
        </w:rPr>
        <w:t>librarysearch.uwtsd.ac.uk</w:t>
      </w:r>
      <w:r>
        <w:t>. Available at: https://librarysearch.uwtsd.ac.uk/permalink/44WHELF_UWTSD/igoone/cdi_proquest_reports_2429380727 (Accessed: 23 July 2024).</w:t>
      </w:r>
    </w:p>
    <w:p w14:paraId="0C106F1D" w14:textId="77777777" w:rsidR="00BC18C1" w:rsidRDefault="00BC18C1" w:rsidP="00BC18C1">
      <w:pPr>
        <w:pStyle w:val="NormalWeb"/>
        <w:spacing w:before="0" w:beforeAutospacing="0" w:after="240" w:afterAutospacing="0" w:line="360" w:lineRule="auto"/>
        <w:jc w:val="both"/>
      </w:pPr>
      <w:r>
        <w:t xml:space="preserve">Jones, P., Bown, R., Hillier, D. and Comfort, D. (2017) ‘Sustainability, Materiality and Independent External Assurance’, </w:t>
      </w:r>
      <w:r>
        <w:rPr>
          <w:i/>
          <w:iCs/>
        </w:rPr>
        <w:t>Sustainability Challenges in the Agrofood Sector</w:t>
      </w:r>
      <w:r>
        <w:t>, pp. 227–254. Available at: https://doi.org/10.1002/9781119072737.ch11.</w:t>
      </w:r>
    </w:p>
    <w:p w14:paraId="6D8352B8" w14:textId="77777777" w:rsidR="00BC18C1" w:rsidRDefault="00BC18C1" w:rsidP="00BC18C1">
      <w:pPr>
        <w:pStyle w:val="NormalWeb"/>
        <w:spacing w:before="0" w:beforeAutospacing="0" w:after="240" w:afterAutospacing="0" w:line="360" w:lineRule="auto"/>
        <w:jc w:val="both"/>
      </w:pPr>
      <w:proofErr w:type="spellStart"/>
      <w:r>
        <w:t>Kılınç</w:t>
      </w:r>
      <w:proofErr w:type="spellEnd"/>
      <w:r>
        <w:t xml:space="preserve"> Toker, A. (2022) </w:t>
      </w:r>
      <w:r>
        <w:rPr>
          <w:i/>
          <w:iCs/>
        </w:rPr>
        <w:t>https://librarysearch.uwtsd.ac.uk/discovery/fulldisplay?&amp;context=PC&amp;vid=44WHELF_UWTSD:44WHELF_UWTSD_VU1&amp;search_scope=Search_ELEC&amp;tab=Everything&amp;docid=cdi_crossref_primary_10_34172_aim_2022_73</w:t>
      </w:r>
      <w:r>
        <w:t xml:space="preserve">, </w:t>
      </w:r>
      <w:r>
        <w:rPr>
          <w:i/>
          <w:iCs/>
        </w:rPr>
        <w:t>librarysearch.uwtsd.ac.uk</w:t>
      </w:r>
      <w:r>
        <w:t>. Available at: https://librarysearch.uwtsd.ac.uk/permalink/44WHELF_UWTSD/igoone/cdi_crossref_primary_10_34172_aim_2022_73 (Accessed: 23 July 2024).</w:t>
      </w:r>
    </w:p>
    <w:p w14:paraId="62095CF8" w14:textId="77777777" w:rsidR="00BC18C1" w:rsidRDefault="00BC18C1" w:rsidP="00BC18C1">
      <w:pPr>
        <w:pStyle w:val="NormalWeb"/>
        <w:spacing w:before="0" w:beforeAutospacing="0" w:after="240" w:afterAutospacing="0" w:line="360" w:lineRule="auto"/>
        <w:jc w:val="both"/>
      </w:pPr>
      <w:r>
        <w:t xml:space="preserve">Kovacova, M., Krajcik, V., </w:t>
      </w:r>
      <w:proofErr w:type="spellStart"/>
      <w:r>
        <w:t>Michalkova</w:t>
      </w:r>
      <w:proofErr w:type="spellEnd"/>
      <w:r>
        <w:t xml:space="preserve">, L. and Blazek, R. (2022) ‘Valuing the Interest Tax Shield in the Central European Economies: Panel Data Approach’, </w:t>
      </w:r>
      <w:r>
        <w:rPr>
          <w:i/>
          <w:iCs/>
        </w:rPr>
        <w:t>Journal of Competitiveness</w:t>
      </w:r>
      <w:r>
        <w:t>, 14(2), pp. 41–59. Available at: https://doi.org/10.7441/joc.2022.02.03.</w:t>
      </w:r>
    </w:p>
    <w:p w14:paraId="1C408750" w14:textId="77777777" w:rsidR="00BC18C1" w:rsidRDefault="00BC18C1" w:rsidP="00BC18C1">
      <w:pPr>
        <w:pStyle w:val="NormalWeb"/>
        <w:spacing w:before="0" w:beforeAutospacing="0" w:after="240" w:afterAutospacing="0" w:line="360" w:lineRule="auto"/>
        <w:jc w:val="both"/>
      </w:pPr>
      <w:r>
        <w:t xml:space="preserve">Lan, H., Lloyd, T., Morgan, W. and Dobson, P.W. (2021) ‘Are food price promotions predictable? The hazard function of supermarket discounts’, </w:t>
      </w:r>
      <w:r>
        <w:rPr>
          <w:i/>
          <w:iCs/>
        </w:rPr>
        <w:t>Journal of Agricultural Economics</w:t>
      </w:r>
      <w:r>
        <w:t xml:space="preserve"> [Preprint]. Available at: https://doi.org/10.1111/1477-9552.12448.</w:t>
      </w:r>
    </w:p>
    <w:p w14:paraId="7293CD25" w14:textId="77777777" w:rsidR="00BC18C1" w:rsidRDefault="00BC18C1" w:rsidP="00BC18C1">
      <w:pPr>
        <w:pStyle w:val="NormalWeb"/>
        <w:spacing w:before="0" w:beforeAutospacing="0" w:after="240" w:afterAutospacing="0" w:line="360" w:lineRule="auto"/>
        <w:jc w:val="both"/>
      </w:pPr>
      <w:r>
        <w:t xml:space="preserve">Mason, T. and Jarvis, S. (2023) </w:t>
      </w:r>
      <w:r>
        <w:rPr>
          <w:i/>
          <w:iCs/>
        </w:rPr>
        <w:t>Omnichannel Retail: How to Build Winning Stores in a Digital World</w:t>
      </w:r>
      <w:r>
        <w:t xml:space="preserve">, </w:t>
      </w:r>
      <w:r>
        <w:rPr>
          <w:i/>
          <w:iCs/>
        </w:rPr>
        <w:t>Google Books</w:t>
      </w:r>
      <w:r>
        <w:t>. Kogan Page Publishers. Available at: https://books.google.com/books?hl=en&amp;lr=&amp;id=7__TEAAAQBAJ&amp;oi=fnd&amp;pg=PP1&amp;dq=In+2019 (Accessed: 23 July 2024).</w:t>
      </w:r>
    </w:p>
    <w:p w14:paraId="2B31F06A" w14:textId="77777777" w:rsidR="00BC18C1" w:rsidRDefault="00BC18C1" w:rsidP="00BC18C1">
      <w:pPr>
        <w:pStyle w:val="NormalWeb"/>
        <w:spacing w:before="0" w:beforeAutospacing="0" w:after="240" w:afterAutospacing="0" w:line="360" w:lineRule="auto"/>
        <w:jc w:val="both"/>
      </w:pPr>
      <w:r>
        <w:t xml:space="preserve">McManners, P. (2023) </w:t>
      </w:r>
      <w:r>
        <w:rPr>
          <w:i/>
          <w:iCs/>
        </w:rPr>
        <w:t>Essentials of Sustainability for Business: A Practical Approach</w:t>
      </w:r>
      <w:r>
        <w:t xml:space="preserve">, </w:t>
      </w:r>
      <w:r>
        <w:rPr>
          <w:i/>
          <w:iCs/>
        </w:rPr>
        <w:t>Google Books</w:t>
      </w:r>
      <w:r>
        <w:t>. Taylor &amp; Francis. Available at: https://books.google.com/books?hl=en&amp;lr=&amp;id=543ZEAAAQBAJ&amp;oi=fnd&amp;pg=PT6&amp;dq=During+economic+downturns+or+periods+of+market+volatility (Accessed: 23 July 2024).</w:t>
      </w:r>
    </w:p>
    <w:p w14:paraId="35E0E29B" w14:textId="77777777" w:rsidR="00BC18C1" w:rsidRDefault="00BC18C1" w:rsidP="00BC18C1">
      <w:pPr>
        <w:pStyle w:val="NormalWeb"/>
        <w:spacing w:before="0" w:beforeAutospacing="0" w:after="240" w:afterAutospacing="0" w:line="360" w:lineRule="auto"/>
        <w:jc w:val="both"/>
      </w:pPr>
      <w:r>
        <w:lastRenderedPageBreak/>
        <w:t xml:space="preserve">Meiryani (2021) </w:t>
      </w:r>
      <w:r>
        <w:rPr>
          <w:i/>
          <w:iCs/>
        </w:rPr>
        <w:t>https://librarysearch.uwtsd.ac.uk/discovery/fulldisplay?&amp;context=PC&amp;vid=44WHELF_UWTSD:44WHELF_UWTSD_VU1&amp;search_scope=Search_ELEC&amp;tab=Everything&amp;docid=cdi_acm_books_10_1145_3466029_3466050</w:t>
      </w:r>
      <w:r>
        <w:t xml:space="preserve">, </w:t>
      </w:r>
      <w:r>
        <w:rPr>
          <w:i/>
          <w:iCs/>
        </w:rPr>
        <w:t>librarysearch.uwtsd.ac.uk</w:t>
      </w:r>
      <w:r>
        <w:t>. Available at: https://librarysearch.uwtsd.ac.uk/permalink/44WHELF_UWTSD/igoone/cdi_acm_books_10_1145_3466029_3466050 (Accessed: 23 July 2024).</w:t>
      </w:r>
    </w:p>
    <w:p w14:paraId="0F6234D2" w14:textId="77777777" w:rsidR="00BC18C1" w:rsidRDefault="00BC18C1" w:rsidP="00BC18C1">
      <w:pPr>
        <w:pStyle w:val="NormalWeb"/>
        <w:spacing w:before="0" w:beforeAutospacing="0" w:after="240" w:afterAutospacing="0" w:line="360" w:lineRule="auto"/>
        <w:jc w:val="both"/>
      </w:pPr>
      <w:r>
        <w:t xml:space="preserve">Michie, J. (2021) ‘Forms of Ownership for Sustainability and Resilience: The Need for Biodiversity and Corporate Diversity’, </w:t>
      </w:r>
      <w:r>
        <w:rPr>
          <w:i/>
          <w:iCs/>
        </w:rPr>
        <w:t>Economic Policies for Sustainability and Resilience</w:t>
      </w:r>
      <w:r>
        <w:t>, pp. 91–133. Available at: https://doi.org/10.1007/978-3-030-84288-8_3.</w:t>
      </w:r>
    </w:p>
    <w:p w14:paraId="45910DF7" w14:textId="77777777" w:rsidR="00BC18C1" w:rsidRDefault="00BC18C1" w:rsidP="00BC18C1">
      <w:pPr>
        <w:pStyle w:val="NormalWeb"/>
        <w:spacing w:before="0" w:beforeAutospacing="0" w:after="240" w:afterAutospacing="0" w:line="360" w:lineRule="auto"/>
        <w:jc w:val="both"/>
      </w:pPr>
      <w:r>
        <w:t xml:space="preserve">Mkansi, M. and Nsakanda, A.L. (2019) ‘Leveraging the physical network of stores in e-grocery order fulfilment for sustainable competitive advantage’, </w:t>
      </w:r>
      <w:r>
        <w:rPr>
          <w:i/>
          <w:iCs/>
        </w:rPr>
        <w:t>Research in Transportation Economics</w:t>
      </w:r>
      <w:r>
        <w:t>, 87, p. 100786. Available at: https://www.sciencedirect.com/science/article/pii/S0739885919303026.</w:t>
      </w:r>
    </w:p>
    <w:p w14:paraId="68D1A6FA" w14:textId="77777777" w:rsidR="00BC18C1" w:rsidRDefault="00BC18C1" w:rsidP="00BC18C1">
      <w:pPr>
        <w:pStyle w:val="NormalWeb"/>
        <w:spacing w:before="0" w:beforeAutospacing="0" w:after="240" w:afterAutospacing="0" w:line="360" w:lineRule="auto"/>
        <w:jc w:val="both"/>
      </w:pPr>
      <w:r>
        <w:t xml:space="preserve">Modigliani, F. and Miller, M.H. (1958) ‘The Cost of Capital, Corporation Finance and the Theory of Investment’, </w:t>
      </w:r>
      <w:r>
        <w:rPr>
          <w:i/>
          <w:iCs/>
        </w:rPr>
        <w:t>The American Economic Review</w:t>
      </w:r>
      <w:r>
        <w:t>, 48(3), pp. 261–297. Available at: https://www.jstor.org/stable/1809766.</w:t>
      </w:r>
    </w:p>
    <w:p w14:paraId="4DFFB463" w14:textId="77777777" w:rsidR="00BC18C1" w:rsidRDefault="00BC18C1" w:rsidP="00BC18C1">
      <w:pPr>
        <w:pStyle w:val="NormalWeb"/>
        <w:spacing w:before="0" w:beforeAutospacing="0" w:after="240" w:afterAutospacing="0" w:line="360" w:lineRule="auto"/>
        <w:jc w:val="both"/>
      </w:pPr>
      <w:r>
        <w:t xml:space="preserve">Mwanzia, S.M. (2019) </w:t>
      </w:r>
      <w:r>
        <w:rPr>
          <w:i/>
          <w:iCs/>
        </w:rPr>
        <w:t>Antecedents of Interest Rate Spread on Loan Portfolio Performance of Listed Commercial Banks in Kenya</w:t>
      </w:r>
      <w:r>
        <w:t xml:space="preserve">, </w:t>
      </w:r>
      <w:r>
        <w:rPr>
          <w:i/>
          <w:iCs/>
        </w:rPr>
        <w:t>ir.jkuat.ac.ke</w:t>
      </w:r>
      <w:r>
        <w:t>. Available at: http://ir.jkuat.ac.ke/handle/123456789/5120 (Accessed: 23 July 2024).</w:t>
      </w:r>
    </w:p>
    <w:p w14:paraId="65B8258F" w14:textId="77777777" w:rsidR="00BC18C1" w:rsidRDefault="00BC18C1" w:rsidP="00BC18C1">
      <w:pPr>
        <w:pStyle w:val="NormalWeb"/>
        <w:spacing w:before="0" w:beforeAutospacing="0" w:after="240" w:afterAutospacing="0" w:line="360" w:lineRule="auto"/>
        <w:jc w:val="both"/>
      </w:pPr>
      <w:proofErr w:type="spellStart"/>
      <w:r>
        <w:t>Newborne</w:t>
      </w:r>
      <w:proofErr w:type="spellEnd"/>
      <w:r>
        <w:t xml:space="preserve">, P. (2022) ‘Crossed wires: public regulation and private action for water stewardship and sustainable farming’, </w:t>
      </w:r>
      <w:r>
        <w:rPr>
          <w:i/>
          <w:iCs/>
        </w:rPr>
        <w:t>Water International</w:t>
      </w:r>
      <w:r>
        <w:t>, 47(7), pp. 1169–1186. Available at: https://doi.org/10.1080/02508060.2022.2133798.</w:t>
      </w:r>
    </w:p>
    <w:p w14:paraId="6485D8DB" w14:textId="77777777" w:rsidR="00BC18C1" w:rsidRDefault="00BC18C1" w:rsidP="00BC18C1">
      <w:pPr>
        <w:pStyle w:val="NormalWeb"/>
        <w:spacing w:before="0" w:beforeAutospacing="0" w:after="240" w:afterAutospacing="0" w:line="360" w:lineRule="auto"/>
        <w:jc w:val="both"/>
      </w:pPr>
      <w:r>
        <w:t xml:space="preserve">O’Higgins, E. (2017) ‘The Ethos of Partnership: The John Lewis Partnership’, </w:t>
      </w:r>
      <w:r>
        <w:rPr>
          <w:i/>
          <w:iCs/>
        </w:rPr>
        <w:t>Progressive Business Models</w:t>
      </w:r>
      <w:r>
        <w:t>, pp. 193–220. Available at: https://doi.org/10.1007/978-3-319-58804-9_9.</w:t>
      </w:r>
    </w:p>
    <w:p w14:paraId="7DDD37B3" w14:textId="77777777" w:rsidR="00BC18C1" w:rsidRDefault="00BC18C1" w:rsidP="00BC18C1">
      <w:pPr>
        <w:pStyle w:val="NormalWeb"/>
        <w:spacing w:before="0" w:beforeAutospacing="0" w:after="240" w:afterAutospacing="0" w:line="360" w:lineRule="auto"/>
        <w:jc w:val="both"/>
      </w:pPr>
      <w:r>
        <w:t xml:space="preserve">Pearson, J. (2020) </w:t>
      </w:r>
      <w:r>
        <w:rPr>
          <w:i/>
          <w:iCs/>
        </w:rPr>
        <w:t>Waitrose launches new distribution centre to double orders in London</w:t>
      </w:r>
      <w:r>
        <w:t xml:space="preserve">, </w:t>
      </w:r>
      <w:proofErr w:type="spellStart"/>
      <w:r>
        <w:rPr>
          <w:i/>
          <w:iCs/>
        </w:rPr>
        <w:t>InternetRetailing</w:t>
      </w:r>
      <w:proofErr w:type="spellEnd"/>
      <w:r>
        <w:t>. Available at: https://internetretailing.net/waitrose-launches-new-distribution-centre-double-orders-london/ (Accessed: 23 July 2024).</w:t>
      </w:r>
    </w:p>
    <w:p w14:paraId="2AAECEAE" w14:textId="77777777" w:rsidR="00BC18C1" w:rsidRDefault="00BC18C1" w:rsidP="00BC18C1">
      <w:pPr>
        <w:pStyle w:val="NormalWeb"/>
        <w:spacing w:before="0" w:beforeAutospacing="0" w:after="240" w:afterAutospacing="0" w:line="360" w:lineRule="auto"/>
        <w:jc w:val="both"/>
      </w:pPr>
      <w:r>
        <w:lastRenderedPageBreak/>
        <w:t xml:space="preserve">Perry, M. (2008) </w:t>
      </w:r>
      <w:r>
        <w:rPr>
          <w:i/>
          <w:iCs/>
        </w:rPr>
        <w:t>https://librarysearch.uwtsd.ac.uk/discovery/fulldisplay?&amp;context=PC&amp;vid=44WHELF_UWTSD:44WHELF_UWTSD_VU1&amp;search_scope=Search_ELEC&amp;tab=Everything&amp;docid=cdi_proquest_reports_217869228</w:t>
      </w:r>
      <w:r>
        <w:t xml:space="preserve">, </w:t>
      </w:r>
      <w:r>
        <w:rPr>
          <w:i/>
          <w:iCs/>
        </w:rPr>
        <w:t>librarysearch.uwtsd.ac.uk</w:t>
      </w:r>
      <w:r>
        <w:t>. Available at: https://librarysearch.uwtsd.ac.uk/permalink/44WHELF_UWTSD/igoone/cdi_proquest_reports_217869228 (Accessed: 23 July 2024).</w:t>
      </w:r>
    </w:p>
    <w:p w14:paraId="0F3BBE68" w14:textId="77777777" w:rsidR="00BC18C1" w:rsidRDefault="00BC18C1" w:rsidP="00BC18C1">
      <w:pPr>
        <w:pStyle w:val="NormalWeb"/>
        <w:spacing w:before="0" w:beforeAutospacing="0" w:after="240" w:afterAutospacing="0" w:line="360" w:lineRule="auto"/>
        <w:jc w:val="both"/>
      </w:pPr>
      <w:r>
        <w:t xml:space="preserve">Piecyk, M. and Allen, J. (2023) </w:t>
      </w:r>
      <w:r>
        <w:rPr>
          <w:i/>
          <w:iCs/>
        </w:rPr>
        <w:t xml:space="preserve">Title Warehousing in the UK: Operations, Planning and </w:t>
      </w:r>
      <w:proofErr w:type="spellStart"/>
      <w:r>
        <w:rPr>
          <w:i/>
          <w:iCs/>
        </w:rPr>
        <w:t>Decarbonisation</w:t>
      </w:r>
      <w:proofErr w:type="spellEnd"/>
      <w:r>
        <w:rPr>
          <w:i/>
          <w:iCs/>
        </w:rPr>
        <w:t xml:space="preserve"> (Briefing Report)</w:t>
      </w:r>
      <w:r>
        <w:t>. Available at: https://www.repository.cam.ac.uk/bitstreams/1ec3f648-564f-4956-bff7-453d1b0c468e/download.</w:t>
      </w:r>
    </w:p>
    <w:p w14:paraId="0204636B" w14:textId="77777777" w:rsidR="00BC18C1" w:rsidRDefault="00BC18C1" w:rsidP="00BC18C1">
      <w:pPr>
        <w:pStyle w:val="NormalWeb"/>
        <w:spacing w:before="0" w:beforeAutospacing="0" w:after="240" w:afterAutospacing="0" w:line="360" w:lineRule="auto"/>
        <w:jc w:val="both"/>
      </w:pPr>
      <w:r>
        <w:t>Plc, J. (2021). Available at: https://www.johnlewispartnership.co.uk/content/dam/cws/pdfs/Juniper/ARA-2021/John-Lewis-plc-RNS-2021.pdf.</w:t>
      </w:r>
    </w:p>
    <w:p w14:paraId="7D66A5DB" w14:textId="77777777" w:rsidR="00BC18C1" w:rsidRDefault="00BC18C1" w:rsidP="00BC18C1">
      <w:pPr>
        <w:pStyle w:val="NormalWeb"/>
        <w:spacing w:before="0" w:beforeAutospacing="0" w:after="240" w:afterAutospacing="0" w:line="360" w:lineRule="auto"/>
        <w:jc w:val="both"/>
      </w:pPr>
      <w:r>
        <w:t xml:space="preserve">Ross, E. (2024) ‘Food and Communicating Sustainability: How Climate Action Can Be Understood in the Home’, </w:t>
      </w:r>
      <w:r>
        <w:rPr>
          <w:i/>
          <w:iCs/>
        </w:rPr>
        <w:t>Emerald Group Publishing Limited eBooks</w:t>
      </w:r>
      <w:r>
        <w:t>, pp. 145–157. Available at: https://doi.org/10.1108/978-1-83753-640-520241020.</w:t>
      </w:r>
    </w:p>
    <w:p w14:paraId="65F5C648" w14:textId="77777777" w:rsidR="00BC18C1" w:rsidRDefault="00BC18C1" w:rsidP="00BC18C1">
      <w:pPr>
        <w:pStyle w:val="NormalWeb"/>
        <w:spacing w:before="0" w:beforeAutospacing="0" w:after="240" w:afterAutospacing="0" w:line="360" w:lineRule="auto"/>
        <w:jc w:val="both"/>
      </w:pPr>
      <w:r>
        <w:t xml:space="preserve">Sainsbury's (2024) </w:t>
      </w:r>
      <w:r>
        <w:rPr>
          <w:i/>
          <w:iCs/>
        </w:rPr>
        <w:t>Results, Reports and Presentations</w:t>
      </w:r>
      <w:r>
        <w:t xml:space="preserve">, </w:t>
      </w:r>
      <w:r>
        <w:rPr>
          <w:i/>
          <w:iCs/>
        </w:rPr>
        <w:t>www.about.sainsburys.co.uk</w:t>
      </w:r>
      <w:r>
        <w:t>. Available at: https://www.about.sainsburys.co.uk/investors/results-reports-and-presentations/results-reports-and-presentations.</w:t>
      </w:r>
    </w:p>
    <w:p w14:paraId="20C4B583" w14:textId="77777777" w:rsidR="00BC18C1" w:rsidRDefault="00BC18C1" w:rsidP="00BC18C1">
      <w:pPr>
        <w:pStyle w:val="NormalWeb"/>
        <w:spacing w:before="0" w:beforeAutospacing="0" w:after="240" w:afterAutospacing="0" w:line="360" w:lineRule="auto"/>
        <w:jc w:val="both"/>
      </w:pPr>
      <w:r>
        <w:t xml:space="preserve">Siegel, J.J. (2021) </w:t>
      </w:r>
      <w:r>
        <w:rPr>
          <w:i/>
          <w:iCs/>
        </w:rPr>
        <w:t>LONG RUN</w:t>
      </w:r>
      <w:r>
        <w:t>. Available at: http://dspace.vnbrims.org:13000/jspui/bitstream/123456789/4791/1/Stocks%20for%20the%20Long%20Run%20The%20Definitive%20Guide%20to%20Financial%20Market%20Returns%20%26%20Long-Term%20Investment%20Strategies.pdf.</w:t>
      </w:r>
    </w:p>
    <w:p w14:paraId="35743802" w14:textId="77777777" w:rsidR="00BC18C1" w:rsidRDefault="00BC18C1" w:rsidP="00BC18C1">
      <w:pPr>
        <w:pStyle w:val="NormalWeb"/>
        <w:spacing w:before="0" w:beforeAutospacing="0" w:after="240" w:afterAutospacing="0" w:line="360" w:lineRule="auto"/>
        <w:jc w:val="both"/>
      </w:pPr>
      <w:r>
        <w:t xml:space="preserve">Sikka, P. and </w:t>
      </w:r>
      <w:proofErr w:type="spellStart"/>
      <w:r>
        <w:t>Stittle</w:t>
      </w:r>
      <w:proofErr w:type="spellEnd"/>
      <w:r>
        <w:t xml:space="preserve">, J. (2019) ‘Debunking the Myth of Shareholder Ownership of Companies: Some Implications for Corporate Governance and financial reporting’, </w:t>
      </w:r>
      <w:r>
        <w:rPr>
          <w:i/>
          <w:iCs/>
        </w:rPr>
        <w:t>Critical Perspectives on Accounting</w:t>
      </w:r>
      <w:r>
        <w:t>, 63. Available at: https://doi.org/10.1016/j.cpa.2017.03.011.</w:t>
      </w:r>
    </w:p>
    <w:p w14:paraId="46958143" w14:textId="77777777" w:rsidR="00BC18C1" w:rsidRDefault="00BC18C1" w:rsidP="00BC18C1">
      <w:pPr>
        <w:pStyle w:val="NormalWeb"/>
        <w:spacing w:before="0" w:beforeAutospacing="0" w:after="240" w:afterAutospacing="0" w:line="360" w:lineRule="auto"/>
        <w:jc w:val="both"/>
      </w:pPr>
      <w:r>
        <w:lastRenderedPageBreak/>
        <w:t xml:space="preserve">Smith, P. (2022) </w:t>
      </w:r>
      <w:r>
        <w:rPr>
          <w:i/>
          <w:iCs/>
        </w:rPr>
        <w:t>Topic: Retail trade in the UK</w:t>
      </w:r>
      <w:r>
        <w:t xml:space="preserve">, </w:t>
      </w:r>
      <w:r>
        <w:rPr>
          <w:i/>
          <w:iCs/>
        </w:rPr>
        <w:t>Statista</w:t>
      </w:r>
      <w:r>
        <w:t>. Available at: https://www.statista.com/topics/8671/retail-trade-in-the-uk/.</w:t>
      </w:r>
    </w:p>
    <w:p w14:paraId="708CCDB0" w14:textId="77777777" w:rsidR="00BC18C1" w:rsidRDefault="00BC18C1" w:rsidP="00BC18C1">
      <w:pPr>
        <w:pStyle w:val="NormalWeb"/>
        <w:spacing w:before="0" w:beforeAutospacing="0" w:after="240" w:afterAutospacing="0" w:line="360" w:lineRule="auto"/>
        <w:jc w:val="both"/>
      </w:pPr>
      <w:r>
        <w:t xml:space="preserve">Suamir, I.N., Wirajati, I.G.A.B. and Santosa, I.D.M.C. (2019) </w:t>
      </w:r>
      <w:r>
        <w:rPr>
          <w:i/>
          <w:iCs/>
        </w:rPr>
        <w:t>Sustainable Energy Technologies to Improve Food Security and Sustainability of Food Chains in Indonesia</w:t>
      </w:r>
      <w:r>
        <w:t xml:space="preserve">, </w:t>
      </w:r>
      <w:r>
        <w:rPr>
          <w:i/>
          <w:iCs/>
        </w:rPr>
        <w:t>repository.pnb.ac.id</w:t>
      </w:r>
      <w:r>
        <w:t>. Available at: http://repository.pnb.ac.id/id/eprint/6198 (Accessed: 23 July 2024).</w:t>
      </w:r>
    </w:p>
    <w:p w14:paraId="64BBDDC9" w14:textId="77777777" w:rsidR="00BC18C1" w:rsidRDefault="00BC18C1" w:rsidP="00BC18C1">
      <w:pPr>
        <w:pStyle w:val="NormalWeb"/>
        <w:spacing w:before="0" w:beforeAutospacing="0" w:after="240" w:afterAutospacing="0" w:line="360" w:lineRule="auto"/>
        <w:jc w:val="both"/>
      </w:pPr>
      <w:r>
        <w:t xml:space="preserve">Verga Matos, P., Barros, V. and Miranda Sarmento, J. (2020) ‘Does ESG Affect the Stability of Dividend Policies in Europe?’, </w:t>
      </w:r>
      <w:r>
        <w:rPr>
          <w:i/>
          <w:iCs/>
        </w:rPr>
        <w:t>Sustainability</w:t>
      </w:r>
      <w:r>
        <w:t>, 12(21), p. 8804. Available at: https://doi.org/10.3390/su12218804.</w:t>
      </w:r>
    </w:p>
    <w:p w14:paraId="163843CF" w14:textId="77777777" w:rsidR="00BC18C1" w:rsidRDefault="00BC18C1" w:rsidP="00BC18C1">
      <w:pPr>
        <w:pStyle w:val="NormalWeb"/>
        <w:spacing w:before="0" w:beforeAutospacing="0" w:after="240" w:afterAutospacing="0" w:line="360" w:lineRule="auto"/>
        <w:jc w:val="both"/>
      </w:pPr>
      <w:r>
        <w:t xml:space="preserve">Vicén Sampériz, C. (2020) ‘Startup Valuation’, </w:t>
      </w:r>
      <w:r>
        <w:rPr>
          <w:i/>
          <w:iCs/>
        </w:rPr>
        <w:t>upcommons.upc.edu</w:t>
      </w:r>
      <w:r>
        <w:t xml:space="preserve"> [Preprint]. Available at: https://upcommons.upc.edu/handle/2117/332804.</w:t>
      </w:r>
    </w:p>
    <w:p w14:paraId="078E233C" w14:textId="77777777" w:rsidR="00BC18C1" w:rsidRDefault="00BC18C1" w:rsidP="00BC18C1">
      <w:pPr>
        <w:pStyle w:val="NormalWeb"/>
        <w:spacing w:before="0" w:beforeAutospacing="0" w:after="240" w:afterAutospacing="0" w:line="360" w:lineRule="auto"/>
        <w:jc w:val="both"/>
      </w:pPr>
      <w:r>
        <w:t xml:space="preserve">Waitrose &amp; Partners (2024) </w:t>
      </w:r>
      <w:r>
        <w:rPr>
          <w:i/>
          <w:iCs/>
        </w:rPr>
        <w:t>Waitrose &amp; Partners</w:t>
      </w:r>
      <w:r>
        <w:t xml:space="preserve">, </w:t>
      </w:r>
      <w:r>
        <w:rPr>
          <w:i/>
          <w:iCs/>
        </w:rPr>
        <w:t>Waitrose.com</w:t>
      </w:r>
      <w:r>
        <w:t>. Available at: https://www.waitrose.com/ecom/content/about-us/company-history.</w:t>
      </w:r>
    </w:p>
    <w:p w14:paraId="72EA6FC3" w14:textId="77777777" w:rsidR="00BC18C1" w:rsidRDefault="00BC18C1" w:rsidP="00BC18C1">
      <w:pPr>
        <w:pStyle w:val="NormalWeb"/>
        <w:spacing w:before="0" w:beforeAutospacing="0" w:after="240" w:afterAutospacing="0" w:line="360" w:lineRule="auto"/>
        <w:jc w:val="both"/>
      </w:pPr>
      <w:proofErr w:type="spellStart"/>
      <w:r>
        <w:t>waitrose</w:t>
      </w:r>
      <w:proofErr w:type="spellEnd"/>
      <w:r>
        <w:t xml:space="preserve"> (2011) </w:t>
      </w:r>
      <w:r>
        <w:rPr>
          <w:i/>
          <w:iCs/>
        </w:rPr>
        <w:t>https://librarysearch.uwtsd.ac.uk/discovery/fulldisplay?&amp;context=PC&amp;vid=44WHELF_UWTSD:44WHELF_UWTSD_VU1&amp;search_scope=Search_ELEC&amp;tab=Everything&amp;docid=cdi_proquest_miscellaneous_878164759</w:t>
      </w:r>
      <w:r>
        <w:t xml:space="preserve">, </w:t>
      </w:r>
      <w:r>
        <w:rPr>
          <w:i/>
          <w:iCs/>
        </w:rPr>
        <w:t>librarysearch.uwtsd.ac.uk</w:t>
      </w:r>
      <w:r>
        <w:t>. Available at: https://librarysearch.uwtsd.ac.uk/permalink/44WHELF_UWTSD/igoone/cdi_proquest_miscellaneous_878164759 (Accessed: 23 July 2024).</w:t>
      </w:r>
    </w:p>
    <w:p w14:paraId="26CE8A2C" w14:textId="77777777" w:rsidR="00BC18C1" w:rsidRDefault="00BC18C1" w:rsidP="00BC18C1">
      <w:pPr>
        <w:pStyle w:val="NormalWeb"/>
        <w:spacing w:before="0" w:beforeAutospacing="0" w:after="240" w:afterAutospacing="0" w:line="360" w:lineRule="auto"/>
        <w:jc w:val="both"/>
      </w:pPr>
      <w:r>
        <w:t xml:space="preserve">WAITROSE (2020) </w:t>
      </w:r>
      <w:r>
        <w:rPr>
          <w:i/>
          <w:iCs/>
        </w:rPr>
        <w:t>Comparative Analysis Between Tesco and Sainsbury’s | PDF | Tesco | Grocery Store</w:t>
      </w:r>
      <w:r>
        <w:t xml:space="preserve">, </w:t>
      </w:r>
      <w:r>
        <w:rPr>
          <w:i/>
          <w:iCs/>
        </w:rPr>
        <w:t>Scribd</w:t>
      </w:r>
      <w:r>
        <w:t>. Available at: https://www.scribd.com/document/396888883/Comparative-Analysis-between-Tesco-and-Sainsbury-s.</w:t>
      </w:r>
    </w:p>
    <w:p w14:paraId="5C97770D" w14:textId="77777777" w:rsidR="00BC18C1" w:rsidRDefault="00BC18C1" w:rsidP="00BC18C1">
      <w:pPr>
        <w:pStyle w:val="NormalWeb"/>
        <w:spacing w:before="0" w:beforeAutospacing="0" w:after="240" w:afterAutospacing="0" w:line="360" w:lineRule="auto"/>
        <w:jc w:val="both"/>
      </w:pPr>
      <w:proofErr w:type="spellStart"/>
      <w:r>
        <w:t>waitrose</w:t>
      </w:r>
      <w:proofErr w:type="spellEnd"/>
      <w:r>
        <w:t xml:space="preserve"> (2023) </w:t>
      </w:r>
      <w:r>
        <w:rPr>
          <w:i/>
          <w:iCs/>
        </w:rPr>
        <w:t>Waitrose: like-for-like sales growth 2021</w:t>
      </w:r>
      <w:r>
        <w:t xml:space="preserve">, </w:t>
      </w:r>
      <w:r>
        <w:rPr>
          <w:i/>
          <w:iCs/>
        </w:rPr>
        <w:t>Statista</w:t>
      </w:r>
      <w:r>
        <w:t>. Available at: https://www.statista.com/statistics/1044295/waitrose-and-partners-like-for-like-sales-growth-in-the-uk/.</w:t>
      </w:r>
    </w:p>
    <w:p w14:paraId="39BF08FC" w14:textId="77777777" w:rsidR="00BC18C1" w:rsidRDefault="00BC18C1" w:rsidP="00BC18C1">
      <w:pPr>
        <w:pStyle w:val="NormalWeb"/>
        <w:spacing w:before="0" w:beforeAutospacing="0" w:after="240" w:afterAutospacing="0" w:line="360" w:lineRule="auto"/>
        <w:jc w:val="both"/>
      </w:pPr>
      <w:proofErr w:type="spellStart"/>
      <w:r>
        <w:t>waitrose</w:t>
      </w:r>
      <w:proofErr w:type="spellEnd"/>
      <w:r>
        <w:t xml:space="preserve"> (2024) </w:t>
      </w:r>
      <w:r>
        <w:rPr>
          <w:i/>
          <w:iCs/>
        </w:rPr>
        <w:t>Waitrose sales growth Great Britain 2015-2019</w:t>
      </w:r>
      <w:r>
        <w:t xml:space="preserve">, </w:t>
      </w:r>
      <w:r>
        <w:rPr>
          <w:i/>
          <w:iCs/>
        </w:rPr>
        <w:t>Statista</w:t>
      </w:r>
      <w:r>
        <w:t>. Available at: https://www.statista.com/statistics/603429/waitrose-sales-percentage-change-great-britain-uk/.</w:t>
      </w:r>
    </w:p>
    <w:p w14:paraId="70C88E86" w14:textId="77777777" w:rsidR="00BC18C1" w:rsidRDefault="00BC18C1" w:rsidP="00BC18C1">
      <w:pPr>
        <w:pStyle w:val="NormalWeb"/>
        <w:spacing w:before="0" w:beforeAutospacing="0" w:after="240" w:afterAutospacing="0" w:line="360" w:lineRule="auto"/>
        <w:jc w:val="both"/>
      </w:pPr>
      <w:r>
        <w:lastRenderedPageBreak/>
        <w:t xml:space="preserve">Waitrose names Emma Isaac as new head of brand marketing (2021) </w:t>
      </w:r>
      <w:r>
        <w:rPr>
          <w:i/>
          <w:iCs/>
        </w:rPr>
        <w:t>https://librarysearch.uwtsd.ac.uk/discovery/fulldisplay?&amp;context=PC&amp;vid=44WHELF_UWTSD:44WHELF_UWTSD_VU1&amp;search_scope=Search_ELEC&amp;tab=Everything&amp;docid=cdi_proquest_reports_2510534117</w:t>
      </w:r>
      <w:r>
        <w:t xml:space="preserve">, </w:t>
      </w:r>
      <w:r>
        <w:rPr>
          <w:i/>
          <w:iCs/>
        </w:rPr>
        <w:t>librarysearch.uwtsd.ac.uk</w:t>
      </w:r>
      <w:r>
        <w:t>. Available at: https://librarysearch.uwtsd.ac.uk/permalink/44WHELF_UWTSD/igoone/cdi_proquest_reports_2510534117 (Accessed: 23 July 2024).</w:t>
      </w:r>
    </w:p>
    <w:p w14:paraId="5910A8DC" w14:textId="77777777" w:rsidR="00BC18C1" w:rsidRDefault="00BC18C1" w:rsidP="00BC18C1">
      <w:pPr>
        <w:pStyle w:val="NormalWeb"/>
        <w:spacing w:before="0" w:beforeAutospacing="0" w:after="240" w:afterAutospacing="0" w:line="360" w:lineRule="auto"/>
        <w:jc w:val="both"/>
      </w:pPr>
      <w:r>
        <w:t xml:space="preserve">Wood, N. (2023) </w:t>
      </w:r>
      <w:r>
        <w:rPr>
          <w:i/>
          <w:iCs/>
        </w:rPr>
        <w:t xml:space="preserve">The Shelf Life of a Lettuce: Provisioning in the ‘cost of living </w:t>
      </w:r>
      <w:proofErr w:type="gramStart"/>
      <w:r>
        <w:rPr>
          <w:i/>
          <w:iCs/>
        </w:rPr>
        <w:t>crisis’</w:t>
      </w:r>
      <w:proofErr w:type="gramEnd"/>
      <w:r>
        <w:t>. Available at: https://researchspace.auckland.ac.nz/bitstream/handle/2292/66613/Wood-2023-thesis.pdf?sequence=4.</w:t>
      </w:r>
    </w:p>
    <w:p w14:paraId="5AF830D3" w14:textId="01825379" w:rsidR="00274565" w:rsidRPr="0075577A" w:rsidRDefault="00274565" w:rsidP="00274565">
      <w:pPr>
        <w:spacing w:line="360" w:lineRule="auto"/>
        <w:jc w:val="both"/>
        <w:rPr>
          <w:rFonts w:ascii="Times New Roman" w:hAnsi="Times New Roman" w:cs="Times New Roman"/>
          <w:sz w:val="24"/>
          <w:szCs w:val="24"/>
        </w:rPr>
      </w:pPr>
    </w:p>
    <w:sectPr w:rsidR="00274565" w:rsidRPr="0075577A" w:rsidSect="00274565">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B736C4"/>
    <w:multiLevelType w:val="multilevel"/>
    <w:tmpl w:val="6242E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5723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77A"/>
    <w:rsid w:val="00091741"/>
    <w:rsid w:val="0009668E"/>
    <w:rsid w:val="000D35B7"/>
    <w:rsid w:val="00110D45"/>
    <w:rsid w:val="00150F43"/>
    <w:rsid w:val="00166227"/>
    <w:rsid w:val="00173CBF"/>
    <w:rsid w:val="00196D44"/>
    <w:rsid w:val="001E19EB"/>
    <w:rsid w:val="00237F65"/>
    <w:rsid w:val="00256A91"/>
    <w:rsid w:val="00274565"/>
    <w:rsid w:val="0028678B"/>
    <w:rsid w:val="00310C18"/>
    <w:rsid w:val="00346642"/>
    <w:rsid w:val="003E14E5"/>
    <w:rsid w:val="004C78AD"/>
    <w:rsid w:val="0050378C"/>
    <w:rsid w:val="00505A22"/>
    <w:rsid w:val="00524C81"/>
    <w:rsid w:val="00605839"/>
    <w:rsid w:val="006452C2"/>
    <w:rsid w:val="006A6D02"/>
    <w:rsid w:val="006C240D"/>
    <w:rsid w:val="007227C6"/>
    <w:rsid w:val="0072672F"/>
    <w:rsid w:val="00734CA5"/>
    <w:rsid w:val="00751BB8"/>
    <w:rsid w:val="0075577A"/>
    <w:rsid w:val="007966E2"/>
    <w:rsid w:val="008B6F98"/>
    <w:rsid w:val="008F4DAE"/>
    <w:rsid w:val="009042B3"/>
    <w:rsid w:val="00A5694C"/>
    <w:rsid w:val="00A66689"/>
    <w:rsid w:val="00B1733E"/>
    <w:rsid w:val="00B50DFF"/>
    <w:rsid w:val="00B5712F"/>
    <w:rsid w:val="00B972BB"/>
    <w:rsid w:val="00BC18C1"/>
    <w:rsid w:val="00C817BC"/>
    <w:rsid w:val="00CD0751"/>
    <w:rsid w:val="00D91B49"/>
    <w:rsid w:val="00D95BC4"/>
    <w:rsid w:val="00DA23BF"/>
    <w:rsid w:val="00DF3861"/>
    <w:rsid w:val="00E9772A"/>
    <w:rsid w:val="00ED03D0"/>
    <w:rsid w:val="00F002D3"/>
    <w:rsid w:val="00F45AC2"/>
    <w:rsid w:val="00FA2068"/>
    <w:rsid w:val="00FB0225"/>
    <w:rsid w:val="00FE7F3C"/>
    <w:rsid w:val="00FF6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4D0150"/>
  <w15:chartTrackingRefBased/>
  <w15:docId w15:val="{6DC7A129-BB84-4A5A-B7FD-B746E8E2D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751"/>
    <w:pPr>
      <w:keepNext/>
      <w:keepLines/>
      <w:spacing w:before="480" w:after="240"/>
      <w:outlineLvl w:val="0"/>
    </w:pPr>
    <w:rPr>
      <w:rFonts w:asciiTheme="majorBidi" w:eastAsiaTheme="majorEastAsia" w:hAnsiTheme="majorBidi" w:cstheme="majorBidi"/>
      <w:b/>
      <w:color w:val="000000" w:themeColor="text1"/>
      <w:sz w:val="28"/>
      <w:szCs w:val="32"/>
    </w:rPr>
  </w:style>
  <w:style w:type="paragraph" w:styleId="Heading2">
    <w:name w:val="heading 2"/>
    <w:basedOn w:val="Normal"/>
    <w:next w:val="Normal"/>
    <w:link w:val="Heading2Char"/>
    <w:uiPriority w:val="9"/>
    <w:unhideWhenUsed/>
    <w:qFormat/>
    <w:rsid w:val="00CD0751"/>
    <w:pPr>
      <w:keepNext/>
      <w:keepLines/>
      <w:spacing w:before="160" w:after="120"/>
      <w:outlineLvl w:val="1"/>
    </w:pPr>
    <w:rPr>
      <w:rFonts w:asciiTheme="majorBidi" w:eastAsiaTheme="majorEastAsia" w:hAnsiTheme="majorBidi" w:cstheme="majorBidi"/>
      <w:b/>
      <w:i/>
      <w:color w:val="000000" w:themeColor="text1"/>
      <w:sz w:val="24"/>
      <w:szCs w:val="26"/>
    </w:rPr>
  </w:style>
  <w:style w:type="paragraph" w:styleId="Heading3">
    <w:name w:val="heading 3"/>
    <w:basedOn w:val="Normal"/>
    <w:next w:val="Normal"/>
    <w:link w:val="Heading3Char"/>
    <w:uiPriority w:val="9"/>
    <w:unhideWhenUsed/>
    <w:qFormat/>
    <w:rsid w:val="0009668E"/>
    <w:pPr>
      <w:keepNext/>
      <w:keepLines/>
      <w:spacing w:before="280" w:beforeAutospacing="1" w:after="240" w:line="273" w:lineRule="auto"/>
      <w:outlineLvl w:val="2"/>
    </w:pPr>
    <w:rPr>
      <w:rFonts w:asciiTheme="majorBidi" w:eastAsiaTheme="majorEastAsia" w:hAnsiTheme="majorBidi" w:cstheme="majorBidi"/>
      <w:b/>
      <w:color w:val="000000" w:themeColor="text1"/>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751"/>
    <w:rPr>
      <w:rFonts w:asciiTheme="majorBidi" w:eastAsiaTheme="majorEastAsia" w:hAnsiTheme="majorBidi" w:cstheme="majorBidi"/>
      <w:b/>
      <w:color w:val="000000" w:themeColor="text1"/>
      <w:sz w:val="28"/>
      <w:szCs w:val="32"/>
    </w:rPr>
  </w:style>
  <w:style w:type="character" w:customStyle="1" w:styleId="Heading2Char">
    <w:name w:val="Heading 2 Char"/>
    <w:basedOn w:val="DefaultParagraphFont"/>
    <w:link w:val="Heading2"/>
    <w:uiPriority w:val="9"/>
    <w:qFormat/>
    <w:rsid w:val="00CD0751"/>
    <w:rPr>
      <w:rFonts w:asciiTheme="majorBidi" w:eastAsiaTheme="majorEastAsia" w:hAnsiTheme="majorBidi" w:cstheme="majorBidi"/>
      <w:b/>
      <w:i/>
      <w:color w:val="000000" w:themeColor="text1"/>
      <w:sz w:val="24"/>
      <w:szCs w:val="26"/>
    </w:rPr>
  </w:style>
  <w:style w:type="character" w:customStyle="1" w:styleId="Heading3Char">
    <w:name w:val="Heading 3 Char"/>
    <w:basedOn w:val="DefaultParagraphFont"/>
    <w:link w:val="Heading3"/>
    <w:uiPriority w:val="9"/>
    <w:rsid w:val="0009668E"/>
    <w:rPr>
      <w:rFonts w:asciiTheme="majorBidi" w:eastAsiaTheme="majorEastAsia" w:hAnsiTheme="majorBidi" w:cstheme="majorBidi"/>
      <w:b/>
      <w:color w:val="000000" w:themeColor="text1"/>
      <w:sz w:val="28"/>
      <w:szCs w:val="24"/>
      <w:u w:val="single"/>
    </w:rPr>
  </w:style>
  <w:style w:type="paragraph" w:styleId="Caption">
    <w:name w:val="caption"/>
    <w:basedOn w:val="Normal"/>
    <w:next w:val="Normal"/>
    <w:uiPriority w:val="35"/>
    <w:unhideWhenUsed/>
    <w:qFormat/>
    <w:rsid w:val="00A5694C"/>
    <w:pPr>
      <w:spacing w:line="240" w:lineRule="auto"/>
    </w:pPr>
    <w:rPr>
      <w:i/>
      <w:iCs/>
      <w:color w:val="1F497D" w:themeColor="text2"/>
      <w:sz w:val="18"/>
      <w:szCs w:val="18"/>
    </w:rPr>
  </w:style>
  <w:style w:type="table" w:styleId="TableGrid">
    <w:name w:val="Table Grid"/>
    <w:basedOn w:val="TableNormal"/>
    <w:uiPriority w:val="59"/>
    <w:rsid w:val="00503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74565"/>
    <w:pPr>
      <w:spacing w:after="0" w:line="240" w:lineRule="auto"/>
    </w:pPr>
    <w:rPr>
      <w:rFonts w:eastAsiaTheme="minorEastAsia"/>
    </w:rPr>
  </w:style>
  <w:style w:type="character" w:customStyle="1" w:styleId="NoSpacingChar">
    <w:name w:val="No Spacing Char"/>
    <w:basedOn w:val="DefaultParagraphFont"/>
    <w:link w:val="NoSpacing"/>
    <w:uiPriority w:val="1"/>
    <w:rsid w:val="00274565"/>
    <w:rPr>
      <w:rFonts w:eastAsiaTheme="minorEastAsia"/>
    </w:rPr>
  </w:style>
  <w:style w:type="paragraph" w:styleId="TOCHeading">
    <w:name w:val="TOC Heading"/>
    <w:basedOn w:val="Heading1"/>
    <w:next w:val="Normal"/>
    <w:uiPriority w:val="39"/>
    <w:unhideWhenUsed/>
    <w:qFormat/>
    <w:rsid w:val="00274565"/>
    <w:pPr>
      <w:spacing w:before="240" w:after="0" w:line="259" w:lineRule="auto"/>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274565"/>
    <w:pPr>
      <w:spacing w:after="100"/>
    </w:pPr>
  </w:style>
  <w:style w:type="paragraph" w:styleId="TOC2">
    <w:name w:val="toc 2"/>
    <w:basedOn w:val="Normal"/>
    <w:next w:val="Normal"/>
    <w:autoRedefine/>
    <w:uiPriority w:val="39"/>
    <w:unhideWhenUsed/>
    <w:rsid w:val="00274565"/>
    <w:pPr>
      <w:spacing w:after="100"/>
      <w:ind w:left="220"/>
    </w:pPr>
  </w:style>
  <w:style w:type="character" w:styleId="Hyperlink">
    <w:name w:val="Hyperlink"/>
    <w:basedOn w:val="DefaultParagraphFont"/>
    <w:uiPriority w:val="99"/>
    <w:unhideWhenUsed/>
    <w:rsid w:val="00274565"/>
    <w:rPr>
      <w:color w:val="0000FF" w:themeColor="hyperlink"/>
      <w:u w:val="single"/>
    </w:rPr>
  </w:style>
  <w:style w:type="character" w:customStyle="1" w:styleId="UnresolvedMention1">
    <w:name w:val="Unresolved Mention1"/>
    <w:basedOn w:val="DefaultParagraphFont"/>
    <w:uiPriority w:val="99"/>
    <w:semiHidden/>
    <w:unhideWhenUsed/>
    <w:rsid w:val="00274565"/>
    <w:rPr>
      <w:color w:val="605E5C"/>
      <w:shd w:val="clear" w:color="auto" w:fill="E1DFDD"/>
    </w:rPr>
  </w:style>
  <w:style w:type="paragraph" w:styleId="NormalWeb">
    <w:name w:val="Normal (Web)"/>
    <w:basedOn w:val="Normal"/>
    <w:uiPriority w:val="99"/>
    <w:semiHidden/>
    <w:unhideWhenUsed/>
    <w:rsid w:val="00F45AC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159856">
      <w:bodyDiv w:val="1"/>
      <w:marLeft w:val="0"/>
      <w:marRight w:val="0"/>
      <w:marTop w:val="0"/>
      <w:marBottom w:val="0"/>
      <w:divBdr>
        <w:top w:val="none" w:sz="0" w:space="0" w:color="auto"/>
        <w:left w:val="none" w:sz="0" w:space="0" w:color="auto"/>
        <w:bottom w:val="none" w:sz="0" w:space="0" w:color="auto"/>
        <w:right w:val="none" w:sz="0" w:space="0" w:color="auto"/>
      </w:divBdr>
    </w:div>
    <w:div w:id="518860401">
      <w:bodyDiv w:val="1"/>
      <w:marLeft w:val="0"/>
      <w:marRight w:val="0"/>
      <w:marTop w:val="0"/>
      <w:marBottom w:val="0"/>
      <w:divBdr>
        <w:top w:val="none" w:sz="0" w:space="0" w:color="auto"/>
        <w:left w:val="none" w:sz="0" w:space="0" w:color="auto"/>
        <w:bottom w:val="none" w:sz="0" w:space="0" w:color="auto"/>
        <w:right w:val="none" w:sz="0" w:space="0" w:color="auto"/>
      </w:divBdr>
    </w:div>
    <w:div w:id="700394497">
      <w:bodyDiv w:val="1"/>
      <w:marLeft w:val="0"/>
      <w:marRight w:val="0"/>
      <w:marTop w:val="0"/>
      <w:marBottom w:val="0"/>
      <w:divBdr>
        <w:top w:val="none" w:sz="0" w:space="0" w:color="auto"/>
        <w:left w:val="none" w:sz="0" w:space="0" w:color="auto"/>
        <w:bottom w:val="none" w:sz="0" w:space="0" w:color="auto"/>
        <w:right w:val="none" w:sz="0" w:space="0" w:color="auto"/>
      </w:divBdr>
    </w:div>
    <w:div w:id="942422867">
      <w:bodyDiv w:val="1"/>
      <w:marLeft w:val="0"/>
      <w:marRight w:val="0"/>
      <w:marTop w:val="0"/>
      <w:marBottom w:val="0"/>
      <w:divBdr>
        <w:top w:val="none" w:sz="0" w:space="0" w:color="auto"/>
        <w:left w:val="none" w:sz="0" w:space="0" w:color="auto"/>
        <w:bottom w:val="none" w:sz="0" w:space="0" w:color="auto"/>
        <w:right w:val="none" w:sz="0" w:space="0" w:color="auto"/>
      </w:divBdr>
    </w:div>
    <w:div w:id="1102801383">
      <w:bodyDiv w:val="1"/>
      <w:marLeft w:val="0"/>
      <w:marRight w:val="0"/>
      <w:marTop w:val="0"/>
      <w:marBottom w:val="0"/>
      <w:divBdr>
        <w:top w:val="none" w:sz="0" w:space="0" w:color="auto"/>
        <w:left w:val="none" w:sz="0" w:space="0" w:color="auto"/>
        <w:bottom w:val="none" w:sz="0" w:space="0" w:color="auto"/>
        <w:right w:val="none" w:sz="0" w:space="0" w:color="auto"/>
      </w:divBdr>
    </w:div>
    <w:div w:id="1257177956">
      <w:bodyDiv w:val="1"/>
      <w:marLeft w:val="0"/>
      <w:marRight w:val="0"/>
      <w:marTop w:val="0"/>
      <w:marBottom w:val="0"/>
      <w:divBdr>
        <w:top w:val="none" w:sz="0" w:space="0" w:color="auto"/>
        <w:left w:val="none" w:sz="0" w:space="0" w:color="auto"/>
        <w:bottom w:val="none" w:sz="0" w:space="0" w:color="auto"/>
        <w:right w:val="none" w:sz="0" w:space="0" w:color="auto"/>
      </w:divBdr>
      <w:divsChild>
        <w:div w:id="1894998198">
          <w:marLeft w:val="0"/>
          <w:marRight w:val="0"/>
          <w:marTop w:val="0"/>
          <w:marBottom w:val="0"/>
          <w:divBdr>
            <w:top w:val="none" w:sz="0" w:space="0" w:color="auto"/>
            <w:left w:val="none" w:sz="0" w:space="0" w:color="auto"/>
            <w:bottom w:val="none" w:sz="0" w:space="0" w:color="auto"/>
            <w:right w:val="none" w:sz="0" w:space="0" w:color="auto"/>
          </w:divBdr>
        </w:div>
      </w:divsChild>
    </w:div>
    <w:div w:id="1337658866">
      <w:bodyDiv w:val="1"/>
      <w:marLeft w:val="0"/>
      <w:marRight w:val="0"/>
      <w:marTop w:val="0"/>
      <w:marBottom w:val="0"/>
      <w:divBdr>
        <w:top w:val="none" w:sz="0" w:space="0" w:color="auto"/>
        <w:left w:val="none" w:sz="0" w:space="0" w:color="auto"/>
        <w:bottom w:val="none" w:sz="0" w:space="0" w:color="auto"/>
        <w:right w:val="none" w:sz="0" w:space="0" w:color="auto"/>
      </w:divBdr>
    </w:div>
    <w:div w:id="1683361076">
      <w:bodyDiv w:val="1"/>
      <w:marLeft w:val="0"/>
      <w:marRight w:val="0"/>
      <w:marTop w:val="0"/>
      <w:marBottom w:val="0"/>
      <w:divBdr>
        <w:top w:val="none" w:sz="0" w:space="0" w:color="auto"/>
        <w:left w:val="none" w:sz="0" w:space="0" w:color="auto"/>
        <w:bottom w:val="none" w:sz="0" w:space="0" w:color="auto"/>
        <w:right w:val="none" w:sz="0" w:space="0" w:color="auto"/>
      </w:divBdr>
    </w:div>
    <w:div w:id="1715344486">
      <w:bodyDiv w:val="1"/>
      <w:marLeft w:val="0"/>
      <w:marRight w:val="0"/>
      <w:marTop w:val="0"/>
      <w:marBottom w:val="0"/>
      <w:divBdr>
        <w:top w:val="none" w:sz="0" w:space="0" w:color="auto"/>
        <w:left w:val="none" w:sz="0" w:space="0" w:color="auto"/>
        <w:bottom w:val="none" w:sz="0" w:space="0" w:color="auto"/>
        <w:right w:val="none" w:sz="0" w:space="0" w:color="auto"/>
      </w:divBdr>
    </w:div>
    <w:div w:id="1748645794">
      <w:bodyDiv w:val="1"/>
      <w:marLeft w:val="0"/>
      <w:marRight w:val="0"/>
      <w:marTop w:val="0"/>
      <w:marBottom w:val="0"/>
      <w:divBdr>
        <w:top w:val="none" w:sz="0" w:space="0" w:color="auto"/>
        <w:left w:val="none" w:sz="0" w:space="0" w:color="auto"/>
        <w:bottom w:val="none" w:sz="0" w:space="0" w:color="auto"/>
        <w:right w:val="none" w:sz="0" w:space="0" w:color="auto"/>
      </w:divBdr>
    </w:div>
    <w:div w:id="1932817414">
      <w:bodyDiv w:val="1"/>
      <w:marLeft w:val="0"/>
      <w:marRight w:val="0"/>
      <w:marTop w:val="0"/>
      <w:marBottom w:val="0"/>
      <w:divBdr>
        <w:top w:val="none" w:sz="0" w:space="0" w:color="auto"/>
        <w:left w:val="none" w:sz="0" w:space="0" w:color="auto"/>
        <w:bottom w:val="none" w:sz="0" w:space="0" w:color="auto"/>
        <w:right w:val="none" w:sz="0" w:space="0" w:color="auto"/>
      </w:divBdr>
    </w:div>
    <w:div w:id="2034846506">
      <w:bodyDiv w:val="1"/>
      <w:marLeft w:val="0"/>
      <w:marRight w:val="0"/>
      <w:marTop w:val="0"/>
      <w:marBottom w:val="0"/>
      <w:divBdr>
        <w:top w:val="none" w:sz="0" w:space="0" w:color="auto"/>
        <w:left w:val="none" w:sz="0" w:space="0" w:color="auto"/>
        <w:bottom w:val="none" w:sz="0" w:space="0" w:color="auto"/>
        <w:right w:val="none" w:sz="0" w:space="0" w:color="auto"/>
      </w:divBdr>
    </w:div>
    <w:div w:id="2071224878">
      <w:bodyDiv w:val="1"/>
      <w:marLeft w:val="0"/>
      <w:marRight w:val="0"/>
      <w:marTop w:val="0"/>
      <w:marBottom w:val="0"/>
      <w:divBdr>
        <w:top w:val="none" w:sz="0" w:space="0" w:color="auto"/>
        <w:left w:val="none" w:sz="0" w:space="0" w:color="auto"/>
        <w:bottom w:val="none" w:sz="0" w:space="0" w:color="auto"/>
        <w:right w:val="none" w:sz="0" w:space="0" w:color="auto"/>
      </w:divBdr>
      <w:divsChild>
        <w:div w:id="1788815359">
          <w:marLeft w:val="0"/>
          <w:marRight w:val="0"/>
          <w:marTop w:val="0"/>
          <w:marBottom w:val="0"/>
          <w:divBdr>
            <w:top w:val="none" w:sz="0" w:space="0" w:color="auto"/>
            <w:left w:val="none" w:sz="0" w:space="0" w:color="auto"/>
            <w:bottom w:val="none" w:sz="0" w:space="0" w:color="auto"/>
            <w:right w:val="none" w:sz="0" w:space="0" w:color="auto"/>
          </w:divBdr>
          <w:divsChild>
            <w:div w:id="120344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E8A88-F21B-4112-9BB8-B2C60BF95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7449</Words>
  <Characters>42465</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Office</dc:creator>
  <cp:keywords/>
  <dc:description/>
  <cp:lastModifiedBy>Andrei Maximiuc</cp:lastModifiedBy>
  <cp:revision>2</cp:revision>
  <dcterms:created xsi:type="dcterms:W3CDTF">2024-08-21T07:44:00Z</dcterms:created>
  <dcterms:modified xsi:type="dcterms:W3CDTF">2024-08-21T07:44:00Z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c700ac0c-c61c-4dd0-8ef5-8c2b0a27233c</vt:lpwstr>
  </property>
</Properties>
</file>