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B50599" w14:textId="77777777" w:rsidR="00DC1B86" w:rsidRPr="00FD6ADF" w:rsidRDefault="00DC1B86" w:rsidP="00864ECD">
      <w:pPr>
        <w:spacing w:before="600" w:line="360" w:lineRule="auto"/>
        <w:rPr>
          <w:rFonts w:ascii="Arial" w:hAnsi="Arial" w:cs="Arial"/>
          <w:sz w:val="22"/>
          <w:szCs w:val="22"/>
        </w:rPr>
      </w:pPr>
    </w:p>
    <w:p w14:paraId="5BA4853D" w14:textId="77777777" w:rsidR="00DC1B86" w:rsidRPr="00FD6ADF" w:rsidRDefault="00F13A6B" w:rsidP="00864ECD">
      <w:pPr>
        <w:spacing w:after="200" w:line="360" w:lineRule="auto"/>
        <w:jc w:val="center"/>
        <w:rPr>
          <w:rFonts w:ascii="Arial" w:hAnsi="Arial" w:cs="Arial"/>
          <w:sz w:val="22"/>
          <w:szCs w:val="22"/>
        </w:rPr>
      </w:pPr>
      <w:r w:rsidRPr="00FD6ADF">
        <w:rPr>
          <w:rFonts w:ascii="Arial" w:hAnsi="Arial" w:cs="Arial"/>
          <w:b/>
          <w:bCs/>
          <w:sz w:val="22"/>
          <w:szCs w:val="22"/>
        </w:rPr>
        <w:t>LCLM5002</w:t>
      </w:r>
    </w:p>
    <w:p w14:paraId="51985A03" w14:textId="77777777" w:rsidR="00DC1B86" w:rsidRPr="00FD6ADF" w:rsidRDefault="00F13A6B" w:rsidP="00864ECD">
      <w:pPr>
        <w:spacing w:after="400" w:line="360" w:lineRule="auto"/>
        <w:jc w:val="center"/>
        <w:rPr>
          <w:rFonts w:ascii="Arial" w:hAnsi="Arial" w:cs="Arial"/>
          <w:sz w:val="22"/>
          <w:szCs w:val="22"/>
        </w:rPr>
      </w:pPr>
      <w:r w:rsidRPr="00FD6ADF">
        <w:rPr>
          <w:rFonts w:ascii="Arial" w:hAnsi="Arial" w:cs="Arial"/>
          <w:sz w:val="22"/>
          <w:szCs w:val="22"/>
        </w:rPr>
        <w:t>Developing and Managing Individuals and Teams</w:t>
      </w:r>
    </w:p>
    <w:p w14:paraId="5CC211A9" w14:textId="77777777" w:rsidR="00DC1B86" w:rsidRPr="00FD6ADF" w:rsidRDefault="00F13A6B" w:rsidP="00864ECD">
      <w:pPr>
        <w:spacing w:after="200" w:line="360" w:lineRule="auto"/>
        <w:jc w:val="center"/>
        <w:rPr>
          <w:rFonts w:ascii="Arial" w:hAnsi="Arial" w:cs="Arial"/>
          <w:sz w:val="22"/>
          <w:szCs w:val="22"/>
        </w:rPr>
      </w:pPr>
      <w:r w:rsidRPr="00FD6ADF">
        <w:rPr>
          <w:rFonts w:ascii="Arial" w:hAnsi="Arial" w:cs="Arial"/>
          <w:i/>
          <w:iCs/>
          <w:sz w:val="22"/>
          <w:szCs w:val="22"/>
        </w:rPr>
        <w:t>Component 2 – Individual Report</w:t>
      </w:r>
    </w:p>
    <w:p w14:paraId="1C2C61CE" w14:textId="77777777" w:rsidR="00DC1B86" w:rsidRPr="00FD6ADF" w:rsidRDefault="00DC1B86" w:rsidP="00864ECD">
      <w:pPr>
        <w:spacing w:before="400" w:line="360" w:lineRule="auto"/>
        <w:rPr>
          <w:rFonts w:ascii="Arial" w:hAnsi="Arial" w:cs="Arial"/>
          <w:sz w:val="22"/>
          <w:szCs w:val="22"/>
        </w:rPr>
      </w:pPr>
    </w:p>
    <w:p w14:paraId="6DB0D468" w14:textId="77777777" w:rsidR="00DC1B86" w:rsidRPr="00FD6ADF" w:rsidRDefault="00F13A6B" w:rsidP="00864ECD">
      <w:pPr>
        <w:spacing w:after="200" w:line="360" w:lineRule="auto"/>
        <w:jc w:val="center"/>
        <w:rPr>
          <w:rFonts w:ascii="Arial" w:hAnsi="Arial" w:cs="Arial"/>
          <w:sz w:val="22"/>
          <w:szCs w:val="22"/>
        </w:rPr>
      </w:pPr>
      <w:r w:rsidRPr="00FD6ADF">
        <w:rPr>
          <w:rFonts w:ascii="Arial" w:hAnsi="Arial" w:cs="Arial"/>
          <w:b/>
          <w:bCs/>
          <w:sz w:val="22"/>
          <w:szCs w:val="22"/>
        </w:rPr>
        <w:t>Contemporary HR Challenges at Sainsbury's</w:t>
      </w:r>
    </w:p>
    <w:p w14:paraId="33D178F1" w14:textId="77777777" w:rsidR="00DC1B86" w:rsidRPr="00FD6ADF" w:rsidRDefault="00F13A6B" w:rsidP="00864ECD">
      <w:pPr>
        <w:spacing w:after="400" w:line="360" w:lineRule="auto"/>
        <w:jc w:val="center"/>
        <w:rPr>
          <w:rFonts w:ascii="Arial" w:hAnsi="Arial" w:cs="Arial"/>
          <w:sz w:val="22"/>
          <w:szCs w:val="22"/>
        </w:rPr>
      </w:pPr>
      <w:r w:rsidRPr="00FD6ADF">
        <w:rPr>
          <w:rFonts w:ascii="Arial" w:hAnsi="Arial" w:cs="Arial"/>
          <w:i/>
          <w:iCs/>
          <w:sz w:val="22"/>
          <w:szCs w:val="22"/>
        </w:rPr>
        <w:t>Technological Adaptation, Talent Acquisition &amp; Retention, and DEI during the 'Next Level' Transformation</w:t>
      </w:r>
    </w:p>
    <w:p w14:paraId="06198368" w14:textId="77777777" w:rsidR="00DC1B86" w:rsidRPr="00FD6ADF" w:rsidRDefault="00DC1B86" w:rsidP="00864ECD">
      <w:pPr>
        <w:spacing w:before="600" w:line="360" w:lineRule="auto"/>
        <w:rPr>
          <w:rFonts w:ascii="Arial" w:hAnsi="Arial" w:cs="Arial"/>
          <w:sz w:val="22"/>
          <w:szCs w:val="22"/>
        </w:rPr>
      </w:pPr>
    </w:p>
    <w:p w14:paraId="1BD2D5B2" w14:textId="77777777" w:rsidR="00DC1B86" w:rsidRPr="00FD6ADF" w:rsidRDefault="00F13A6B" w:rsidP="00864ECD">
      <w:pPr>
        <w:spacing w:after="100" w:line="360" w:lineRule="auto"/>
        <w:jc w:val="center"/>
        <w:rPr>
          <w:rFonts w:ascii="Arial" w:hAnsi="Arial" w:cs="Arial"/>
          <w:sz w:val="22"/>
          <w:szCs w:val="22"/>
        </w:rPr>
      </w:pPr>
      <w:r w:rsidRPr="00FD6ADF">
        <w:rPr>
          <w:rFonts w:ascii="Arial" w:hAnsi="Arial" w:cs="Arial"/>
          <w:b/>
          <w:bCs/>
          <w:sz w:val="22"/>
          <w:szCs w:val="22"/>
        </w:rPr>
        <w:t>Alex Valentin Ismail</w:t>
      </w:r>
    </w:p>
    <w:p w14:paraId="025CC7E3" w14:textId="77777777" w:rsidR="00DC1B86" w:rsidRPr="00FD6ADF" w:rsidRDefault="00F13A6B" w:rsidP="00864ECD">
      <w:pPr>
        <w:spacing w:after="100" w:line="360" w:lineRule="auto"/>
        <w:jc w:val="center"/>
        <w:rPr>
          <w:rFonts w:ascii="Arial" w:hAnsi="Arial" w:cs="Arial"/>
          <w:sz w:val="22"/>
          <w:szCs w:val="22"/>
        </w:rPr>
      </w:pPr>
      <w:r w:rsidRPr="00FD6ADF">
        <w:rPr>
          <w:rFonts w:ascii="Arial" w:hAnsi="Arial" w:cs="Arial"/>
          <w:sz w:val="22"/>
          <w:szCs w:val="22"/>
        </w:rPr>
        <w:t>Student ID: 2435353</w:t>
      </w:r>
    </w:p>
    <w:p w14:paraId="3C6D081C" w14:textId="77777777" w:rsidR="00DC1B86" w:rsidRPr="00FD6ADF" w:rsidRDefault="00F13A6B" w:rsidP="00864ECD">
      <w:pPr>
        <w:spacing w:after="100" w:line="360" w:lineRule="auto"/>
        <w:jc w:val="center"/>
        <w:rPr>
          <w:rFonts w:ascii="Arial" w:hAnsi="Arial" w:cs="Arial"/>
          <w:sz w:val="22"/>
          <w:szCs w:val="22"/>
        </w:rPr>
      </w:pPr>
      <w:r w:rsidRPr="00FD6ADF">
        <w:rPr>
          <w:rFonts w:ascii="Arial" w:hAnsi="Arial" w:cs="Arial"/>
          <w:sz w:val="22"/>
          <w:szCs w:val="22"/>
        </w:rPr>
        <w:t>Module Leader: Samson Oladejo</w:t>
      </w:r>
    </w:p>
    <w:p w14:paraId="62616A8E" w14:textId="77777777" w:rsidR="00DC1B86" w:rsidRPr="00FD6ADF" w:rsidRDefault="00F13A6B" w:rsidP="00864ECD">
      <w:pPr>
        <w:spacing w:line="360" w:lineRule="auto"/>
        <w:rPr>
          <w:rFonts w:ascii="Arial" w:hAnsi="Arial" w:cs="Arial"/>
          <w:sz w:val="22"/>
          <w:szCs w:val="22"/>
        </w:rPr>
      </w:pPr>
      <w:r w:rsidRPr="00FD6ADF">
        <w:rPr>
          <w:rFonts w:ascii="Arial" w:hAnsi="Arial" w:cs="Arial"/>
          <w:sz w:val="22"/>
          <w:szCs w:val="22"/>
        </w:rPr>
        <w:br w:type="page"/>
      </w:r>
    </w:p>
    <w:p w14:paraId="4E41A898" w14:textId="77777777" w:rsidR="00DC1B86" w:rsidRDefault="00F13A6B" w:rsidP="00864ECD">
      <w:pPr>
        <w:pStyle w:val="Heading1"/>
        <w:spacing w:line="360" w:lineRule="auto"/>
        <w:rPr>
          <w:rFonts w:ascii="Arial" w:hAnsi="Arial" w:cs="Arial"/>
          <w:color w:val="auto"/>
          <w:sz w:val="22"/>
          <w:szCs w:val="22"/>
        </w:rPr>
      </w:pPr>
      <w:r w:rsidRPr="00FD6ADF">
        <w:rPr>
          <w:rFonts w:ascii="Arial" w:hAnsi="Arial" w:cs="Arial"/>
          <w:color w:val="auto"/>
          <w:sz w:val="22"/>
          <w:szCs w:val="22"/>
        </w:rPr>
        <w:lastRenderedPageBreak/>
        <w:t>Table of Contents</w:t>
      </w:r>
    </w:p>
    <w:p w14:paraId="536F9E51" w14:textId="7298A2EA" w:rsidR="00864ECD" w:rsidRDefault="00864ECD" w:rsidP="00864ECD">
      <w:pPr>
        <w:pStyle w:val="Heading1"/>
        <w:spacing w:line="360" w:lineRule="auto"/>
        <w:rPr>
          <w:rFonts w:ascii="Arial" w:hAnsi="Arial" w:cs="Arial"/>
          <w:b w:val="0"/>
          <w:bCs w:val="0"/>
          <w:color w:val="auto"/>
          <w:sz w:val="22"/>
          <w:szCs w:val="22"/>
        </w:rPr>
      </w:pPr>
      <w:r w:rsidRPr="00864ECD">
        <w:rPr>
          <w:rFonts w:ascii="Arial" w:hAnsi="Arial" w:cs="Arial"/>
          <w:b w:val="0"/>
          <w:bCs w:val="0"/>
          <w:color w:val="auto"/>
          <w:sz w:val="22"/>
          <w:szCs w:val="22"/>
        </w:rPr>
        <w:t xml:space="preserve">Title Page </w:t>
      </w:r>
      <w:r>
        <w:rPr>
          <w:rFonts w:ascii="Arial" w:hAnsi="Arial" w:cs="Arial"/>
          <w:b w:val="0"/>
          <w:bCs w:val="0"/>
          <w:color w:val="auto"/>
          <w:sz w:val="22"/>
          <w:szCs w:val="22"/>
        </w:rPr>
        <w:t>……………………………………………………………………………………1</w:t>
      </w:r>
    </w:p>
    <w:p w14:paraId="775FFC86" w14:textId="482E380D" w:rsidR="00864ECD" w:rsidRDefault="00864ECD" w:rsidP="00864ECD">
      <w:pPr>
        <w:pStyle w:val="Heading1"/>
        <w:spacing w:line="360" w:lineRule="auto"/>
        <w:rPr>
          <w:rFonts w:ascii="Arial" w:hAnsi="Arial" w:cs="Arial"/>
          <w:b w:val="0"/>
          <w:bCs w:val="0"/>
          <w:color w:val="auto"/>
          <w:sz w:val="22"/>
          <w:szCs w:val="22"/>
        </w:rPr>
      </w:pPr>
      <w:r>
        <w:rPr>
          <w:rFonts w:ascii="Arial" w:hAnsi="Arial" w:cs="Arial"/>
          <w:b w:val="0"/>
          <w:bCs w:val="0"/>
          <w:color w:val="auto"/>
          <w:sz w:val="22"/>
          <w:szCs w:val="22"/>
        </w:rPr>
        <w:t>Table of Contents…………………………………………………………………………….2</w:t>
      </w:r>
    </w:p>
    <w:p w14:paraId="47EDB559" w14:textId="30F21DD7" w:rsidR="00DC1B86" w:rsidRPr="00864ECD" w:rsidRDefault="00F13A6B" w:rsidP="00864ECD">
      <w:pPr>
        <w:pStyle w:val="Heading1"/>
        <w:spacing w:line="360" w:lineRule="auto"/>
        <w:rPr>
          <w:rFonts w:ascii="Arial" w:hAnsi="Arial" w:cs="Arial"/>
          <w:b w:val="0"/>
          <w:bCs w:val="0"/>
          <w:color w:val="auto"/>
          <w:sz w:val="22"/>
          <w:szCs w:val="22"/>
        </w:rPr>
      </w:pPr>
      <w:r w:rsidRPr="00864ECD">
        <w:rPr>
          <w:rFonts w:ascii="Arial" w:hAnsi="Arial" w:cs="Arial"/>
          <w:b w:val="0"/>
          <w:bCs w:val="0"/>
          <w:color w:val="auto"/>
          <w:sz w:val="22"/>
          <w:szCs w:val="22"/>
        </w:rPr>
        <w:t>Executive Summary ………………………………………………………………………… 3</w:t>
      </w:r>
    </w:p>
    <w:p w14:paraId="0552E0EA" w14:textId="4481BA78" w:rsidR="00DC1B86" w:rsidRPr="00864ECD" w:rsidRDefault="00F13A6B" w:rsidP="00864ECD">
      <w:pPr>
        <w:spacing w:after="80" w:line="360" w:lineRule="auto"/>
        <w:rPr>
          <w:rFonts w:ascii="Arial" w:hAnsi="Arial" w:cs="Arial"/>
          <w:sz w:val="22"/>
          <w:szCs w:val="22"/>
        </w:rPr>
      </w:pPr>
      <w:r w:rsidRPr="00864ECD">
        <w:rPr>
          <w:rFonts w:ascii="Arial" w:hAnsi="Arial" w:cs="Arial"/>
          <w:sz w:val="22"/>
          <w:szCs w:val="22"/>
        </w:rPr>
        <w:t xml:space="preserve">Introduction ………………………………………………………………………………… </w:t>
      </w:r>
      <w:r w:rsidR="00864ECD">
        <w:rPr>
          <w:rFonts w:ascii="Arial" w:hAnsi="Arial" w:cs="Arial"/>
          <w:sz w:val="22"/>
          <w:szCs w:val="22"/>
        </w:rPr>
        <w:t>4</w:t>
      </w:r>
    </w:p>
    <w:p w14:paraId="578B32B8" w14:textId="15F65556" w:rsidR="00DC1B86" w:rsidRPr="00864ECD" w:rsidRDefault="00F13A6B" w:rsidP="00864ECD">
      <w:pPr>
        <w:spacing w:after="80" w:line="360" w:lineRule="auto"/>
        <w:rPr>
          <w:rFonts w:ascii="Arial" w:hAnsi="Arial" w:cs="Arial"/>
          <w:sz w:val="22"/>
          <w:szCs w:val="22"/>
        </w:rPr>
      </w:pPr>
      <w:r w:rsidRPr="00864ECD">
        <w:rPr>
          <w:rFonts w:ascii="Arial" w:hAnsi="Arial" w:cs="Arial"/>
          <w:sz w:val="22"/>
          <w:szCs w:val="22"/>
        </w:rPr>
        <w:t>Strategic Context: Aligning HR to Transformation ……………………………………… 4</w:t>
      </w:r>
      <w:r w:rsidR="00864ECD">
        <w:rPr>
          <w:rFonts w:ascii="Arial" w:hAnsi="Arial" w:cs="Arial"/>
          <w:sz w:val="22"/>
          <w:szCs w:val="22"/>
        </w:rPr>
        <w:t>/5</w:t>
      </w:r>
    </w:p>
    <w:p w14:paraId="1225A226" w14:textId="4679F8A9" w:rsidR="00DC1B86" w:rsidRPr="00864ECD" w:rsidRDefault="00F13A6B" w:rsidP="00864ECD">
      <w:pPr>
        <w:spacing w:after="80" w:line="360" w:lineRule="auto"/>
        <w:rPr>
          <w:rFonts w:ascii="Arial" w:hAnsi="Arial" w:cs="Arial"/>
          <w:sz w:val="22"/>
          <w:szCs w:val="22"/>
        </w:rPr>
      </w:pPr>
      <w:r w:rsidRPr="00864ECD">
        <w:rPr>
          <w:rFonts w:ascii="Arial" w:hAnsi="Arial" w:cs="Arial"/>
          <w:sz w:val="22"/>
          <w:szCs w:val="22"/>
        </w:rPr>
        <w:t xml:space="preserve">1. Explanation of Key Factors …………………………………………………………… </w:t>
      </w:r>
      <w:r w:rsidR="00864ECD">
        <w:rPr>
          <w:rFonts w:ascii="Arial" w:hAnsi="Arial" w:cs="Arial"/>
          <w:sz w:val="22"/>
          <w:szCs w:val="22"/>
        </w:rPr>
        <w:t>5</w:t>
      </w:r>
    </w:p>
    <w:p w14:paraId="48CA5576" w14:textId="5D7B11BF" w:rsidR="00DC1B86" w:rsidRPr="00864ECD" w:rsidRDefault="00F13A6B" w:rsidP="00864ECD">
      <w:pPr>
        <w:spacing w:after="60" w:line="360" w:lineRule="auto"/>
        <w:ind w:left="360"/>
        <w:rPr>
          <w:rFonts w:ascii="Arial" w:hAnsi="Arial" w:cs="Arial"/>
          <w:sz w:val="22"/>
          <w:szCs w:val="22"/>
        </w:rPr>
      </w:pPr>
      <w:r w:rsidRPr="00864ECD">
        <w:rPr>
          <w:rFonts w:ascii="Arial" w:hAnsi="Arial" w:cs="Arial"/>
          <w:sz w:val="22"/>
          <w:szCs w:val="22"/>
        </w:rPr>
        <w:t xml:space="preserve">1.1 Technological Adaptation ………………………………………………………… </w:t>
      </w:r>
      <w:r w:rsidR="00864ECD">
        <w:rPr>
          <w:rFonts w:ascii="Arial" w:hAnsi="Arial" w:cs="Arial"/>
          <w:sz w:val="22"/>
          <w:szCs w:val="22"/>
        </w:rPr>
        <w:t>5</w:t>
      </w:r>
    </w:p>
    <w:p w14:paraId="153D588D" w14:textId="14888B5F" w:rsidR="00DC1B86" w:rsidRPr="00864ECD" w:rsidRDefault="00F13A6B" w:rsidP="00864ECD">
      <w:pPr>
        <w:spacing w:after="60" w:line="360" w:lineRule="auto"/>
        <w:ind w:left="360"/>
        <w:rPr>
          <w:rFonts w:ascii="Arial" w:hAnsi="Arial" w:cs="Arial"/>
          <w:sz w:val="22"/>
          <w:szCs w:val="22"/>
        </w:rPr>
      </w:pPr>
      <w:r w:rsidRPr="00864ECD">
        <w:rPr>
          <w:rFonts w:ascii="Arial" w:hAnsi="Arial" w:cs="Arial"/>
          <w:sz w:val="22"/>
          <w:szCs w:val="22"/>
        </w:rPr>
        <w:t>1.2 Talent Acquisition and Retention ………………………………………………… 5</w:t>
      </w:r>
      <w:r w:rsidR="00864ECD">
        <w:rPr>
          <w:rFonts w:ascii="Arial" w:hAnsi="Arial" w:cs="Arial"/>
          <w:sz w:val="22"/>
          <w:szCs w:val="22"/>
        </w:rPr>
        <w:t>/6</w:t>
      </w:r>
    </w:p>
    <w:p w14:paraId="6D7AD40A" w14:textId="77777777" w:rsidR="00DC1B86" w:rsidRPr="00864ECD" w:rsidRDefault="00F13A6B" w:rsidP="00864ECD">
      <w:pPr>
        <w:spacing w:after="80" w:line="360" w:lineRule="auto"/>
        <w:ind w:left="360"/>
        <w:rPr>
          <w:rFonts w:ascii="Arial" w:hAnsi="Arial" w:cs="Arial"/>
          <w:sz w:val="22"/>
          <w:szCs w:val="22"/>
        </w:rPr>
      </w:pPr>
      <w:r w:rsidRPr="00864ECD">
        <w:rPr>
          <w:rFonts w:ascii="Arial" w:hAnsi="Arial" w:cs="Arial"/>
          <w:sz w:val="22"/>
          <w:szCs w:val="22"/>
        </w:rPr>
        <w:t>1.3 Diversity, Equity and Inclusion (DEI) …………………………………………… 6</w:t>
      </w:r>
    </w:p>
    <w:p w14:paraId="1C257407" w14:textId="77777777" w:rsidR="00DC1B86" w:rsidRPr="00864ECD" w:rsidRDefault="00F13A6B" w:rsidP="00864ECD">
      <w:pPr>
        <w:spacing w:after="80" w:line="360" w:lineRule="auto"/>
        <w:rPr>
          <w:rFonts w:ascii="Arial" w:hAnsi="Arial" w:cs="Arial"/>
          <w:sz w:val="22"/>
          <w:szCs w:val="22"/>
        </w:rPr>
      </w:pPr>
      <w:r w:rsidRPr="00864ECD">
        <w:rPr>
          <w:rFonts w:ascii="Arial" w:hAnsi="Arial" w:cs="Arial"/>
          <w:sz w:val="22"/>
          <w:szCs w:val="22"/>
        </w:rPr>
        <w:t>2. Evaluation of Contemporary HR Practices …………………………………………… 7</w:t>
      </w:r>
    </w:p>
    <w:p w14:paraId="63E0F5B3" w14:textId="77777777" w:rsidR="00DC1B86" w:rsidRPr="00864ECD" w:rsidRDefault="00F13A6B" w:rsidP="00864ECD">
      <w:pPr>
        <w:spacing w:after="60" w:line="360" w:lineRule="auto"/>
        <w:ind w:left="360"/>
        <w:rPr>
          <w:rFonts w:ascii="Arial" w:hAnsi="Arial" w:cs="Arial"/>
          <w:sz w:val="22"/>
          <w:szCs w:val="22"/>
        </w:rPr>
      </w:pPr>
      <w:r w:rsidRPr="00864ECD">
        <w:rPr>
          <w:rFonts w:ascii="Arial" w:hAnsi="Arial" w:cs="Arial"/>
          <w:sz w:val="22"/>
          <w:szCs w:val="22"/>
        </w:rPr>
        <w:t>2.1 Blended Recruitment and Selection Framework ………………………………… 7</w:t>
      </w:r>
    </w:p>
    <w:p w14:paraId="483EC6F8" w14:textId="77777777" w:rsidR="00DC1B86" w:rsidRPr="00864ECD" w:rsidRDefault="00F13A6B" w:rsidP="00864ECD">
      <w:pPr>
        <w:spacing w:after="80" w:line="360" w:lineRule="auto"/>
        <w:ind w:left="360"/>
        <w:rPr>
          <w:rFonts w:ascii="Arial" w:hAnsi="Arial" w:cs="Arial"/>
          <w:sz w:val="22"/>
          <w:szCs w:val="22"/>
        </w:rPr>
      </w:pPr>
      <w:r w:rsidRPr="00864ECD">
        <w:rPr>
          <w:rFonts w:ascii="Arial" w:hAnsi="Arial" w:cs="Arial"/>
          <w:sz w:val="22"/>
          <w:szCs w:val="22"/>
        </w:rPr>
        <w:t>2.2 Critical Evaluation of Key HR Practices ………………………………………… 8</w:t>
      </w:r>
    </w:p>
    <w:p w14:paraId="2B63E3FF" w14:textId="5C367DE9" w:rsidR="00DC1B86" w:rsidRPr="00864ECD" w:rsidRDefault="00F13A6B" w:rsidP="00864ECD">
      <w:pPr>
        <w:spacing w:after="80" w:line="360" w:lineRule="auto"/>
        <w:rPr>
          <w:rFonts w:ascii="Arial" w:hAnsi="Arial" w:cs="Arial"/>
          <w:sz w:val="22"/>
          <w:szCs w:val="22"/>
        </w:rPr>
      </w:pPr>
      <w:r w:rsidRPr="00864ECD">
        <w:rPr>
          <w:rFonts w:ascii="Arial" w:hAnsi="Arial" w:cs="Arial"/>
          <w:sz w:val="22"/>
          <w:szCs w:val="22"/>
        </w:rPr>
        <w:t>3. Critical Evaluation of Managerial Implementation ………………………………… 9</w:t>
      </w:r>
      <w:r w:rsidR="00864ECD">
        <w:rPr>
          <w:rFonts w:ascii="Arial" w:hAnsi="Arial" w:cs="Arial"/>
          <w:sz w:val="22"/>
          <w:szCs w:val="22"/>
        </w:rPr>
        <w:t>/10</w:t>
      </w:r>
    </w:p>
    <w:p w14:paraId="322E878D" w14:textId="52458F2A" w:rsidR="00DC1B86" w:rsidRPr="00864ECD" w:rsidRDefault="00F13A6B" w:rsidP="00864ECD">
      <w:pPr>
        <w:spacing w:after="80" w:line="360" w:lineRule="auto"/>
        <w:rPr>
          <w:rFonts w:ascii="Arial" w:hAnsi="Arial" w:cs="Arial"/>
          <w:sz w:val="22"/>
          <w:szCs w:val="22"/>
        </w:rPr>
      </w:pPr>
      <w:r w:rsidRPr="00864ECD">
        <w:rPr>
          <w:rFonts w:ascii="Arial" w:hAnsi="Arial" w:cs="Arial"/>
          <w:sz w:val="22"/>
          <w:szCs w:val="22"/>
        </w:rPr>
        <w:t>Conclusion and Recommendations ……………………………………………………… 10</w:t>
      </w:r>
      <w:r w:rsidR="00864ECD">
        <w:rPr>
          <w:rFonts w:ascii="Arial" w:hAnsi="Arial" w:cs="Arial"/>
          <w:sz w:val="22"/>
          <w:szCs w:val="22"/>
        </w:rPr>
        <w:t>/11</w:t>
      </w:r>
    </w:p>
    <w:p w14:paraId="3E1304DD" w14:textId="77777777" w:rsidR="00DC1B86" w:rsidRPr="00864ECD" w:rsidRDefault="00F13A6B" w:rsidP="00864ECD">
      <w:pPr>
        <w:spacing w:after="80" w:line="360" w:lineRule="auto"/>
        <w:rPr>
          <w:rFonts w:ascii="Arial" w:hAnsi="Arial" w:cs="Arial"/>
          <w:sz w:val="22"/>
          <w:szCs w:val="22"/>
        </w:rPr>
      </w:pPr>
      <w:r w:rsidRPr="00864ECD">
        <w:rPr>
          <w:rFonts w:ascii="Arial" w:hAnsi="Arial" w:cs="Arial"/>
          <w:sz w:val="22"/>
          <w:szCs w:val="22"/>
        </w:rPr>
        <w:t>References ………………………………………………………………………………… 12</w:t>
      </w:r>
    </w:p>
    <w:p w14:paraId="7AAE678D" w14:textId="77777777" w:rsidR="00DC1B86" w:rsidRPr="00FD6ADF" w:rsidRDefault="00F13A6B" w:rsidP="00864ECD">
      <w:pPr>
        <w:spacing w:line="360" w:lineRule="auto"/>
        <w:rPr>
          <w:rFonts w:ascii="Arial" w:hAnsi="Arial" w:cs="Arial"/>
          <w:sz w:val="22"/>
          <w:szCs w:val="22"/>
        </w:rPr>
      </w:pPr>
      <w:r w:rsidRPr="00FD6ADF">
        <w:rPr>
          <w:rFonts w:ascii="Arial" w:hAnsi="Arial" w:cs="Arial"/>
          <w:sz w:val="22"/>
          <w:szCs w:val="22"/>
        </w:rPr>
        <w:br w:type="page"/>
      </w:r>
    </w:p>
    <w:p w14:paraId="0FC78130" w14:textId="77777777" w:rsidR="00DC1B86" w:rsidRPr="00FD6ADF" w:rsidRDefault="00F13A6B" w:rsidP="00864ECD">
      <w:pPr>
        <w:pStyle w:val="Heading1"/>
        <w:spacing w:line="360" w:lineRule="auto"/>
        <w:rPr>
          <w:rFonts w:ascii="Arial" w:hAnsi="Arial" w:cs="Arial"/>
          <w:color w:val="auto"/>
          <w:sz w:val="22"/>
          <w:szCs w:val="22"/>
        </w:rPr>
      </w:pPr>
      <w:r w:rsidRPr="00FD6ADF">
        <w:rPr>
          <w:rFonts w:ascii="Arial" w:hAnsi="Arial" w:cs="Arial"/>
          <w:color w:val="auto"/>
          <w:sz w:val="22"/>
          <w:szCs w:val="22"/>
        </w:rPr>
        <w:lastRenderedPageBreak/>
        <w:t>Executive Summary</w:t>
      </w:r>
    </w:p>
    <w:p w14:paraId="73B3D6BE"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This report critically examines three interconnected contemporary HR challenges facing J Sainsbury plc as it implements its Next Level Sainsbury's strategy, launched in February 2024: technological adaptation, talent acquisition and retention, and diversity, equity and inclusion (DEI). The strategy prioritises digital transformation through the Nectar platform and Nectar360, AI-led personalisation, supply-chain automation, sustainability leadership, and a cultural shift towards greater agility and inclusion, while targeting £1 billion of structural cost savings over three years (J Sainsbury plc, 2025).</w:t>
      </w:r>
    </w:p>
    <w:p w14:paraId="55421BBA"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Technological change is creating significant skills gaps, particularly in digital literacy, data analytics and change leadership, while intensifying competition for scarce specialist talent. Rapid transformation also risks change fatigue and reduced engagement among existing colleagues. Talent acquisition must simultaneously secure external specialists and build internal pipelines to protect institutional knowledge and colleague commitment. DEI progress, including leadership representation targets for 2028 and the 'Offer an Interview' scheme under Disability Confident Leader status, risks being undermined if new digital and transformation roles draw from narrow talent pools.</w:t>
      </w:r>
    </w:p>
    <w:p w14:paraId="642E8D34"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A blended recruitment and selection framework is proposed for critical transformation roles (Change Manager, Digital Transformation Specialist and related positions). Grounded in the meta-analytic findings of Schmidt and Hunter (1998), the five-stage model combines rigorous job analysis, prioritisation of internal talent, structured behavioural (STAR) and situational interviews, and a hybrid virtual/face-to-face process. This approach maximises predictive validity, reduces unconscious bias and simultaneously advances technological capability, talent security and inclusive outcomes.</w:t>
      </w:r>
    </w:p>
    <w:p w14:paraId="68EBED8A" w14:textId="01DA1D0D" w:rsidR="00DC1B86" w:rsidRDefault="00F13A6B" w:rsidP="00864ECD">
      <w:pPr>
        <w:spacing w:after="200" w:line="360" w:lineRule="auto"/>
        <w:rPr>
          <w:rFonts w:ascii="Arial" w:hAnsi="Arial" w:cs="Arial"/>
          <w:sz w:val="22"/>
          <w:szCs w:val="22"/>
        </w:rPr>
      </w:pPr>
      <w:r w:rsidRPr="00FD6ADF">
        <w:rPr>
          <w:rFonts w:ascii="Arial" w:hAnsi="Arial" w:cs="Arial"/>
          <w:sz w:val="22"/>
          <w:szCs w:val="22"/>
        </w:rPr>
        <w:t xml:space="preserve">Successful delivery depends on departmental managers acting as the critical interface between HR strategy and operational reality. </w:t>
      </w:r>
      <w:r w:rsidR="00FD6ADF" w:rsidRPr="00FD6ADF">
        <w:rPr>
          <w:rFonts w:ascii="Arial" w:hAnsi="Arial" w:cs="Arial"/>
          <w:sz w:val="22"/>
          <w:szCs w:val="22"/>
        </w:rPr>
        <w:t>Clear accountability metrics</w:t>
      </w:r>
      <w:r w:rsidRPr="00FD6ADF">
        <w:rPr>
          <w:rFonts w:ascii="Arial" w:hAnsi="Arial" w:cs="Arial"/>
          <w:sz w:val="22"/>
          <w:szCs w:val="22"/>
        </w:rPr>
        <w:t xml:space="preserve"> applied training in inclusive interviewing, and a supportive culture of psychological safety are essential. Six practical recommendations are advanced, focusing on workforce analytics, employer value proposition, manager capability, performance accountability, hybrid interviewing consistency, and rapid evaluation cycles. Implemented with urgency and visible senior sponsorship, these actions will equip Sainsbury's with a digitally capable, change-ready and diverse workforce aligned to the Next Level strategy.</w:t>
      </w:r>
    </w:p>
    <w:p w14:paraId="6A23A12B" w14:textId="77777777" w:rsidR="009C1337" w:rsidRDefault="009C1337" w:rsidP="00864ECD">
      <w:pPr>
        <w:spacing w:after="200" w:line="360" w:lineRule="auto"/>
        <w:rPr>
          <w:rFonts w:ascii="Arial" w:hAnsi="Arial" w:cs="Arial"/>
          <w:sz w:val="22"/>
          <w:szCs w:val="22"/>
        </w:rPr>
      </w:pPr>
    </w:p>
    <w:p w14:paraId="23CED293" w14:textId="77777777" w:rsidR="009C1337" w:rsidRDefault="009C1337" w:rsidP="00864ECD">
      <w:pPr>
        <w:spacing w:after="200" w:line="360" w:lineRule="auto"/>
        <w:rPr>
          <w:rFonts w:ascii="Arial" w:hAnsi="Arial" w:cs="Arial"/>
          <w:sz w:val="22"/>
          <w:szCs w:val="22"/>
        </w:rPr>
      </w:pPr>
    </w:p>
    <w:p w14:paraId="1E27D722" w14:textId="77777777" w:rsidR="009C1337" w:rsidRPr="00FD6ADF" w:rsidRDefault="009C1337" w:rsidP="00864ECD">
      <w:pPr>
        <w:spacing w:after="200" w:line="360" w:lineRule="auto"/>
        <w:rPr>
          <w:rFonts w:ascii="Arial" w:hAnsi="Arial" w:cs="Arial"/>
          <w:sz w:val="22"/>
          <w:szCs w:val="22"/>
        </w:rPr>
      </w:pPr>
    </w:p>
    <w:p w14:paraId="3E04A551" w14:textId="77777777" w:rsidR="00DC1B86" w:rsidRPr="00FD6ADF" w:rsidRDefault="00F13A6B" w:rsidP="00864ECD">
      <w:pPr>
        <w:pStyle w:val="Heading1"/>
        <w:spacing w:line="360" w:lineRule="auto"/>
        <w:rPr>
          <w:rFonts w:ascii="Arial" w:hAnsi="Arial" w:cs="Arial"/>
          <w:color w:val="auto"/>
          <w:sz w:val="22"/>
          <w:szCs w:val="22"/>
        </w:rPr>
      </w:pPr>
      <w:r w:rsidRPr="00FD6ADF">
        <w:rPr>
          <w:rFonts w:ascii="Arial" w:hAnsi="Arial" w:cs="Arial"/>
          <w:color w:val="auto"/>
          <w:sz w:val="22"/>
          <w:szCs w:val="22"/>
        </w:rPr>
        <w:lastRenderedPageBreak/>
        <w:t>Introduction</w:t>
      </w:r>
    </w:p>
    <w:p w14:paraId="5346FAA1"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 xml:space="preserve">Sainsbury's, trading as J Sainsbury plc, is the United Kingdom's second-largest supermarket chain. Founded in 1869, it has grown into one of the UK's leading retailers with a strong presence in supermarkets, convenience stores and online grocery </w:t>
      </w:r>
      <w:r w:rsidRPr="002E2352">
        <w:rPr>
          <w:rFonts w:ascii="Arial" w:hAnsi="Arial" w:cs="Arial"/>
          <w:sz w:val="22"/>
          <w:szCs w:val="22"/>
        </w:rPr>
        <w:t>(Sainsbury Archive, n.d.; J Sainsbury plc, n.d.).</w:t>
      </w:r>
      <w:r w:rsidRPr="00FD6ADF">
        <w:rPr>
          <w:rFonts w:ascii="Arial" w:hAnsi="Arial" w:cs="Arial"/>
          <w:sz w:val="22"/>
          <w:szCs w:val="22"/>
        </w:rPr>
        <w:t xml:space="preserve"> This report examines key contemporary HR challenges at J Sainsbury plc as it delivers its 'Next Level Sainsbury's' strategy, launched in February 2024 (J Sainsbury plc, 2025). The strategy emphasises digital transformation and Nectar expansion, sustainability leadership, a cultural shift towards agility and inclusion, and operational excellence, including a target of £1 billion structural cost savings over three years to 2026/27.</w:t>
      </w:r>
    </w:p>
    <w:p w14:paraId="6509C309" w14:textId="5E657BAA"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The analysis focuses on three interconnected challenges</w:t>
      </w:r>
      <w:r w:rsidR="009C1337">
        <w:rPr>
          <w:rFonts w:ascii="Arial" w:hAnsi="Arial" w:cs="Arial"/>
          <w:sz w:val="22"/>
          <w:szCs w:val="22"/>
        </w:rPr>
        <w:t xml:space="preserve"> </w:t>
      </w:r>
      <w:r w:rsidRPr="00FD6ADF">
        <w:rPr>
          <w:rFonts w:ascii="Arial" w:hAnsi="Arial" w:cs="Arial"/>
          <w:sz w:val="22"/>
          <w:szCs w:val="22"/>
        </w:rPr>
        <w:t>technological adaptation, talent acquisition and retention, and diversity, equity and inclusion (DEI)</w:t>
      </w:r>
      <w:r w:rsidR="009C1337">
        <w:rPr>
          <w:rFonts w:ascii="Arial" w:hAnsi="Arial" w:cs="Arial"/>
          <w:sz w:val="22"/>
          <w:szCs w:val="22"/>
        </w:rPr>
        <w:t xml:space="preserve"> </w:t>
      </w:r>
      <w:r w:rsidRPr="00FD6ADF">
        <w:rPr>
          <w:rFonts w:ascii="Arial" w:hAnsi="Arial" w:cs="Arial"/>
          <w:sz w:val="22"/>
          <w:szCs w:val="22"/>
        </w:rPr>
        <w:t>evaluating contemporary HR practices and critically assessing managerial implementation. Recommendations build on a blended recruitment and selection framework developed specifically for critical transformation roles such as Change Manager and Digital Transformation Specialist. The report draws on established HR theory, current CIPD evidence and Sainsbury's own published commitments to ensure recommendations are both evidence-based and practically actionable within the UK retail context.</w:t>
      </w:r>
    </w:p>
    <w:p w14:paraId="428C1439" w14:textId="77777777" w:rsidR="00DC1B86" w:rsidRPr="00FD6ADF" w:rsidRDefault="00F13A6B" w:rsidP="00864ECD">
      <w:pPr>
        <w:pStyle w:val="Heading1"/>
        <w:spacing w:line="360" w:lineRule="auto"/>
        <w:rPr>
          <w:rFonts w:ascii="Arial" w:hAnsi="Arial" w:cs="Arial"/>
          <w:color w:val="auto"/>
          <w:sz w:val="22"/>
          <w:szCs w:val="22"/>
        </w:rPr>
      </w:pPr>
      <w:r w:rsidRPr="00FD6ADF">
        <w:rPr>
          <w:rFonts w:ascii="Arial" w:hAnsi="Arial" w:cs="Arial"/>
          <w:color w:val="auto"/>
          <w:sz w:val="22"/>
          <w:szCs w:val="22"/>
        </w:rPr>
        <w:t>Strategic Context: Aligning HR to Transformation</w:t>
      </w:r>
    </w:p>
    <w:p w14:paraId="12F0B463" w14:textId="77777777" w:rsidR="00DC1B86" w:rsidRPr="00FD6ADF" w:rsidRDefault="00F13A6B" w:rsidP="00864ECD">
      <w:pPr>
        <w:spacing w:after="120" w:line="360" w:lineRule="auto"/>
        <w:rPr>
          <w:rFonts w:ascii="Arial" w:hAnsi="Arial" w:cs="Arial"/>
          <w:sz w:val="22"/>
          <w:szCs w:val="22"/>
        </w:rPr>
      </w:pPr>
      <w:r w:rsidRPr="00FD6ADF">
        <w:rPr>
          <w:rFonts w:ascii="Arial" w:hAnsi="Arial" w:cs="Arial"/>
          <w:b/>
          <w:bCs/>
          <w:sz w:val="22"/>
          <w:szCs w:val="22"/>
        </w:rPr>
        <w:t>Figure 1: Aligning HR Practices to Sainsbury's Next Level Transformation</w:t>
      </w:r>
    </w:p>
    <w:tbl>
      <w:tblPr>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3800"/>
        <w:gridCol w:w="3000"/>
      </w:tblGrid>
      <w:tr w:rsidR="00FD6ADF" w:rsidRPr="00FD6ADF" w14:paraId="5F3B0E8B" w14:textId="77777777" w:rsidTr="00864ECD">
        <w:tc>
          <w:tcPr>
            <w:tcW w:w="3000" w:type="dxa"/>
            <w:tcBorders>
              <w:top w:val="none" w:sz="0" w:space="0" w:color="FFFFFF"/>
              <w:left w:val="none" w:sz="0" w:space="0" w:color="FFFFFF"/>
              <w:bottom w:val="none" w:sz="0" w:space="0" w:color="FFFFFF"/>
              <w:right w:val="none" w:sz="0" w:space="0" w:color="FFFFFF"/>
            </w:tcBorders>
          </w:tcPr>
          <w:p w14:paraId="4B318778" w14:textId="77777777" w:rsidR="00FD6ADF" w:rsidRPr="00FD6ADF" w:rsidRDefault="00FD6ADF" w:rsidP="00864ECD">
            <w:pPr>
              <w:spacing w:line="360" w:lineRule="auto"/>
              <w:rPr>
                <w:rFonts w:ascii="Arial" w:hAnsi="Arial" w:cs="Arial"/>
                <w:sz w:val="22"/>
                <w:szCs w:val="22"/>
              </w:rPr>
            </w:pPr>
          </w:p>
        </w:tc>
        <w:tc>
          <w:tcPr>
            <w:tcW w:w="3800" w:type="dxa"/>
            <w:tcBorders>
              <w:top w:val="single" w:sz="4" w:space="0" w:color="666666"/>
              <w:left w:val="single" w:sz="4" w:space="0" w:color="666666"/>
              <w:bottom w:val="single" w:sz="4" w:space="0" w:color="666666"/>
              <w:right w:val="single" w:sz="4" w:space="0" w:color="666666"/>
            </w:tcBorders>
            <w:shd w:val="clear" w:color="auto" w:fill="FFC000"/>
            <w:vAlign w:val="center"/>
          </w:tcPr>
          <w:p w14:paraId="4626F56A" w14:textId="77777777" w:rsidR="00FD6ADF" w:rsidRPr="00FD6ADF" w:rsidRDefault="00FD6ADF" w:rsidP="00864ECD">
            <w:pPr>
              <w:spacing w:before="50" w:after="20" w:line="360" w:lineRule="auto"/>
              <w:jc w:val="center"/>
              <w:rPr>
                <w:rFonts w:ascii="Arial" w:hAnsi="Arial" w:cs="Arial"/>
                <w:sz w:val="22"/>
                <w:szCs w:val="22"/>
              </w:rPr>
            </w:pPr>
            <w:r w:rsidRPr="00FD6ADF">
              <w:rPr>
                <w:rFonts w:ascii="Arial" w:eastAsia="Arial" w:hAnsi="Arial" w:cs="Arial"/>
                <w:b/>
                <w:bCs/>
                <w:sz w:val="22"/>
                <w:szCs w:val="22"/>
              </w:rPr>
              <w:t>2. Talent Acquisition &amp; Retention</w:t>
            </w:r>
          </w:p>
          <w:p w14:paraId="5FA1AFC9" w14:textId="77777777" w:rsidR="00FD6ADF" w:rsidRPr="00FD6ADF" w:rsidRDefault="00FD6ADF" w:rsidP="00864ECD">
            <w:pPr>
              <w:spacing w:after="40" w:line="360" w:lineRule="auto"/>
              <w:jc w:val="center"/>
              <w:rPr>
                <w:rFonts w:ascii="Arial" w:hAnsi="Arial" w:cs="Arial"/>
                <w:sz w:val="22"/>
                <w:szCs w:val="22"/>
              </w:rPr>
            </w:pPr>
            <w:r w:rsidRPr="00FD6ADF">
              <w:rPr>
                <w:rFonts w:ascii="Arial" w:eastAsia="Arial" w:hAnsi="Arial" w:cs="Arial"/>
                <w:sz w:val="22"/>
                <w:szCs w:val="22"/>
              </w:rPr>
              <w:t>people | change manager | data analyst</w:t>
            </w:r>
          </w:p>
        </w:tc>
        <w:tc>
          <w:tcPr>
            <w:tcW w:w="3000" w:type="dxa"/>
            <w:tcBorders>
              <w:top w:val="none" w:sz="0" w:space="0" w:color="FFFFFF"/>
              <w:left w:val="none" w:sz="0" w:space="0" w:color="FFFFFF"/>
              <w:bottom w:val="none" w:sz="0" w:space="0" w:color="FFFFFF"/>
              <w:right w:val="none" w:sz="0" w:space="0" w:color="FFFFFF"/>
            </w:tcBorders>
          </w:tcPr>
          <w:p w14:paraId="58E18869" w14:textId="77777777" w:rsidR="00FD6ADF" w:rsidRPr="00FD6ADF" w:rsidRDefault="00FD6ADF" w:rsidP="00864ECD">
            <w:pPr>
              <w:spacing w:line="360" w:lineRule="auto"/>
              <w:rPr>
                <w:rFonts w:ascii="Arial" w:hAnsi="Arial" w:cs="Arial"/>
                <w:sz w:val="22"/>
                <w:szCs w:val="22"/>
              </w:rPr>
            </w:pPr>
          </w:p>
        </w:tc>
      </w:tr>
      <w:tr w:rsidR="00FD6ADF" w:rsidRPr="00FD6ADF" w14:paraId="320DB9B9" w14:textId="77777777" w:rsidTr="004B6DDB">
        <w:tc>
          <w:tcPr>
            <w:tcW w:w="3000" w:type="dxa"/>
            <w:tcBorders>
              <w:top w:val="none" w:sz="0" w:space="0" w:color="FFFFFF"/>
              <w:left w:val="none" w:sz="0" w:space="0" w:color="FFFFFF"/>
              <w:bottom w:val="none" w:sz="0" w:space="0" w:color="FFFFFF"/>
              <w:right w:val="none" w:sz="0" w:space="0" w:color="FFFFFF"/>
            </w:tcBorders>
          </w:tcPr>
          <w:p w14:paraId="77A9C1A2" w14:textId="77777777" w:rsidR="00FD6ADF" w:rsidRPr="00FD6ADF" w:rsidRDefault="00FD6ADF" w:rsidP="00864ECD">
            <w:pPr>
              <w:spacing w:line="360" w:lineRule="auto"/>
              <w:jc w:val="right"/>
              <w:rPr>
                <w:rFonts w:ascii="Arial" w:hAnsi="Arial" w:cs="Arial"/>
                <w:sz w:val="22"/>
                <w:szCs w:val="22"/>
              </w:rPr>
            </w:pPr>
            <w:r w:rsidRPr="00FD6ADF">
              <w:rPr>
                <w:rFonts w:ascii="Cambria Math" w:eastAsia="Arial" w:hAnsi="Cambria Math" w:cs="Cambria Math"/>
                <w:sz w:val="22"/>
                <w:szCs w:val="22"/>
              </w:rPr>
              <w:t>↗</w:t>
            </w:r>
          </w:p>
        </w:tc>
        <w:tc>
          <w:tcPr>
            <w:tcW w:w="3800" w:type="dxa"/>
            <w:tcBorders>
              <w:top w:val="none" w:sz="0" w:space="0" w:color="FFFFFF"/>
              <w:left w:val="none" w:sz="0" w:space="0" w:color="FFFFFF"/>
              <w:bottom w:val="none" w:sz="0" w:space="0" w:color="FFFFFF"/>
              <w:right w:val="none" w:sz="0" w:space="0" w:color="FFFFFF"/>
            </w:tcBorders>
          </w:tcPr>
          <w:p w14:paraId="46766D92" w14:textId="77777777" w:rsidR="00FD6ADF" w:rsidRPr="00FD6ADF" w:rsidRDefault="00FD6ADF" w:rsidP="00864ECD">
            <w:pPr>
              <w:spacing w:line="360" w:lineRule="auto"/>
              <w:jc w:val="center"/>
              <w:rPr>
                <w:rFonts w:ascii="Arial" w:hAnsi="Arial" w:cs="Arial"/>
                <w:sz w:val="22"/>
                <w:szCs w:val="22"/>
              </w:rPr>
            </w:pPr>
            <w:r w:rsidRPr="00FD6ADF">
              <w:rPr>
                <w:rFonts w:ascii="Arial" w:eastAsia="Arial" w:hAnsi="Arial" w:cs="Arial"/>
                <w:sz w:val="22"/>
                <w:szCs w:val="22"/>
              </w:rPr>
              <w:t>↓</w:t>
            </w:r>
          </w:p>
        </w:tc>
        <w:tc>
          <w:tcPr>
            <w:tcW w:w="3000" w:type="dxa"/>
            <w:tcBorders>
              <w:top w:val="none" w:sz="0" w:space="0" w:color="FFFFFF"/>
              <w:left w:val="none" w:sz="0" w:space="0" w:color="FFFFFF"/>
              <w:bottom w:val="none" w:sz="0" w:space="0" w:color="FFFFFF"/>
              <w:right w:val="none" w:sz="0" w:space="0" w:color="FFFFFF"/>
            </w:tcBorders>
          </w:tcPr>
          <w:p w14:paraId="48564E7C" w14:textId="77777777" w:rsidR="00FD6ADF" w:rsidRPr="00FD6ADF" w:rsidRDefault="00FD6ADF" w:rsidP="00864ECD">
            <w:pPr>
              <w:spacing w:line="360" w:lineRule="auto"/>
              <w:rPr>
                <w:rFonts w:ascii="Arial" w:hAnsi="Arial" w:cs="Arial"/>
                <w:sz w:val="22"/>
                <w:szCs w:val="22"/>
              </w:rPr>
            </w:pPr>
            <w:r w:rsidRPr="00FD6ADF">
              <w:rPr>
                <w:rFonts w:ascii="Cambria Math" w:eastAsia="Arial" w:hAnsi="Cambria Math" w:cs="Cambria Math"/>
                <w:sz w:val="22"/>
                <w:szCs w:val="22"/>
              </w:rPr>
              <w:t>↖</w:t>
            </w:r>
          </w:p>
        </w:tc>
      </w:tr>
      <w:tr w:rsidR="00FD6ADF" w:rsidRPr="00FD6ADF" w14:paraId="548022B0" w14:textId="77777777" w:rsidTr="006101D5">
        <w:tc>
          <w:tcPr>
            <w:tcW w:w="3000" w:type="dxa"/>
            <w:tcBorders>
              <w:top w:val="single" w:sz="4" w:space="0" w:color="666666"/>
              <w:left w:val="single" w:sz="4" w:space="0" w:color="666666"/>
              <w:bottom w:val="single" w:sz="4" w:space="0" w:color="666666"/>
              <w:right w:val="single" w:sz="4" w:space="0" w:color="666666"/>
            </w:tcBorders>
            <w:shd w:val="clear" w:color="auto" w:fill="00B0F0"/>
            <w:vAlign w:val="center"/>
          </w:tcPr>
          <w:p w14:paraId="539ABD68" w14:textId="77777777" w:rsidR="00FD6ADF" w:rsidRPr="00FD6ADF" w:rsidRDefault="00FD6ADF" w:rsidP="00864ECD">
            <w:pPr>
              <w:spacing w:before="50" w:after="20" w:line="360" w:lineRule="auto"/>
              <w:jc w:val="center"/>
              <w:rPr>
                <w:rFonts w:ascii="Arial" w:hAnsi="Arial" w:cs="Arial"/>
                <w:sz w:val="22"/>
                <w:szCs w:val="22"/>
              </w:rPr>
            </w:pPr>
            <w:r w:rsidRPr="00FD6ADF">
              <w:rPr>
                <w:rFonts w:ascii="Arial" w:eastAsia="Arial" w:hAnsi="Arial" w:cs="Arial"/>
                <w:b/>
                <w:bCs/>
                <w:sz w:val="22"/>
                <w:szCs w:val="22"/>
              </w:rPr>
              <w:t>1. Technological Adaptation</w:t>
            </w:r>
          </w:p>
          <w:p w14:paraId="72611865" w14:textId="77777777" w:rsidR="00FD6ADF" w:rsidRPr="00FD6ADF" w:rsidRDefault="00FD6ADF" w:rsidP="00864ECD">
            <w:pPr>
              <w:spacing w:after="40" w:line="360" w:lineRule="auto"/>
              <w:jc w:val="center"/>
              <w:rPr>
                <w:rFonts w:ascii="Arial" w:hAnsi="Arial" w:cs="Arial"/>
                <w:sz w:val="22"/>
                <w:szCs w:val="22"/>
              </w:rPr>
            </w:pPr>
            <w:r w:rsidRPr="00FD6ADF">
              <w:rPr>
                <w:rFonts w:ascii="Arial" w:eastAsia="Arial" w:hAnsi="Arial" w:cs="Arial"/>
                <w:sz w:val="22"/>
                <w:szCs w:val="22"/>
              </w:rPr>
              <w:t>digital | AI | Nectar</w:t>
            </w:r>
          </w:p>
        </w:tc>
        <w:tc>
          <w:tcPr>
            <w:tcW w:w="3800" w:type="dxa"/>
            <w:tcBorders>
              <w:top w:val="single" w:sz="16" w:space="0" w:color="0D47A1"/>
              <w:left w:val="single" w:sz="16" w:space="0" w:color="0D47A1"/>
              <w:bottom w:val="single" w:sz="16" w:space="0" w:color="0D47A1"/>
              <w:right w:val="single" w:sz="16" w:space="0" w:color="0D47A1"/>
            </w:tcBorders>
            <w:shd w:val="clear" w:color="auto" w:fill="00B050"/>
            <w:vAlign w:val="center"/>
          </w:tcPr>
          <w:p w14:paraId="11F1BDD3" w14:textId="582C2EB4" w:rsidR="00FD6ADF" w:rsidRPr="00FD6ADF" w:rsidRDefault="00FD6ADF" w:rsidP="00864ECD">
            <w:pPr>
              <w:spacing w:before="60" w:after="20" w:line="360" w:lineRule="auto"/>
              <w:jc w:val="center"/>
              <w:rPr>
                <w:rFonts w:ascii="Arial" w:hAnsi="Arial" w:cs="Arial"/>
                <w:sz w:val="22"/>
                <w:szCs w:val="22"/>
              </w:rPr>
            </w:pPr>
            <w:r w:rsidRPr="00FD6ADF">
              <w:rPr>
                <w:rFonts w:ascii="Arial" w:eastAsia="Arial" w:hAnsi="Arial" w:cs="Arial"/>
                <w:b/>
                <w:bCs/>
                <w:sz w:val="22"/>
                <w:szCs w:val="22"/>
              </w:rPr>
              <w:t>Next Level</w:t>
            </w:r>
          </w:p>
          <w:p w14:paraId="020C071F" w14:textId="77777777" w:rsidR="00FD6ADF" w:rsidRPr="00FD6ADF" w:rsidRDefault="00FD6ADF" w:rsidP="00864ECD">
            <w:pPr>
              <w:spacing w:after="60" w:line="360" w:lineRule="auto"/>
              <w:jc w:val="center"/>
              <w:rPr>
                <w:rFonts w:ascii="Arial" w:hAnsi="Arial" w:cs="Arial"/>
                <w:sz w:val="22"/>
                <w:szCs w:val="22"/>
              </w:rPr>
            </w:pPr>
            <w:r w:rsidRPr="00FD6ADF">
              <w:rPr>
                <w:rFonts w:ascii="Arial" w:eastAsia="Arial" w:hAnsi="Arial" w:cs="Arial"/>
                <w:b/>
                <w:bCs/>
                <w:sz w:val="22"/>
                <w:szCs w:val="22"/>
              </w:rPr>
              <w:t>Sainsbury's Strategy</w:t>
            </w:r>
          </w:p>
        </w:tc>
        <w:tc>
          <w:tcPr>
            <w:tcW w:w="3000" w:type="dxa"/>
            <w:tcBorders>
              <w:top w:val="single" w:sz="4" w:space="0" w:color="666666"/>
              <w:left w:val="single" w:sz="4" w:space="0" w:color="666666"/>
              <w:bottom w:val="single" w:sz="4" w:space="0" w:color="666666"/>
              <w:right w:val="single" w:sz="4" w:space="0" w:color="666666"/>
            </w:tcBorders>
            <w:shd w:val="clear" w:color="auto" w:fill="7030A0"/>
            <w:vAlign w:val="center"/>
          </w:tcPr>
          <w:p w14:paraId="2279DDF8" w14:textId="77777777" w:rsidR="00FD6ADF" w:rsidRPr="00FD6ADF" w:rsidRDefault="00FD6ADF" w:rsidP="00864ECD">
            <w:pPr>
              <w:spacing w:before="50" w:after="20" w:line="360" w:lineRule="auto"/>
              <w:jc w:val="center"/>
              <w:rPr>
                <w:rFonts w:ascii="Arial" w:hAnsi="Arial" w:cs="Arial"/>
                <w:sz w:val="22"/>
                <w:szCs w:val="22"/>
              </w:rPr>
            </w:pPr>
            <w:r w:rsidRPr="00FD6ADF">
              <w:rPr>
                <w:rFonts w:ascii="Arial" w:eastAsia="Arial" w:hAnsi="Arial" w:cs="Arial"/>
                <w:b/>
                <w:bCs/>
                <w:sz w:val="22"/>
                <w:szCs w:val="22"/>
              </w:rPr>
              <w:t>3. Diversity, Equity &amp; Inclusion</w:t>
            </w:r>
          </w:p>
          <w:p w14:paraId="3845454B" w14:textId="77777777" w:rsidR="00FD6ADF" w:rsidRPr="00FD6ADF" w:rsidRDefault="00FD6ADF" w:rsidP="00864ECD">
            <w:pPr>
              <w:spacing w:after="40" w:line="360" w:lineRule="auto"/>
              <w:jc w:val="center"/>
              <w:rPr>
                <w:rFonts w:ascii="Arial" w:hAnsi="Arial" w:cs="Arial"/>
                <w:sz w:val="22"/>
                <w:szCs w:val="22"/>
              </w:rPr>
            </w:pPr>
            <w:r w:rsidRPr="00FD6ADF">
              <w:rPr>
                <w:rFonts w:ascii="Arial" w:eastAsia="Arial" w:hAnsi="Arial" w:cs="Arial"/>
                <w:sz w:val="22"/>
                <w:szCs w:val="22"/>
              </w:rPr>
              <w:t>inclusion</w:t>
            </w:r>
          </w:p>
        </w:tc>
      </w:tr>
      <w:tr w:rsidR="00FD6ADF" w:rsidRPr="00FD6ADF" w14:paraId="6D995017" w14:textId="77777777" w:rsidTr="004B6DDB">
        <w:tc>
          <w:tcPr>
            <w:tcW w:w="3000" w:type="dxa"/>
            <w:tcBorders>
              <w:top w:val="none" w:sz="0" w:space="0" w:color="FFFFFF"/>
              <w:left w:val="none" w:sz="0" w:space="0" w:color="FFFFFF"/>
              <w:bottom w:val="none" w:sz="0" w:space="0" w:color="FFFFFF"/>
              <w:right w:val="none" w:sz="0" w:space="0" w:color="FFFFFF"/>
            </w:tcBorders>
          </w:tcPr>
          <w:p w14:paraId="52BFAEFA" w14:textId="77777777" w:rsidR="00FD6ADF" w:rsidRPr="00FD6ADF" w:rsidRDefault="00FD6ADF" w:rsidP="00864ECD">
            <w:pPr>
              <w:spacing w:line="360" w:lineRule="auto"/>
              <w:jc w:val="center"/>
              <w:rPr>
                <w:rFonts w:ascii="Arial" w:hAnsi="Arial" w:cs="Arial"/>
                <w:sz w:val="22"/>
                <w:szCs w:val="22"/>
              </w:rPr>
            </w:pPr>
            <w:r w:rsidRPr="00FD6ADF">
              <w:rPr>
                <w:rFonts w:ascii="Arial" w:eastAsia="Arial" w:hAnsi="Arial" w:cs="Arial"/>
                <w:sz w:val="22"/>
                <w:szCs w:val="22"/>
              </w:rPr>
              <w:t>→</w:t>
            </w:r>
          </w:p>
        </w:tc>
        <w:tc>
          <w:tcPr>
            <w:tcW w:w="3800" w:type="dxa"/>
            <w:tcBorders>
              <w:top w:val="none" w:sz="0" w:space="0" w:color="FFFFFF"/>
              <w:left w:val="none" w:sz="0" w:space="0" w:color="FFFFFF"/>
              <w:bottom w:val="none" w:sz="0" w:space="0" w:color="FFFFFF"/>
              <w:right w:val="none" w:sz="0" w:space="0" w:color="FFFFFF"/>
            </w:tcBorders>
          </w:tcPr>
          <w:p w14:paraId="1EA87C06" w14:textId="77777777" w:rsidR="00FD6ADF" w:rsidRPr="00FD6ADF" w:rsidRDefault="00FD6ADF" w:rsidP="00864ECD">
            <w:pPr>
              <w:spacing w:line="360" w:lineRule="auto"/>
              <w:rPr>
                <w:rFonts w:ascii="Arial" w:hAnsi="Arial" w:cs="Arial"/>
                <w:sz w:val="22"/>
                <w:szCs w:val="22"/>
              </w:rPr>
            </w:pPr>
          </w:p>
        </w:tc>
        <w:tc>
          <w:tcPr>
            <w:tcW w:w="3000" w:type="dxa"/>
            <w:tcBorders>
              <w:top w:val="none" w:sz="0" w:space="0" w:color="FFFFFF"/>
              <w:left w:val="none" w:sz="0" w:space="0" w:color="FFFFFF"/>
              <w:bottom w:val="none" w:sz="0" w:space="0" w:color="FFFFFF"/>
              <w:right w:val="none" w:sz="0" w:space="0" w:color="FFFFFF"/>
            </w:tcBorders>
          </w:tcPr>
          <w:p w14:paraId="40AAA56E" w14:textId="77777777" w:rsidR="00FD6ADF" w:rsidRPr="00FD6ADF" w:rsidRDefault="00FD6ADF" w:rsidP="00864ECD">
            <w:pPr>
              <w:spacing w:line="360" w:lineRule="auto"/>
              <w:jc w:val="center"/>
              <w:rPr>
                <w:rFonts w:ascii="Arial" w:hAnsi="Arial" w:cs="Arial"/>
                <w:sz w:val="22"/>
                <w:szCs w:val="22"/>
              </w:rPr>
            </w:pPr>
            <w:r w:rsidRPr="00FD6ADF">
              <w:rPr>
                <w:rFonts w:ascii="Arial" w:eastAsia="Arial" w:hAnsi="Arial" w:cs="Arial"/>
                <w:sz w:val="22"/>
                <w:szCs w:val="22"/>
              </w:rPr>
              <w:t>←</w:t>
            </w:r>
          </w:p>
        </w:tc>
      </w:tr>
    </w:tbl>
    <w:p w14:paraId="7785CAF1" w14:textId="77777777" w:rsidR="00FD6ADF" w:rsidRPr="00FD6ADF" w:rsidRDefault="00FD6ADF" w:rsidP="00864ECD">
      <w:pPr>
        <w:spacing w:after="140" w:line="360" w:lineRule="auto"/>
        <w:jc w:val="center"/>
        <w:rPr>
          <w:rFonts w:ascii="Arial" w:hAnsi="Arial" w:cs="Arial"/>
          <w:sz w:val="22"/>
          <w:szCs w:val="22"/>
        </w:rPr>
      </w:pPr>
      <w:r w:rsidRPr="00FD6ADF">
        <w:rPr>
          <w:rFonts w:ascii="Arial" w:eastAsia="Arial" w:hAnsi="Arial" w:cs="Arial"/>
          <w:i/>
          <w:iCs/>
          <w:sz w:val="22"/>
          <w:szCs w:val="22"/>
        </w:rPr>
        <w:t>Source: Created by the author</w:t>
      </w:r>
    </w:p>
    <w:p w14:paraId="3D0B665F"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 xml:space="preserve">As illustrated in Figure 1, the three HR challenges are strategically interconnected and central to delivering the Next Level strategy. Technological change creates demand for new digital and change capabilities; talent strategies must attract and retain individuals who can lead transformation while modelling inclusive behaviours; and a strong DEI approach ensures that innovation and decision-making benefit from diverse perspectives. These elements are mutually reinforcing. The blended recruitment approach (structured + behavioural + situational interviews) </w:t>
      </w:r>
      <w:r w:rsidRPr="00FD6ADF">
        <w:rPr>
          <w:rFonts w:ascii="Arial" w:hAnsi="Arial" w:cs="Arial"/>
          <w:sz w:val="22"/>
          <w:szCs w:val="22"/>
        </w:rPr>
        <w:lastRenderedPageBreak/>
        <w:t>provides a practical mechanism to advance technological capability, secure critical talent, and promote fairness simultaneously.</w:t>
      </w:r>
    </w:p>
    <w:p w14:paraId="79632971" w14:textId="77777777" w:rsidR="00DC1B86" w:rsidRPr="00FD6ADF" w:rsidRDefault="00F13A6B" w:rsidP="00864ECD">
      <w:pPr>
        <w:pStyle w:val="Heading1"/>
        <w:spacing w:line="360" w:lineRule="auto"/>
        <w:rPr>
          <w:rFonts w:ascii="Arial" w:hAnsi="Arial" w:cs="Arial"/>
          <w:color w:val="auto"/>
          <w:sz w:val="22"/>
          <w:szCs w:val="22"/>
        </w:rPr>
      </w:pPr>
      <w:r w:rsidRPr="00FD6ADF">
        <w:rPr>
          <w:rFonts w:ascii="Arial" w:hAnsi="Arial" w:cs="Arial"/>
          <w:color w:val="auto"/>
          <w:sz w:val="22"/>
          <w:szCs w:val="22"/>
        </w:rPr>
        <w:t>1. Explanation of Key Factors</w:t>
      </w:r>
    </w:p>
    <w:p w14:paraId="6C39D992" w14:textId="77777777" w:rsidR="00DC1B86" w:rsidRPr="00FD6ADF" w:rsidRDefault="00F13A6B" w:rsidP="00864ECD">
      <w:pPr>
        <w:pStyle w:val="Heading2"/>
        <w:spacing w:line="360" w:lineRule="auto"/>
        <w:rPr>
          <w:rFonts w:ascii="Arial" w:hAnsi="Arial" w:cs="Arial"/>
          <w:color w:val="auto"/>
          <w:sz w:val="22"/>
          <w:szCs w:val="22"/>
        </w:rPr>
      </w:pPr>
      <w:r w:rsidRPr="00FD6ADF">
        <w:rPr>
          <w:rFonts w:ascii="Arial" w:hAnsi="Arial" w:cs="Arial"/>
          <w:color w:val="auto"/>
          <w:sz w:val="22"/>
          <w:szCs w:val="22"/>
        </w:rPr>
        <w:t>1.1 Technological Adaptation</w:t>
      </w:r>
    </w:p>
    <w:p w14:paraId="025CAA42"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Sainsbury's Next Level strategy involves substantial technological investment, including further integration of the Nectar platform across digital channels and payment solutions, expansion of AI-led personalisation and retail media capabilities through Nectar360, automation in supply chain and replenishment processes, and the creation of unified digital customer journeys (J Sainsbury plc, 2025). These initiatives are expected to contribute to the £1 billion structural cost reduction target while enhancing customer experience and operational efficiency. However, successful technological transformation requires more than new systems and tools; it demands a workforce with enhanced digital literacy, data analytical capability, change leadership skills, and the ability to work in more agile, cross-functional ways.</w:t>
      </w:r>
    </w:p>
    <w:p w14:paraId="37FC4EF7"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A significant challenge lies in the emergence of skills gaps. Many existing colleagues, particularly in store-based and operational roles, may lack the advanced digital and analytical skills now required. Competition for scarce external talent with expertise in digital transformation, data science, AI and organisational change is intense. According to the CIPD (2024) Resourcing and Talent Planning Report, UK organisations, including retail, report ongoing difficulties recruiting individuals with advanced digital and technical skills. These skills gaps directly affect performance: delays in filling critical roles slow project delivery, while inadequate internal capability can lead to suboptimal implementation of new technologies.</w:t>
      </w:r>
    </w:p>
    <w:p w14:paraId="656E1AEB"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Rapid technological change can generate uncertainty, resistance and change fatigue, particularly if colleagues perceive that new systems threaten job security or devalue their existing expertise. Poorly managed adaptation risks lowering morale and discretionary effort when high engagement is needed to embed new ways of working. From a long-term perspective, failure to build digital fluency threatens Sainsbury's competitive advantage in an increasingly technology-driven retail environment (Armstrong and Taylor, 2020).</w:t>
      </w:r>
    </w:p>
    <w:p w14:paraId="4C0B9B43" w14:textId="77777777" w:rsidR="00DC1B86" w:rsidRPr="00FD6ADF" w:rsidRDefault="00F13A6B" w:rsidP="00864ECD">
      <w:pPr>
        <w:pStyle w:val="Heading2"/>
        <w:spacing w:line="360" w:lineRule="auto"/>
        <w:rPr>
          <w:rFonts w:ascii="Arial" w:hAnsi="Arial" w:cs="Arial"/>
          <w:color w:val="auto"/>
          <w:sz w:val="22"/>
          <w:szCs w:val="22"/>
        </w:rPr>
      </w:pPr>
      <w:r w:rsidRPr="00FD6ADF">
        <w:rPr>
          <w:rFonts w:ascii="Arial" w:hAnsi="Arial" w:cs="Arial"/>
          <w:color w:val="auto"/>
          <w:sz w:val="22"/>
          <w:szCs w:val="22"/>
        </w:rPr>
        <w:t>1.2 Talent Acquisition and Retention</w:t>
      </w:r>
    </w:p>
    <w:p w14:paraId="53D93C64" w14:textId="4FEE9A00" w:rsidR="009C1337" w:rsidRPr="00FD6ADF" w:rsidRDefault="00F13A6B" w:rsidP="00864ECD">
      <w:pPr>
        <w:spacing w:after="200" w:line="360" w:lineRule="auto"/>
        <w:rPr>
          <w:rFonts w:ascii="Arial" w:hAnsi="Arial" w:cs="Arial"/>
          <w:sz w:val="22"/>
          <w:szCs w:val="22"/>
        </w:rPr>
      </w:pPr>
      <w:r w:rsidRPr="00FD6ADF">
        <w:rPr>
          <w:rFonts w:ascii="Arial" w:hAnsi="Arial" w:cs="Arial"/>
          <w:sz w:val="22"/>
          <w:szCs w:val="22"/>
        </w:rPr>
        <w:t xml:space="preserve">The transformation creates urgent demand for a new cohort of specialist talent. Critical roles identified include Change Managers who can lead digital and cultural transformation, Digital Transformation Specialists, Project Managers for technology initiatives, Sustainability Leads, HR Business Partners focused on change and culture, and Data &amp; Insights Analysts capable of turning customer behaviour data into business value. Acquiring and retaining such talent presents acute challenges. Sainsbury's must compete not only with other major retailers but also with technology </w:t>
      </w:r>
      <w:r w:rsidRPr="00FD6ADF">
        <w:rPr>
          <w:rFonts w:ascii="Arial" w:hAnsi="Arial" w:cs="Arial"/>
          <w:sz w:val="22"/>
          <w:szCs w:val="22"/>
        </w:rPr>
        <w:lastRenderedPageBreak/>
        <w:t>companies, consultancies and other sectors that may offer more dynamic career paths, higher remuneration, or more flexible working arrangements.</w:t>
      </w:r>
    </w:p>
    <w:p w14:paraId="6A7655A8" w14:textId="0F96CB65" w:rsidR="009C1337" w:rsidRPr="00FD6ADF" w:rsidRDefault="009C1337" w:rsidP="00864ECD">
      <w:pPr>
        <w:spacing w:after="200" w:line="360" w:lineRule="auto"/>
        <w:rPr>
          <w:rFonts w:ascii="Arial" w:hAnsi="Arial" w:cs="Arial"/>
          <w:sz w:val="22"/>
          <w:szCs w:val="22"/>
        </w:rPr>
      </w:pPr>
      <w:r w:rsidRPr="00FD6ADF">
        <w:rPr>
          <w:rFonts w:ascii="Arial" w:hAnsi="Arial" w:cs="Arial"/>
          <w:sz w:val="22"/>
          <w:szCs w:val="22"/>
        </w:rPr>
        <w:t>High turnover or prolonged vacancies in these critical roles would severely undermine transformation performance through delayed projects, lost institutional knowledge and disrupted stakeholder relationships. Existing colleagues may experience change fatigue or perceive limited internal progression if external hiring dominates high-profile roles. Long-term sustainability depends on building a robust internal pipeline alongside selective external hiring. Strategic workforce planning, compelling employer branding that highlights purpose-driven work in sustainability and innovation, and robust internal talent development are therefore essential (CIPD, 2024; Armstrong and Taylor, 2020)</w:t>
      </w:r>
    </w:p>
    <w:p w14:paraId="211B8CE5" w14:textId="77777777" w:rsidR="00DC1B86" w:rsidRPr="00FD6ADF" w:rsidRDefault="00F13A6B" w:rsidP="00864ECD">
      <w:pPr>
        <w:pStyle w:val="Heading2"/>
        <w:spacing w:line="360" w:lineRule="auto"/>
        <w:rPr>
          <w:rFonts w:ascii="Arial" w:hAnsi="Arial" w:cs="Arial"/>
          <w:color w:val="auto"/>
          <w:sz w:val="22"/>
          <w:szCs w:val="22"/>
        </w:rPr>
      </w:pPr>
      <w:r w:rsidRPr="00FD6ADF">
        <w:rPr>
          <w:rFonts w:ascii="Arial" w:hAnsi="Arial" w:cs="Arial"/>
          <w:color w:val="auto"/>
          <w:sz w:val="22"/>
          <w:szCs w:val="22"/>
        </w:rPr>
        <w:t>1.3 Diversity, Equity and Inclusion (DEI)</w:t>
      </w:r>
    </w:p>
    <w:p w14:paraId="38F8F4F9"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Sainsbury's has demonstrated strong public commitment to DEI, including targets for diverse representation in leadership by 2028 (50 per cent women and 15 per cent ethnically diverse colleagues in senior leadership), the 'Offer an Interview' scheme under Disability Confident Leader status, enhanced DEI dashboards, and resources supporting inclusive decision-making (J Sainsbury plc, 2025). However, during rapid transformation, new roles in digital, data and change leadership risk becoming relatively homogenous if recruitment draws primarily from narrow talent pools lacking diversity in gender, ethnicity, disability or socio-economic background.</w:t>
      </w:r>
    </w:p>
    <w:p w14:paraId="20315972" w14:textId="58C0ED90" w:rsidR="009C1337" w:rsidRDefault="00F13A6B" w:rsidP="00864ECD">
      <w:pPr>
        <w:spacing w:after="200" w:line="360" w:lineRule="auto"/>
        <w:rPr>
          <w:rFonts w:ascii="Arial" w:hAnsi="Arial" w:cs="Arial"/>
          <w:sz w:val="22"/>
          <w:szCs w:val="22"/>
        </w:rPr>
      </w:pPr>
      <w:r w:rsidRPr="00FD6ADF">
        <w:rPr>
          <w:rFonts w:ascii="Arial" w:hAnsi="Arial" w:cs="Arial"/>
          <w:sz w:val="22"/>
          <w:szCs w:val="22"/>
        </w:rPr>
        <w:t>Diverse teams drive superior innovation, problem-solving and customer insight. In a retailer serving one of the UK's most diverse customer bases, ensuring transformation teams reflect customer diversity is both a commercial and ethical imperative. Engagement suffers when underrepresented colleagues perceive barriers to progression or biased selection. The structured, competency-based recruitment approach, with clear scoring rubrics and a blend of behavioural and situational questions, offers a powerful mechanism to reduce unconscious bias and support fairer outcomes (Schmidt and Hunter, 1998). Equity theory (Adams, 1965) further situates this work: perceptions of fairness in selection and progression directly influence motivation and discretionary effort during organisational change.</w:t>
      </w:r>
    </w:p>
    <w:p w14:paraId="6258571D" w14:textId="77777777" w:rsidR="009C1337" w:rsidRDefault="009C1337" w:rsidP="00864ECD">
      <w:pPr>
        <w:spacing w:after="200" w:line="360" w:lineRule="auto"/>
        <w:rPr>
          <w:rFonts w:ascii="Arial" w:hAnsi="Arial" w:cs="Arial"/>
          <w:sz w:val="22"/>
          <w:szCs w:val="22"/>
        </w:rPr>
      </w:pPr>
    </w:p>
    <w:p w14:paraId="57D35CBC" w14:textId="77777777" w:rsidR="009C1337" w:rsidRDefault="009C1337" w:rsidP="00864ECD">
      <w:pPr>
        <w:spacing w:after="200" w:line="360" w:lineRule="auto"/>
        <w:rPr>
          <w:rFonts w:ascii="Arial" w:hAnsi="Arial" w:cs="Arial"/>
          <w:sz w:val="22"/>
          <w:szCs w:val="22"/>
        </w:rPr>
      </w:pPr>
    </w:p>
    <w:p w14:paraId="33DEF8D6" w14:textId="77777777" w:rsidR="009C1337" w:rsidRDefault="009C1337" w:rsidP="00864ECD">
      <w:pPr>
        <w:spacing w:after="200" w:line="360" w:lineRule="auto"/>
        <w:rPr>
          <w:rFonts w:ascii="Arial" w:hAnsi="Arial" w:cs="Arial"/>
          <w:sz w:val="22"/>
          <w:szCs w:val="22"/>
        </w:rPr>
      </w:pPr>
    </w:p>
    <w:p w14:paraId="02C490B9" w14:textId="77777777" w:rsidR="009C1337" w:rsidRDefault="009C1337" w:rsidP="00864ECD">
      <w:pPr>
        <w:spacing w:after="200" w:line="360" w:lineRule="auto"/>
        <w:rPr>
          <w:rFonts w:ascii="Arial" w:hAnsi="Arial" w:cs="Arial"/>
          <w:sz w:val="22"/>
          <w:szCs w:val="22"/>
        </w:rPr>
      </w:pPr>
    </w:p>
    <w:p w14:paraId="30D1764A" w14:textId="77777777" w:rsidR="009C1337" w:rsidRPr="00FD6ADF" w:rsidRDefault="009C1337" w:rsidP="00864ECD">
      <w:pPr>
        <w:spacing w:after="200" w:line="360" w:lineRule="auto"/>
        <w:rPr>
          <w:rFonts w:ascii="Arial" w:hAnsi="Arial" w:cs="Arial"/>
          <w:sz w:val="22"/>
          <w:szCs w:val="22"/>
        </w:rPr>
      </w:pPr>
    </w:p>
    <w:p w14:paraId="023A4A82" w14:textId="77777777" w:rsidR="00DC1B86" w:rsidRPr="00FD6ADF" w:rsidRDefault="00F13A6B" w:rsidP="00864ECD">
      <w:pPr>
        <w:pStyle w:val="Heading1"/>
        <w:spacing w:line="360" w:lineRule="auto"/>
        <w:rPr>
          <w:rFonts w:ascii="Arial" w:hAnsi="Arial" w:cs="Arial"/>
          <w:color w:val="auto"/>
          <w:sz w:val="22"/>
          <w:szCs w:val="22"/>
        </w:rPr>
      </w:pPr>
      <w:r w:rsidRPr="00FD6ADF">
        <w:rPr>
          <w:rFonts w:ascii="Arial" w:hAnsi="Arial" w:cs="Arial"/>
          <w:color w:val="auto"/>
          <w:sz w:val="22"/>
          <w:szCs w:val="22"/>
        </w:rPr>
        <w:lastRenderedPageBreak/>
        <w:t>2. Evaluation of Contemporary HR Practices</w:t>
      </w:r>
    </w:p>
    <w:p w14:paraId="11491DE5" w14:textId="77777777" w:rsidR="00DC1B86" w:rsidRPr="00FD6ADF" w:rsidRDefault="00F13A6B" w:rsidP="00864ECD">
      <w:pPr>
        <w:pStyle w:val="Heading2"/>
        <w:spacing w:line="360" w:lineRule="auto"/>
        <w:rPr>
          <w:rFonts w:ascii="Arial" w:hAnsi="Arial" w:cs="Arial"/>
          <w:color w:val="auto"/>
          <w:sz w:val="22"/>
          <w:szCs w:val="22"/>
        </w:rPr>
      </w:pPr>
      <w:r w:rsidRPr="00FD6ADF">
        <w:rPr>
          <w:rFonts w:ascii="Arial" w:hAnsi="Arial" w:cs="Arial"/>
          <w:color w:val="auto"/>
          <w:sz w:val="22"/>
          <w:szCs w:val="22"/>
        </w:rPr>
        <w:t>2.1 Blended Recruitment and Selection Framework</w:t>
      </w:r>
    </w:p>
    <w:p w14:paraId="3D0C844E" w14:textId="77777777" w:rsidR="00DC1B86" w:rsidRPr="00FD6ADF" w:rsidRDefault="00F13A6B" w:rsidP="00864ECD">
      <w:pPr>
        <w:spacing w:after="120" w:line="360" w:lineRule="auto"/>
        <w:rPr>
          <w:rFonts w:ascii="Arial" w:hAnsi="Arial" w:cs="Arial"/>
          <w:sz w:val="22"/>
          <w:szCs w:val="22"/>
        </w:rPr>
      </w:pPr>
      <w:r w:rsidRPr="00FD6ADF">
        <w:rPr>
          <w:rFonts w:ascii="Arial" w:hAnsi="Arial" w:cs="Arial"/>
          <w:b/>
          <w:bCs/>
          <w:sz w:val="22"/>
          <w:szCs w:val="22"/>
        </w:rPr>
        <w:t>Figure 2: Blended Recruitment &amp; Selection Approach for Transformation Roles</w:t>
      </w:r>
    </w:p>
    <w:p w14:paraId="243C71F7" w14:textId="392281DC" w:rsidR="00DC1B86" w:rsidRPr="00FD6ADF" w:rsidRDefault="00DC1B86" w:rsidP="00864ECD">
      <w:pPr>
        <w:spacing w:after="80" w:line="360" w:lineRule="auto"/>
        <w:jc w:val="center"/>
        <w:rPr>
          <w:rFonts w:ascii="Arial" w:hAnsi="Arial" w:cs="Arial"/>
          <w:sz w:val="22"/>
          <w:szCs w:val="22"/>
        </w:rPr>
      </w:pPr>
    </w:p>
    <w:p w14:paraId="38960C34" w14:textId="46ED109C" w:rsidR="00FD6ADF" w:rsidRPr="00FD6ADF" w:rsidRDefault="00FD6ADF" w:rsidP="00864ECD">
      <w:pPr>
        <w:spacing w:after="140" w:line="360" w:lineRule="auto"/>
        <w:jc w:val="center"/>
        <w:rPr>
          <w:rFonts w:ascii="Arial" w:hAnsi="Arial" w:cs="Arial"/>
          <w:sz w:val="22"/>
          <w:szCs w:val="22"/>
        </w:rPr>
      </w:pPr>
    </w:p>
    <w:tbl>
      <w:tblPr>
        <w:tblpPr w:leftFromText="180" w:rightFromText="180" w:vertAnchor="text" w:horzAnchor="margin" w:tblpY="-556"/>
        <w:tblW w:w="98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60"/>
        <w:gridCol w:w="1960"/>
        <w:gridCol w:w="1960"/>
        <w:gridCol w:w="1960"/>
        <w:gridCol w:w="1960"/>
      </w:tblGrid>
      <w:tr w:rsidR="009C1337" w:rsidRPr="00FD6ADF" w14:paraId="730F61B0" w14:textId="77777777" w:rsidTr="006101D5">
        <w:tc>
          <w:tcPr>
            <w:tcW w:w="1960" w:type="dxa"/>
            <w:tcBorders>
              <w:top w:val="single" w:sz="4" w:space="0" w:color="666666"/>
              <w:left w:val="single" w:sz="4" w:space="0" w:color="666666"/>
              <w:bottom w:val="single" w:sz="4" w:space="0" w:color="666666"/>
              <w:right w:val="single" w:sz="4" w:space="0" w:color="666666"/>
            </w:tcBorders>
            <w:shd w:val="clear" w:color="auto" w:fill="FFC000"/>
            <w:vAlign w:val="center"/>
          </w:tcPr>
          <w:p w14:paraId="7D81C39B" w14:textId="77777777" w:rsidR="009C1337" w:rsidRPr="00FD6ADF" w:rsidRDefault="009C1337" w:rsidP="00864ECD">
            <w:pPr>
              <w:spacing w:before="30" w:after="10" w:line="360" w:lineRule="auto"/>
              <w:jc w:val="center"/>
              <w:rPr>
                <w:rFonts w:ascii="Arial" w:hAnsi="Arial" w:cs="Arial"/>
                <w:sz w:val="22"/>
                <w:szCs w:val="22"/>
              </w:rPr>
            </w:pPr>
            <w:r w:rsidRPr="00FD6ADF">
              <w:rPr>
                <w:rFonts w:ascii="Arial" w:eastAsia="Arial" w:hAnsi="Arial" w:cs="Arial"/>
                <w:b/>
                <w:bCs/>
                <w:sz w:val="22"/>
                <w:szCs w:val="22"/>
              </w:rPr>
              <w:t>1</w:t>
            </w:r>
          </w:p>
          <w:p w14:paraId="763A0286" w14:textId="77777777" w:rsidR="009C1337" w:rsidRPr="00FD6ADF" w:rsidRDefault="009C1337" w:rsidP="00864ECD">
            <w:pPr>
              <w:spacing w:after="30" w:line="360" w:lineRule="auto"/>
              <w:jc w:val="center"/>
              <w:rPr>
                <w:rFonts w:ascii="Arial" w:hAnsi="Arial" w:cs="Arial"/>
                <w:sz w:val="22"/>
                <w:szCs w:val="22"/>
              </w:rPr>
            </w:pPr>
            <w:r w:rsidRPr="00FD6ADF">
              <w:rPr>
                <w:rFonts w:ascii="Arial" w:eastAsia="Arial" w:hAnsi="Arial" w:cs="Arial"/>
                <w:b/>
                <w:bCs/>
                <w:sz w:val="22"/>
                <w:szCs w:val="22"/>
              </w:rPr>
              <w:t>Job Analysis &amp; Workforce Planning</w:t>
            </w:r>
          </w:p>
        </w:tc>
        <w:tc>
          <w:tcPr>
            <w:tcW w:w="1960" w:type="dxa"/>
            <w:tcBorders>
              <w:top w:val="single" w:sz="4" w:space="0" w:color="666666"/>
              <w:left w:val="single" w:sz="4" w:space="0" w:color="666666"/>
              <w:bottom w:val="single" w:sz="4" w:space="0" w:color="666666"/>
              <w:right w:val="single" w:sz="4" w:space="0" w:color="666666"/>
            </w:tcBorders>
            <w:shd w:val="clear" w:color="auto" w:fill="7030A0"/>
            <w:vAlign w:val="center"/>
          </w:tcPr>
          <w:p w14:paraId="2A7FBA34" w14:textId="77777777" w:rsidR="009C1337" w:rsidRPr="00FD6ADF" w:rsidRDefault="009C1337" w:rsidP="00864ECD">
            <w:pPr>
              <w:spacing w:before="30" w:after="10" w:line="360" w:lineRule="auto"/>
              <w:jc w:val="center"/>
              <w:rPr>
                <w:rFonts w:ascii="Arial" w:hAnsi="Arial" w:cs="Arial"/>
                <w:sz w:val="22"/>
                <w:szCs w:val="22"/>
              </w:rPr>
            </w:pPr>
            <w:r w:rsidRPr="00FD6ADF">
              <w:rPr>
                <w:rFonts w:ascii="Arial" w:eastAsia="Arial" w:hAnsi="Arial" w:cs="Arial"/>
                <w:b/>
                <w:bCs/>
                <w:sz w:val="22"/>
                <w:szCs w:val="22"/>
              </w:rPr>
              <w:t>2</w:t>
            </w:r>
          </w:p>
          <w:p w14:paraId="0117298C" w14:textId="77777777" w:rsidR="009C1337" w:rsidRPr="00FD6ADF" w:rsidRDefault="009C1337" w:rsidP="00864ECD">
            <w:pPr>
              <w:spacing w:after="30" w:line="360" w:lineRule="auto"/>
              <w:jc w:val="center"/>
              <w:rPr>
                <w:rFonts w:ascii="Arial" w:hAnsi="Arial" w:cs="Arial"/>
                <w:sz w:val="22"/>
                <w:szCs w:val="22"/>
              </w:rPr>
            </w:pPr>
            <w:r w:rsidRPr="00FD6ADF">
              <w:rPr>
                <w:rFonts w:ascii="Arial" w:eastAsia="Arial" w:hAnsi="Arial" w:cs="Arial"/>
                <w:b/>
                <w:bCs/>
                <w:sz w:val="22"/>
                <w:szCs w:val="22"/>
              </w:rPr>
              <w:t>Job Description &amp; Person Specification</w:t>
            </w:r>
          </w:p>
        </w:tc>
        <w:tc>
          <w:tcPr>
            <w:tcW w:w="1960" w:type="dxa"/>
            <w:tcBorders>
              <w:top w:val="single" w:sz="4" w:space="0" w:color="666666"/>
              <w:left w:val="single" w:sz="4" w:space="0" w:color="666666"/>
              <w:bottom w:val="single" w:sz="4" w:space="0" w:color="666666"/>
              <w:right w:val="single" w:sz="4" w:space="0" w:color="666666"/>
            </w:tcBorders>
            <w:shd w:val="clear" w:color="auto" w:fill="FFC000"/>
            <w:vAlign w:val="center"/>
          </w:tcPr>
          <w:p w14:paraId="70A18C5D" w14:textId="77777777" w:rsidR="009C1337" w:rsidRPr="00FD6ADF" w:rsidRDefault="009C1337" w:rsidP="00864ECD">
            <w:pPr>
              <w:spacing w:before="30" w:after="10" w:line="360" w:lineRule="auto"/>
              <w:jc w:val="center"/>
              <w:rPr>
                <w:rFonts w:ascii="Arial" w:hAnsi="Arial" w:cs="Arial"/>
                <w:sz w:val="22"/>
                <w:szCs w:val="22"/>
              </w:rPr>
            </w:pPr>
            <w:r w:rsidRPr="00FD6ADF">
              <w:rPr>
                <w:rFonts w:ascii="Arial" w:eastAsia="Arial" w:hAnsi="Arial" w:cs="Arial"/>
                <w:b/>
                <w:bCs/>
                <w:sz w:val="22"/>
                <w:szCs w:val="22"/>
              </w:rPr>
              <w:t>3</w:t>
            </w:r>
          </w:p>
          <w:p w14:paraId="0092C7F2" w14:textId="77777777" w:rsidR="009C1337" w:rsidRPr="00FD6ADF" w:rsidRDefault="009C1337" w:rsidP="00864ECD">
            <w:pPr>
              <w:spacing w:after="30" w:line="360" w:lineRule="auto"/>
              <w:jc w:val="center"/>
              <w:rPr>
                <w:rFonts w:ascii="Arial" w:hAnsi="Arial" w:cs="Arial"/>
                <w:sz w:val="22"/>
                <w:szCs w:val="22"/>
              </w:rPr>
            </w:pPr>
            <w:r w:rsidRPr="00FD6ADF">
              <w:rPr>
                <w:rFonts w:ascii="Arial" w:eastAsia="Arial" w:hAnsi="Arial" w:cs="Arial"/>
                <w:b/>
                <w:bCs/>
                <w:sz w:val="22"/>
                <w:szCs w:val="22"/>
              </w:rPr>
              <w:t>Strategic Advertisement</w:t>
            </w:r>
          </w:p>
        </w:tc>
        <w:tc>
          <w:tcPr>
            <w:tcW w:w="1960" w:type="dxa"/>
            <w:tcBorders>
              <w:top w:val="single" w:sz="4" w:space="0" w:color="666666"/>
              <w:left w:val="single" w:sz="4" w:space="0" w:color="666666"/>
              <w:bottom w:val="single" w:sz="4" w:space="0" w:color="666666"/>
              <w:right w:val="single" w:sz="4" w:space="0" w:color="666666"/>
            </w:tcBorders>
            <w:shd w:val="clear" w:color="auto" w:fill="7030A0"/>
            <w:vAlign w:val="center"/>
          </w:tcPr>
          <w:p w14:paraId="1A0D4D2F" w14:textId="77777777" w:rsidR="009C1337" w:rsidRPr="00FD6ADF" w:rsidRDefault="009C1337" w:rsidP="00864ECD">
            <w:pPr>
              <w:spacing w:before="30" w:after="10" w:line="360" w:lineRule="auto"/>
              <w:jc w:val="center"/>
              <w:rPr>
                <w:rFonts w:ascii="Arial" w:hAnsi="Arial" w:cs="Arial"/>
                <w:sz w:val="22"/>
                <w:szCs w:val="22"/>
              </w:rPr>
            </w:pPr>
            <w:r w:rsidRPr="00FD6ADF">
              <w:rPr>
                <w:rFonts w:ascii="Arial" w:eastAsia="Arial" w:hAnsi="Arial" w:cs="Arial"/>
                <w:b/>
                <w:bCs/>
                <w:sz w:val="22"/>
                <w:szCs w:val="22"/>
              </w:rPr>
              <w:t>4</w:t>
            </w:r>
          </w:p>
          <w:p w14:paraId="0B56B562" w14:textId="77777777" w:rsidR="009C1337" w:rsidRPr="00FD6ADF" w:rsidRDefault="009C1337" w:rsidP="00864ECD">
            <w:pPr>
              <w:spacing w:after="30" w:line="360" w:lineRule="auto"/>
              <w:jc w:val="center"/>
              <w:rPr>
                <w:rFonts w:ascii="Arial" w:hAnsi="Arial" w:cs="Arial"/>
                <w:sz w:val="22"/>
                <w:szCs w:val="22"/>
              </w:rPr>
            </w:pPr>
            <w:r w:rsidRPr="00FD6ADF">
              <w:rPr>
                <w:rFonts w:ascii="Arial" w:eastAsia="Arial" w:hAnsi="Arial" w:cs="Arial"/>
                <w:b/>
                <w:bCs/>
                <w:sz w:val="22"/>
                <w:szCs w:val="22"/>
              </w:rPr>
              <w:t>Blended Selection Methods</w:t>
            </w:r>
          </w:p>
        </w:tc>
        <w:tc>
          <w:tcPr>
            <w:tcW w:w="1960" w:type="dxa"/>
            <w:tcBorders>
              <w:top w:val="single" w:sz="4" w:space="0" w:color="666666"/>
              <w:left w:val="single" w:sz="4" w:space="0" w:color="666666"/>
              <w:bottom w:val="single" w:sz="4" w:space="0" w:color="666666"/>
              <w:right w:val="single" w:sz="4" w:space="0" w:color="666666"/>
            </w:tcBorders>
            <w:shd w:val="clear" w:color="auto" w:fill="FFC000"/>
            <w:vAlign w:val="center"/>
          </w:tcPr>
          <w:p w14:paraId="18791D26" w14:textId="77777777" w:rsidR="009C1337" w:rsidRPr="00FD6ADF" w:rsidRDefault="009C1337" w:rsidP="00864ECD">
            <w:pPr>
              <w:spacing w:before="30" w:after="10" w:line="360" w:lineRule="auto"/>
              <w:jc w:val="center"/>
              <w:rPr>
                <w:rFonts w:ascii="Arial" w:hAnsi="Arial" w:cs="Arial"/>
                <w:sz w:val="22"/>
                <w:szCs w:val="22"/>
              </w:rPr>
            </w:pPr>
            <w:r w:rsidRPr="00FD6ADF">
              <w:rPr>
                <w:rFonts w:ascii="Arial" w:eastAsia="Arial" w:hAnsi="Arial" w:cs="Arial"/>
                <w:b/>
                <w:bCs/>
                <w:sz w:val="22"/>
                <w:szCs w:val="22"/>
              </w:rPr>
              <w:t>5</w:t>
            </w:r>
          </w:p>
          <w:p w14:paraId="796000E6" w14:textId="77777777" w:rsidR="009C1337" w:rsidRPr="00FD6ADF" w:rsidRDefault="009C1337" w:rsidP="00864ECD">
            <w:pPr>
              <w:spacing w:after="30" w:line="360" w:lineRule="auto"/>
              <w:jc w:val="center"/>
              <w:rPr>
                <w:rFonts w:ascii="Arial" w:hAnsi="Arial" w:cs="Arial"/>
                <w:sz w:val="22"/>
                <w:szCs w:val="22"/>
              </w:rPr>
            </w:pPr>
            <w:r w:rsidRPr="00FD6ADF">
              <w:rPr>
                <w:rFonts w:ascii="Arial" w:eastAsia="Arial" w:hAnsi="Arial" w:cs="Arial"/>
                <w:b/>
                <w:bCs/>
                <w:sz w:val="22"/>
                <w:szCs w:val="22"/>
              </w:rPr>
              <w:t>Hybrid Interview Model</w:t>
            </w:r>
          </w:p>
        </w:tc>
      </w:tr>
      <w:tr w:rsidR="009C1337" w:rsidRPr="00FD6ADF" w14:paraId="29C78E71" w14:textId="77777777" w:rsidTr="009C1337">
        <w:tc>
          <w:tcPr>
            <w:tcW w:w="1960" w:type="dxa"/>
            <w:tcBorders>
              <w:top w:val="single" w:sz="4" w:space="0" w:color="666666"/>
              <w:left w:val="single" w:sz="4" w:space="0" w:color="666666"/>
              <w:bottom w:val="single" w:sz="4" w:space="0" w:color="666666"/>
              <w:right w:val="single" w:sz="4" w:space="0" w:color="666666"/>
            </w:tcBorders>
          </w:tcPr>
          <w:p w14:paraId="30239559" w14:textId="77777777" w:rsidR="009C1337" w:rsidRPr="00FD6ADF" w:rsidRDefault="009C1337" w:rsidP="00864ECD">
            <w:pPr>
              <w:spacing w:before="30" w:after="30" w:line="360" w:lineRule="auto"/>
              <w:jc w:val="center"/>
              <w:rPr>
                <w:rFonts w:ascii="Arial" w:hAnsi="Arial" w:cs="Arial"/>
                <w:sz w:val="22"/>
                <w:szCs w:val="22"/>
              </w:rPr>
            </w:pPr>
            <w:r w:rsidRPr="00FD6ADF">
              <w:rPr>
                <w:rFonts w:ascii="Arial" w:eastAsia="Arial" w:hAnsi="Arial" w:cs="Arial"/>
                <w:sz w:val="22"/>
                <w:szCs w:val="22"/>
              </w:rPr>
              <w:t>Workforce Planning</w:t>
            </w:r>
          </w:p>
        </w:tc>
        <w:tc>
          <w:tcPr>
            <w:tcW w:w="1960" w:type="dxa"/>
            <w:tcBorders>
              <w:top w:val="single" w:sz="4" w:space="0" w:color="666666"/>
              <w:left w:val="single" w:sz="4" w:space="0" w:color="666666"/>
              <w:bottom w:val="single" w:sz="4" w:space="0" w:color="666666"/>
              <w:right w:val="single" w:sz="4" w:space="0" w:color="666666"/>
            </w:tcBorders>
          </w:tcPr>
          <w:p w14:paraId="60254D46" w14:textId="77777777" w:rsidR="009C1337" w:rsidRPr="00FD6ADF" w:rsidRDefault="009C1337" w:rsidP="00864ECD">
            <w:pPr>
              <w:spacing w:before="20" w:after="10" w:line="360" w:lineRule="auto"/>
              <w:jc w:val="center"/>
              <w:rPr>
                <w:rFonts w:ascii="Arial" w:hAnsi="Arial" w:cs="Arial"/>
                <w:sz w:val="22"/>
                <w:szCs w:val="22"/>
              </w:rPr>
            </w:pPr>
            <w:r w:rsidRPr="00FD6ADF">
              <w:rPr>
                <w:rFonts w:ascii="Arial" w:eastAsia="Arial" w:hAnsi="Arial" w:cs="Arial"/>
                <w:sz w:val="22"/>
                <w:szCs w:val="22"/>
              </w:rPr>
              <w:t>Essential Criteria</w:t>
            </w:r>
          </w:p>
          <w:p w14:paraId="12125D62" w14:textId="77777777" w:rsidR="009C1337" w:rsidRPr="00FD6ADF" w:rsidRDefault="009C1337" w:rsidP="00864ECD">
            <w:pPr>
              <w:spacing w:after="20" w:line="360" w:lineRule="auto"/>
              <w:jc w:val="center"/>
              <w:rPr>
                <w:rFonts w:ascii="Arial" w:hAnsi="Arial" w:cs="Arial"/>
                <w:sz w:val="22"/>
                <w:szCs w:val="22"/>
              </w:rPr>
            </w:pPr>
            <w:r w:rsidRPr="00FD6ADF">
              <w:rPr>
                <w:rFonts w:ascii="Arial" w:eastAsia="Arial" w:hAnsi="Arial" w:cs="Arial"/>
                <w:sz w:val="22"/>
                <w:szCs w:val="22"/>
              </w:rPr>
              <w:t>Desirable Criteria</w:t>
            </w:r>
          </w:p>
        </w:tc>
        <w:tc>
          <w:tcPr>
            <w:tcW w:w="1960" w:type="dxa"/>
            <w:tcBorders>
              <w:top w:val="single" w:sz="4" w:space="0" w:color="666666"/>
              <w:left w:val="single" w:sz="4" w:space="0" w:color="666666"/>
              <w:bottom w:val="single" w:sz="4" w:space="0" w:color="666666"/>
              <w:right w:val="single" w:sz="4" w:space="0" w:color="666666"/>
            </w:tcBorders>
          </w:tcPr>
          <w:p w14:paraId="6595421B" w14:textId="77777777" w:rsidR="009C1337" w:rsidRPr="00FD6ADF" w:rsidRDefault="009C1337" w:rsidP="00864ECD">
            <w:pPr>
              <w:spacing w:before="20" w:after="10" w:line="360" w:lineRule="auto"/>
              <w:jc w:val="center"/>
              <w:rPr>
                <w:rFonts w:ascii="Arial" w:hAnsi="Arial" w:cs="Arial"/>
                <w:sz w:val="22"/>
                <w:szCs w:val="22"/>
              </w:rPr>
            </w:pPr>
            <w:r w:rsidRPr="00FD6ADF">
              <w:rPr>
                <w:rFonts w:ascii="Arial" w:eastAsia="Arial" w:hAnsi="Arial" w:cs="Arial"/>
                <w:sz w:val="22"/>
                <w:szCs w:val="22"/>
              </w:rPr>
              <w:t>Internal First</w:t>
            </w:r>
          </w:p>
          <w:p w14:paraId="2A15E6EB" w14:textId="77777777" w:rsidR="009C1337" w:rsidRPr="00FD6ADF" w:rsidRDefault="009C1337" w:rsidP="00864ECD">
            <w:pPr>
              <w:spacing w:after="20" w:line="360" w:lineRule="auto"/>
              <w:jc w:val="center"/>
              <w:rPr>
                <w:rFonts w:ascii="Arial" w:hAnsi="Arial" w:cs="Arial"/>
                <w:sz w:val="22"/>
                <w:szCs w:val="22"/>
              </w:rPr>
            </w:pPr>
            <w:r w:rsidRPr="00FD6ADF">
              <w:rPr>
                <w:rFonts w:ascii="Arial" w:eastAsia="Arial" w:hAnsi="Arial" w:cs="Arial"/>
                <w:sz w:val="22"/>
                <w:szCs w:val="22"/>
              </w:rPr>
              <w:t>Targeted External Advertising</w:t>
            </w:r>
          </w:p>
        </w:tc>
        <w:tc>
          <w:tcPr>
            <w:tcW w:w="1960" w:type="dxa"/>
            <w:tcBorders>
              <w:top w:val="single" w:sz="4" w:space="0" w:color="666666"/>
              <w:left w:val="single" w:sz="4" w:space="0" w:color="666666"/>
              <w:bottom w:val="single" w:sz="4" w:space="0" w:color="666666"/>
              <w:right w:val="single" w:sz="4" w:space="0" w:color="666666"/>
            </w:tcBorders>
          </w:tcPr>
          <w:p w14:paraId="2548886F" w14:textId="77777777" w:rsidR="009C1337" w:rsidRPr="00FD6ADF" w:rsidRDefault="009C1337" w:rsidP="00864ECD">
            <w:pPr>
              <w:spacing w:before="15" w:after="8" w:line="360" w:lineRule="auto"/>
              <w:jc w:val="center"/>
              <w:rPr>
                <w:rFonts w:ascii="Arial" w:hAnsi="Arial" w:cs="Arial"/>
                <w:sz w:val="22"/>
                <w:szCs w:val="22"/>
              </w:rPr>
            </w:pPr>
            <w:r w:rsidRPr="00FD6ADF">
              <w:rPr>
                <w:rFonts w:ascii="Arial" w:eastAsia="Arial" w:hAnsi="Arial" w:cs="Arial"/>
                <w:sz w:val="22"/>
                <w:szCs w:val="22"/>
              </w:rPr>
              <w:t>Structured Interviews</w:t>
            </w:r>
          </w:p>
          <w:p w14:paraId="6AA6D39A" w14:textId="77777777" w:rsidR="009C1337" w:rsidRPr="00FD6ADF" w:rsidRDefault="009C1337" w:rsidP="00864ECD">
            <w:pPr>
              <w:spacing w:after="8" w:line="360" w:lineRule="auto"/>
              <w:jc w:val="center"/>
              <w:rPr>
                <w:rFonts w:ascii="Arial" w:hAnsi="Arial" w:cs="Arial"/>
                <w:sz w:val="22"/>
                <w:szCs w:val="22"/>
              </w:rPr>
            </w:pPr>
            <w:r w:rsidRPr="00FD6ADF">
              <w:rPr>
                <w:rFonts w:ascii="Arial" w:eastAsia="Arial" w:hAnsi="Arial" w:cs="Arial"/>
                <w:sz w:val="22"/>
                <w:szCs w:val="22"/>
              </w:rPr>
              <w:t>Behavioural STAR</w:t>
            </w:r>
          </w:p>
          <w:p w14:paraId="1D10AD83" w14:textId="77777777" w:rsidR="009C1337" w:rsidRPr="00FD6ADF" w:rsidRDefault="009C1337" w:rsidP="00864ECD">
            <w:pPr>
              <w:spacing w:after="15" w:line="360" w:lineRule="auto"/>
              <w:jc w:val="center"/>
              <w:rPr>
                <w:rFonts w:ascii="Arial" w:hAnsi="Arial" w:cs="Arial"/>
                <w:sz w:val="22"/>
                <w:szCs w:val="22"/>
              </w:rPr>
            </w:pPr>
            <w:r w:rsidRPr="00FD6ADF">
              <w:rPr>
                <w:rFonts w:ascii="Arial" w:eastAsia="Arial" w:hAnsi="Arial" w:cs="Arial"/>
                <w:sz w:val="22"/>
                <w:szCs w:val="22"/>
              </w:rPr>
              <w:t>Situational Interviews</w:t>
            </w:r>
          </w:p>
        </w:tc>
        <w:tc>
          <w:tcPr>
            <w:tcW w:w="1960" w:type="dxa"/>
            <w:tcBorders>
              <w:top w:val="single" w:sz="4" w:space="0" w:color="666666"/>
              <w:left w:val="single" w:sz="4" w:space="0" w:color="666666"/>
              <w:bottom w:val="single" w:sz="4" w:space="0" w:color="666666"/>
              <w:right w:val="single" w:sz="4" w:space="0" w:color="666666"/>
            </w:tcBorders>
          </w:tcPr>
          <w:p w14:paraId="23DD4A04" w14:textId="77777777" w:rsidR="009C1337" w:rsidRPr="00FD6ADF" w:rsidRDefault="009C1337" w:rsidP="00864ECD">
            <w:pPr>
              <w:spacing w:before="20" w:after="10" w:line="360" w:lineRule="auto"/>
              <w:jc w:val="center"/>
              <w:rPr>
                <w:rFonts w:ascii="Arial" w:hAnsi="Arial" w:cs="Arial"/>
                <w:sz w:val="22"/>
                <w:szCs w:val="22"/>
              </w:rPr>
            </w:pPr>
            <w:r w:rsidRPr="00FD6ADF">
              <w:rPr>
                <w:rFonts w:ascii="Arial" w:eastAsia="Arial" w:hAnsi="Arial" w:cs="Arial"/>
                <w:sz w:val="22"/>
                <w:szCs w:val="22"/>
              </w:rPr>
              <w:t>Virtual Screening</w:t>
            </w:r>
          </w:p>
          <w:p w14:paraId="7B6D439B" w14:textId="77777777" w:rsidR="009C1337" w:rsidRPr="00FD6ADF" w:rsidRDefault="009C1337" w:rsidP="00864ECD">
            <w:pPr>
              <w:spacing w:after="20" w:line="360" w:lineRule="auto"/>
              <w:jc w:val="center"/>
              <w:rPr>
                <w:rFonts w:ascii="Arial" w:hAnsi="Arial" w:cs="Arial"/>
                <w:sz w:val="22"/>
                <w:szCs w:val="22"/>
              </w:rPr>
            </w:pPr>
            <w:r w:rsidRPr="00FD6ADF">
              <w:rPr>
                <w:rFonts w:ascii="Arial" w:eastAsia="Arial" w:hAnsi="Arial" w:cs="Arial"/>
                <w:sz w:val="22"/>
                <w:szCs w:val="22"/>
              </w:rPr>
              <w:t>Face-to-Face Final Interview</w:t>
            </w:r>
          </w:p>
        </w:tc>
      </w:tr>
    </w:tbl>
    <w:p w14:paraId="0FA311C8" w14:textId="77777777" w:rsidR="009C1337" w:rsidRPr="00FD6ADF" w:rsidRDefault="009C1337" w:rsidP="00864ECD">
      <w:pPr>
        <w:spacing w:after="140" w:line="360" w:lineRule="auto"/>
        <w:jc w:val="center"/>
        <w:rPr>
          <w:rFonts w:ascii="Arial" w:hAnsi="Arial" w:cs="Arial"/>
          <w:sz w:val="22"/>
          <w:szCs w:val="22"/>
        </w:rPr>
      </w:pPr>
      <w:r w:rsidRPr="00FD6ADF">
        <w:rPr>
          <w:rFonts w:ascii="Arial" w:eastAsia="Arial" w:hAnsi="Arial" w:cs="Arial"/>
          <w:i/>
          <w:iCs/>
          <w:sz w:val="22"/>
          <w:szCs w:val="22"/>
        </w:rPr>
        <w:t>Source: Adapted from Schmidt and Hunter (1998); Created by the author</w:t>
      </w:r>
    </w:p>
    <w:p w14:paraId="7E1E15E5" w14:textId="77777777" w:rsidR="009C1337" w:rsidRDefault="009C1337" w:rsidP="00864ECD">
      <w:pPr>
        <w:spacing w:after="200" w:line="360" w:lineRule="auto"/>
        <w:rPr>
          <w:rFonts w:ascii="Arial" w:hAnsi="Arial" w:cs="Arial"/>
          <w:sz w:val="22"/>
          <w:szCs w:val="22"/>
        </w:rPr>
      </w:pPr>
    </w:p>
    <w:p w14:paraId="40386B07" w14:textId="6B963FE5" w:rsidR="00DC1B86" w:rsidRDefault="00F13A6B" w:rsidP="00864ECD">
      <w:pPr>
        <w:spacing w:after="200" w:line="360" w:lineRule="auto"/>
        <w:rPr>
          <w:rFonts w:ascii="Arial" w:hAnsi="Arial" w:cs="Arial"/>
          <w:sz w:val="22"/>
          <w:szCs w:val="22"/>
        </w:rPr>
      </w:pPr>
      <w:r w:rsidRPr="00FD6ADF">
        <w:rPr>
          <w:rFonts w:ascii="Arial" w:hAnsi="Arial" w:cs="Arial"/>
          <w:sz w:val="22"/>
          <w:szCs w:val="22"/>
        </w:rPr>
        <w:t>This five-stage model integrates strategic workforce planning with evidence-based selection. It begins with robust job analysis to identify the precise competencies required for transformation success, then develops clear job descriptions distinguishing essential from desirable criteria, with emphasis on change leadership, digital literacy, resilience and stakeholder management. Strategic advertisement prioritises internal talent pools first before targeted external campaigns. Selection employs structured interviews for consistency; behavioural STAR questions to assess experience of leading change; and situational questions to test judgement and adaptability. A hybrid model (virtual screening, face-to-face finals) balances efficiency with assessment of cultural fit for senior roles. Structured interviews with behavioural and situational components demonstrate high predictive validity while reducing unconscious bias (Schmidt and Hunter, 1998; Armstrong and Taylor, 2020).</w:t>
      </w:r>
    </w:p>
    <w:p w14:paraId="5774D860" w14:textId="77777777" w:rsidR="009C1337" w:rsidRDefault="009C1337" w:rsidP="00864ECD">
      <w:pPr>
        <w:spacing w:after="200" w:line="360" w:lineRule="auto"/>
        <w:rPr>
          <w:rFonts w:ascii="Arial" w:hAnsi="Arial" w:cs="Arial"/>
          <w:sz w:val="22"/>
          <w:szCs w:val="22"/>
        </w:rPr>
      </w:pPr>
    </w:p>
    <w:p w14:paraId="1A7AD857" w14:textId="77777777" w:rsidR="009C1337" w:rsidRDefault="009C1337" w:rsidP="00864ECD">
      <w:pPr>
        <w:spacing w:after="200" w:line="360" w:lineRule="auto"/>
        <w:rPr>
          <w:rFonts w:ascii="Arial" w:hAnsi="Arial" w:cs="Arial"/>
          <w:sz w:val="22"/>
          <w:szCs w:val="22"/>
        </w:rPr>
      </w:pPr>
    </w:p>
    <w:p w14:paraId="6D0F2E02" w14:textId="77777777" w:rsidR="009C1337" w:rsidRDefault="009C1337" w:rsidP="00864ECD">
      <w:pPr>
        <w:spacing w:after="200" w:line="360" w:lineRule="auto"/>
        <w:rPr>
          <w:rFonts w:ascii="Arial" w:hAnsi="Arial" w:cs="Arial"/>
          <w:sz w:val="22"/>
          <w:szCs w:val="22"/>
        </w:rPr>
      </w:pPr>
    </w:p>
    <w:p w14:paraId="0F64FF44" w14:textId="77777777" w:rsidR="009C1337" w:rsidRDefault="009C1337" w:rsidP="00864ECD">
      <w:pPr>
        <w:spacing w:after="200" w:line="360" w:lineRule="auto"/>
        <w:rPr>
          <w:rFonts w:ascii="Arial" w:hAnsi="Arial" w:cs="Arial"/>
          <w:sz w:val="22"/>
          <w:szCs w:val="22"/>
        </w:rPr>
      </w:pPr>
    </w:p>
    <w:p w14:paraId="23E6BC89" w14:textId="77777777" w:rsidR="009C1337" w:rsidRPr="00FD6ADF" w:rsidRDefault="009C1337" w:rsidP="00864ECD">
      <w:pPr>
        <w:spacing w:after="200" w:line="360" w:lineRule="auto"/>
        <w:rPr>
          <w:rFonts w:ascii="Arial" w:hAnsi="Arial" w:cs="Arial"/>
          <w:sz w:val="22"/>
          <w:szCs w:val="22"/>
        </w:rPr>
      </w:pPr>
    </w:p>
    <w:p w14:paraId="4F6EC96D" w14:textId="77777777" w:rsidR="00DC1B86" w:rsidRPr="00FD6ADF" w:rsidRDefault="00F13A6B" w:rsidP="00864ECD">
      <w:pPr>
        <w:pStyle w:val="Heading2"/>
        <w:spacing w:line="360" w:lineRule="auto"/>
        <w:rPr>
          <w:rFonts w:ascii="Arial" w:hAnsi="Arial" w:cs="Arial"/>
          <w:color w:val="auto"/>
          <w:sz w:val="22"/>
          <w:szCs w:val="22"/>
        </w:rPr>
      </w:pPr>
      <w:r w:rsidRPr="00FD6ADF">
        <w:rPr>
          <w:rFonts w:ascii="Arial" w:hAnsi="Arial" w:cs="Arial"/>
          <w:color w:val="auto"/>
          <w:sz w:val="22"/>
          <w:szCs w:val="22"/>
        </w:rPr>
        <w:lastRenderedPageBreak/>
        <w:t>2.2 Critical Evaluation of Key HR Practices</w:t>
      </w:r>
    </w:p>
    <w:p w14:paraId="68324B4A" w14:textId="77777777" w:rsidR="00DC1B86" w:rsidRPr="00FD6ADF" w:rsidRDefault="00F13A6B" w:rsidP="00864ECD">
      <w:pPr>
        <w:spacing w:after="120" w:line="360" w:lineRule="auto"/>
        <w:rPr>
          <w:rFonts w:ascii="Arial" w:hAnsi="Arial" w:cs="Arial"/>
          <w:sz w:val="22"/>
          <w:szCs w:val="22"/>
        </w:rPr>
      </w:pPr>
      <w:r w:rsidRPr="00FD6ADF">
        <w:rPr>
          <w:rFonts w:ascii="Arial" w:hAnsi="Arial" w:cs="Arial"/>
          <w:b/>
          <w:bCs/>
          <w:sz w:val="22"/>
          <w:szCs w:val="22"/>
        </w:rPr>
        <w:t>Table 1: Critical Evaluation of Contemporary HR Practices</w:t>
      </w:r>
    </w:p>
    <w:p w14:paraId="6C7F36EA" w14:textId="77777777" w:rsidR="00DC1B86" w:rsidRDefault="00F13A6B" w:rsidP="00864ECD">
      <w:pPr>
        <w:spacing w:after="120" w:line="360" w:lineRule="auto"/>
        <w:rPr>
          <w:rFonts w:ascii="Arial" w:hAnsi="Arial" w:cs="Arial"/>
          <w:sz w:val="22"/>
          <w:szCs w:val="22"/>
        </w:rPr>
      </w:pPr>
      <w:r w:rsidRPr="00FD6ADF">
        <w:rPr>
          <w:rFonts w:ascii="Arial" w:hAnsi="Arial" w:cs="Arial"/>
          <w:sz w:val="22"/>
          <w:szCs w:val="22"/>
        </w:rPr>
        <w:t>Table 1 critically evaluates contemporary HR practices that can address the three identified challenges. The evaluation draws on predictive validity evidence, bias-reduction potential, alignment with Sainsbury's stated DEI commitments, and practical feasibility within a large, multi-site UK retailer undergoing rapid transformation.</w:t>
      </w:r>
    </w:p>
    <w:p w14:paraId="3883F200" w14:textId="77777777" w:rsidR="009C1337" w:rsidRDefault="009C1337" w:rsidP="00864ECD">
      <w:pPr>
        <w:spacing w:after="120" w:line="360" w:lineRule="auto"/>
        <w:rPr>
          <w:rFonts w:ascii="Arial" w:hAnsi="Arial" w:cs="Arial"/>
          <w:sz w:val="22"/>
          <w:szCs w:val="22"/>
        </w:rPr>
      </w:pPr>
    </w:p>
    <w:p w14:paraId="2C5CB748" w14:textId="77777777" w:rsidR="009C1337" w:rsidRDefault="009C1337" w:rsidP="00864ECD">
      <w:pPr>
        <w:spacing w:after="120" w:line="360" w:lineRule="auto"/>
        <w:rPr>
          <w:rFonts w:ascii="Arial" w:hAnsi="Arial" w:cs="Arial"/>
          <w:sz w:val="22"/>
          <w:szCs w:val="22"/>
        </w:rPr>
      </w:pPr>
    </w:p>
    <w:tbl>
      <w:tblPr>
        <w:tblpPr w:leftFromText="180" w:rightFromText="180" w:vertAnchor="text" w:horzAnchor="margin" w:tblpXSpec="center" w:tblpY="16"/>
        <w:tblW w:w="113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38"/>
        <w:gridCol w:w="2076"/>
        <w:gridCol w:w="3347"/>
        <w:gridCol w:w="3347"/>
      </w:tblGrid>
      <w:tr w:rsidR="009C1337" w14:paraId="7585A62D" w14:textId="77777777" w:rsidTr="009C1337">
        <w:trPr>
          <w:trHeight w:val="385"/>
        </w:trPr>
        <w:tc>
          <w:tcPr>
            <w:tcW w:w="2538" w:type="dxa"/>
            <w:tcBorders>
              <w:top w:val="single" w:sz="4" w:space="0" w:color="666666"/>
              <w:left w:val="single" w:sz="4" w:space="0" w:color="666666"/>
              <w:bottom w:val="single" w:sz="4" w:space="0" w:color="666666"/>
              <w:right w:val="single" w:sz="4" w:space="0" w:color="666666"/>
            </w:tcBorders>
            <w:shd w:val="clear" w:color="auto" w:fill="F9A825"/>
            <w:vAlign w:val="center"/>
          </w:tcPr>
          <w:p w14:paraId="4FDF88A9" w14:textId="77777777" w:rsidR="009C1337" w:rsidRPr="00DE12D7" w:rsidRDefault="009C1337" w:rsidP="00864ECD">
            <w:pPr>
              <w:spacing w:before="40" w:after="40" w:line="360" w:lineRule="auto"/>
              <w:jc w:val="center"/>
              <w:rPr>
                <w:sz w:val="22"/>
                <w:szCs w:val="22"/>
              </w:rPr>
            </w:pPr>
            <w:r w:rsidRPr="00DE12D7">
              <w:rPr>
                <w:rFonts w:ascii="Arial" w:eastAsia="Arial" w:hAnsi="Arial" w:cs="Arial"/>
                <w:b/>
                <w:bCs/>
                <w:color w:val="000000"/>
                <w:sz w:val="22"/>
                <w:szCs w:val="22"/>
              </w:rPr>
              <w:t>Practice</w:t>
            </w:r>
          </w:p>
        </w:tc>
        <w:tc>
          <w:tcPr>
            <w:tcW w:w="2076" w:type="dxa"/>
            <w:tcBorders>
              <w:top w:val="single" w:sz="4" w:space="0" w:color="666666"/>
              <w:left w:val="single" w:sz="4" w:space="0" w:color="666666"/>
              <w:bottom w:val="single" w:sz="4" w:space="0" w:color="666666"/>
              <w:right w:val="single" w:sz="4" w:space="0" w:color="666666"/>
            </w:tcBorders>
            <w:shd w:val="clear" w:color="auto" w:fill="F9A825"/>
            <w:vAlign w:val="center"/>
          </w:tcPr>
          <w:p w14:paraId="4D8A9562" w14:textId="77777777" w:rsidR="009C1337" w:rsidRPr="00DE12D7" w:rsidRDefault="009C1337" w:rsidP="00864ECD">
            <w:pPr>
              <w:spacing w:before="40" w:after="40" w:line="360" w:lineRule="auto"/>
              <w:jc w:val="center"/>
              <w:rPr>
                <w:sz w:val="22"/>
                <w:szCs w:val="22"/>
              </w:rPr>
            </w:pPr>
            <w:r w:rsidRPr="00DE12D7">
              <w:rPr>
                <w:rFonts w:ascii="Arial" w:eastAsia="Arial" w:hAnsi="Arial" w:cs="Arial"/>
                <w:b/>
                <w:bCs/>
                <w:color w:val="000000"/>
                <w:sz w:val="22"/>
                <w:szCs w:val="22"/>
              </w:rPr>
              <w:t>Addresses</w:t>
            </w:r>
          </w:p>
        </w:tc>
        <w:tc>
          <w:tcPr>
            <w:tcW w:w="3347" w:type="dxa"/>
            <w:tcBorders>
              <w:top w:val="single" w:sz="4" w:space="0" w:color="666666"/>
              <w:left w:val="single" w:sz="4" w:space="0" w:color="666666"/>
              <w:bottom w:val="single" w:sz="4" w:space="0" w:color="666666"/>
              <w:right w:val="single" w:sz="4" w:space="0" w:color="666666"/>
            </w:tcBorders>
            <w:shd w:val="clear" w:color="auto" w:fill="F9A825"/>
            <w:vAlign w:val="center"/>
          </w:tcPr>
          <w:p w14:paraId="5891B035" w14:textId="77777777" w:rsidR="009C1337" w:rsidRPr="00DE12D7" w:rsidRDefault="009C1337" w:rsidP="00864ECD">
            <w:pPr>
              <w:spacing w:before="40" w:after="40" w:line="360" w:lineRule="auto"/>
              <w:jc w:val="center"/>
              <w:rPr>
                <w:sz w:val="22"/>
                <w:szCs w:val="22"/>
              </w:rPr>
            </w:pPr>
            <w:r w:rsidRPr="00DE12D7">
              <w:rPr>
                <w:rFonts w:ascii="Arial" w:eastAsia="Arial" w:hAnsi="Arial" w:cs="Arial"/>
                <w:b/>
                <w:bCs/>
                <w:color w:val="000000"/>
                <w:sz w:val="22"/>
                <w:szCs w:val="22"/>
              </w:rPr>
              <w:t>Strengths</w:t>
            </w:r>
          </w:p>
        </w:tc>
        <w:tc>
          <w:tcPr>
            <w:tcW w:w="3347" w:type="dxa"/>
            <w:tcBorders>
              <w:top w:val="single" w:sz="4" w:space="0" w:color="666666"/>
              <w:left w:val="single" w:sz="4" w:space="0" w:color="666666"/>
              <w:bottom w:val="single" w:sz="4" w:space="0" w:color="666666"/>
              <w:right w:val="single" w:sz="4" w:space="0" w:color="666666"/>
            </w:tcBorders>
            <w:shd w:val="clear" w:color="auto" w:fill="F9A825"/>
            <w:vAlign w:val="center"/>
          </w:tcPr>
          <w:p w14:paraId="6821D8C3" w14:textId="77777777" w:rsidR="009C1337" w:rsidRPr="00DE12D7" w:rsidRDefault="009C1337" w:rsidP="00864ECD">
            <w:pPr>
              <w:spacing w:before="40" w:after="40" w:line="360" w:lineRule="auto"/>
              <w:jc w:val="center"/>
              <w:rPr>
                <w:sz w:val="22"/>
                <w:szCs w:val="22"/>
              </w:rPr>
            </w:pPr>
            <w:r w:rsidRPr="00DE12D7">
              <w:rPr>
                <w:rFonts w:ascii="Arial" w:eastAsia="Arial" w:hAnsi="Arial" w:cs="Arial"/>
                <w:b/>
                <w:bCs/>
                <w:color w:val="000000"/>
                <w:sz w:val="22"/>
                <w:szCs w:val="22"/>
              </w:rPr>
              <w:t>Limitations</w:t>
            </w:r>
          </w:p>
        </w:tc>
      </w:tr>
      <w:tr w:rsidR="009C1337" w14:paraId="79FF5AF4" w14:textId="77777777" w:rsidTr="009C1337">
        <w:trPr>
          <w:trHeight w:val="1142"/>
        </w:trPr>
        <w:tc>
          <w:tcPr>
            <w:tcW w:w="2538" w:type="dxa"/>
            <w:tcBorders>
              <w:top w:val="single" w:sz="4" w:space="0" w:color="666666"/>
              <w:left w:val="single" w:sz="4" w:space="0" w:color="666666"/>
              <w:bottom w:val="single" w:sz="4" w:space="0" w:color="666666"/>
              <w:right w:val="single" w:sz="4" w:space="0" w:color="666666"/>
            </w:tcBorders>
            <w:shd w:val="clear" w:color="auto" w:fill="FFF8E1"/>
          </w:tcPr>
          <w:p w14:paraId="2344F76C"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Workforce Analytics &amp; Digital HR Systems</w:t>
            </w:r>
          </w:p>
        </w:tc>
        <w:tc>
          <w:tcPr>
            <w:tcW w:w="2076" w:type="dxa"/>
            <w:tcBorders>
              <w:top w:val="single" w:sz="4" w:space="0" w:color="666666"/>
              <w:left w:val="single" w:sz="4" w:space="0" w:color="666666"/>
              <w:bottom w:val="single" w:sz="4" w:space="0" w:color="666666"/>
              <w:right w:val="single" w:sz="4" w:space="0" w:color="666666"/>
            </w:tcBorders>
          </w:tcPr>
          <w:p w14:paraId="27D4B371"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Tech Adaptation + Talent Planning</w:t>
            </w:r>
          </w:p>
        </w:tc>
        <w:tc>
          <w:tcPr>
            <w:tcW w:w="3347" w:type="dxa"/>
            <w:tcBorders>
              <w:top w:val="single" w:sz="4" w:space="0" w:color="666666"/>
              <w:left w:val="single" w:sz="4" w:space="0" w:color="666666"/>
              <w:bottom w:val="single" w:sz="4" w:space="0" w:color="666666"/>
              <w:right w:val="single" w:sz="4" w:space="0" w:color="666666"/>
            </w:tcBorders>
          </w:tcPr>
          <w:p w14:paraId="25F4BB49"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Enables precise, data-driven skills gap analysis linked to transformation initiatives. Supports proactive workforce planning. Builds on existing DEI dashboards.</w:t>
            </w:r>
          </w:p>
        </w:tc>
        <w:tc>
          <w:tcPr>
            <w:tcW w:w="3347" w:type="dxa"/>
            <w:tcBorders>
              <w:top w:val="single" w:sz="4" w:space="0" w:color="666666"/>
              <w:left w:val="single" w:sz="4" w:space="0" w:color="666666"/>
              <w:bottom w:val="single" w:sz="4" w:space="0" w:color="666666"/>
              <w:right w:val="single" w:sz="4" w:space="0" w:color="666666"/>
            </w:tcBorders>
          </w:tcPr>
          <w:p w14:paraId="38C1B311"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Requires investment in analytical capability. Risk of over-reliance on metrics. Data privacy considerations.</w:t>
            </w:r>
          </w:p>
        </w:tc>
      </w:tr>
      <w:tr w:rsidR="009C1337" w14:paraId="5AA22575" w14:textId="77777777" w:rsidTr="009C1337">
        <w:trPr>
          <w:trHeight w:val="1160"/>
        </w:trPr>
        <w:tc>
          <w:tcPr>
            <w:tcW w:w="2538" w:type="dxa"/>
            <w:tcBorders>
              <w:top w:val="single" w:sz="4" w:space="0" w:color="666666"/>
              <w:left w:val="single" w:sz="4" w:space="0" w:color="666666"/>
              <w:bottom w:val="single" w:sz="4" w:space="0" w:color="666666"/>
              <w:right w:val="single" w:sz="4" w:space="0" w:color="666666"/>
            </w:tcBorders>
            <w:shd w:val="clear" w:color="auto" w:fill="FFF8E1"/>
          </w:tcPr>
          <w:p w14:paraId="5451434B"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Blended Interview Model (Structured + Behavioural + Situational)</w:t>
            </w:r>
          </w:p>
        </w:tc>
        <w:tc>
          <w:tcPr>
            <w:tcW w:w="2076" w:type="dxa"/>
            <w:tcBorders>
              <w:top w:val="single" w:sz="4" w:space="0" w:color="666666"/>
              <w:left w:val="single" w:sz="4" w:space="0" w:color="666666"/>
              <w:bottom w:val="single" w:sz="4" w:space="0" w:color="666666"/>
              <w:right w:val="single" w:sz="4" w:space="0" w:color="666666"/>
            </w:tcBorders>
          </w:tcPr>
          <w:p w14:paraId="4C8F6970"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Talent Acquisition + DEI</w:t>
            </w:r>
          </w:p>
        </w:tc>
        <w:tc>
          <w:tcPr>
            <w:tcW w:w="3347" w:type="dxa"/>
            <w:tcBorders>
              <w:top w:val="single" w:sz="4" w:space="0" w:color="666666"/>
              <w:left w:val="single" w:sz="4" w:space="0" w:color="666666"/>
              <w:bottom w:val="single" w:sz="4" w:space="0" w:color="666666"/>
              <w:right w:val="single" w:sz="4" w:space="0" w:color="666666"/>
            </w:tcBorders>
          </w:tcPr>
          <w:p w14:paraId="34CCDBAF"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High predictive validity. Reduces unconscious bias through consistency and scoring rubrics. Assesses both past performance and future potential.</w:t>
            </w:r>
          </w:p>
        </w:tc>
        <w:tc>
          <w:tcPr>
            <w:tcW w:w="3347" w:type="dxa"/>
            <w:tcBorders>
              <w:top w:val="single" w:sz="4" w:space="0" w:color="666666"/>
              <w:left w:val="single" w:sz="4" w:space="0" w:color="666666"/>
              <w:bottom w:val="single" w:sz="4" w:space="0" w:color="666666"/>
              <w:right w:val="single" w:sz="4" w:space="0" w:color="666666"/>
            </w:tcBorders>
          </w:tcPr>
          <w:p w14:paraId="321494ED"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Requires substantial manager training. Can feel rigid if probing not used skilfully. Time-intensive for high-volume recruitment.</w:t>
            </w:r>
          </w:p>
        </w:tc>
      </w:tr>
      <w:tr w:rsidR="009C1337" w14:paraId="224AC8AB" w14:textId="77777777" w:rsidTr="009C1337">
        <w:trPr>
          <w:trHeight w:val="1142"/>
        </w:trPr>
        <w:tc>
          <w:tcPr>
            <w:tcW w:w="2538" w:type="dxa"/>
            <w:tcBorders>
              <w:top w:val="single" w:sz="4" w:space="0" w:color="666666"/>
              <w:left w:val="single" w:sz="4" w:space="0" w:color="666666"/>
              <w:bottom w:val="single" w:sz="4" w:space="0" w:color="666666"/>
              <w:right w:val="single" w:sz="4" w:space="0" w:color="666666"/>
            </w:tcBorders>
            <w:shd w:val="clear" w:color="auto" w:fill="FFF8E1"/>
          </w:tcPr>
          <w:p w14:paraId="1983DFC9"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Inclusive Recruitment (Offer an Interview, diverse panels, rubrics)</w:t>
            </w:r>
          </w:p>
        </w:tc>
        <w:tc>
          <w:tcPr>
            <w:tcW w:w="2076" w:type="dxa"/>
            <w:tcBorders>
              <w:top w:val="single" w:sz="4" w:space="0" w:color="666666"/>
              <w:left w:val="single" w:sz="4" w:space="0" w:color="666666"/>
              <w:bottom w:val="single" w:sz="4" w:space="0" w:color="666666"/>
              <w:right w:val="single" w:sz="4" w:space="0" w:color="666666"/>
            </w:tcBorders>
          </w:tcPr>
          <w:p w14:paraId="732CD32B"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DEI + Talent Acquisition</w:t>
            </w:r>
          </w:p>
        </w:tc>
        <w:tc>
          <w:tcPr>
            <w:tcW w:w="3347" w:type="dxa"/>
            <w:tcBorders>
              <w:top w:val="single" w:sz="4" w:space="0" w:color="666666"/>
              <w:left w:val="single" w:sz="4" w:space="0" w:color="666666"/>
              <w:bottom w:val="single" w:sz="4" w:space="0" w:color="666666"/>
              <w:right w:val="single" w:sz="4" w:space="0" w:color="666666"/>
            </w:tcBorders>
          </w:tcPr>
          <w:p w14:paraId="19AE1ED2"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Widens talent pool and strengthens employer brand. Improves decision quality. Aligns with Sainsbury's DEI commitments and 2028 targets.</w:t>
            </w:r>
          </w:p>
        </w:tc>
        <w:tc>
          <w:tcPr>
            <w:tcW w:w="3347" w:type="dxa"/>
            <w:tcBorders>
              <w:top w:val="single" w:sz="4" w:space="0" w:color="666666"/>
              <w:left w:val="single" w:sz="4" w:space="0" w:color="666666"/>
              <w:bottom w:val="single" w:sz="4" w:space="0" w:color="666666"/>
              <w:right w:val="single" w:sz="4" w:space="0" w:color="666666"/>
            </w:tcBorders>
          </w:tcPr>
          <w:p w14:paraId="47E11E0E"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Resource-intensive to implement consistently. Risk of 'tick-box' compliance without cultural change.</w:t>
            </w:r>
          </w:p>
        </w:tc>
      </w:tr>
      <w:tr w:rsidR="009C1337" w14:paraId="535C1DB7" w14:textId="77777777" w:rsidTr="009C1337">
        <w:trPr>
          <w:trHeight w:val="1402"/>
        </w:trPr>
        <w:tc>
          <w:tcPr>
            <w:tcW w:w="2538" w:type="dxa"/>
            <w:tcBorders>
              <w:top w:val="single" w:sz="4" w:space="0" w:color="666666"/>
              <w:left w:val="single" w:sz="4" w:space="0" w:color="666666"/>
              <w:bottom w:val="single" w:sz="4" w:space="0" w:color="666666"/>
              <w:right w:val="single" w:sz="4" w:space="0" w:color="666666"/>
            </w:tcBorders>
            <w:shd w:val="clear" w:color="auto" w:fill="FFF8E1"/>
          </w:tcPr>
          <w:p w14:paraId="2A0109D6"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Strategic Employer Branding &amp; EVP</w:t>
            </w:r>
          </w:p>
        </w:tc>
        <w:tc>
          <w:tcPr>
            <w:tcW w:w="2076" w:type="dxa"/>
            <w:tcBorders>
              <w:top w:val="single" w:sz="4" w:space="0" w:color="666666"/>
              <w:left w:val="single" w:sz="4" w:space="0" w:color="666666"/>
              <w:bottom w:val="single" w:sz="4" w:space="0" w:color="666666"/>
              <w:right w:val="single" w:sz="4" w:space="0" w:color="666666"/>
            </w:tcBorders>
          </w:tcPr>
          <w:p w14:paraId="04E315B0"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Talent Acquisition &amp; Retention</w:t>
            </w:r>
          </w:p>
        </w:tc>
        <w:tc>
          <w:tcPr>
            <w:tcW w:w="3347" w:type="dxa"/>
            <w:tcBorders>
              <w:top w:val="single" w:sz="4" w:space="0" w:color="666666"/>
              <w:left w:val="single" w:sz="4" w:space="0" w:color="666666"/>
              <w:bottom w:val="single" w:sz="4" w:space="0" w:color="666666"/>
              <w:right w:val="single" w:sz="4" w:space="0" w:color="666666"/>
            </w:tcBorders>
          </w:tcPr>
          <w:p w14:paraId="16C3A43B"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Differentiates Sainsbury's by emphasising purpose (sustainability + innovation) and opportunity to shape major transformation. Supports external attraction and internal engagement.</w:t>
            </w:r>
          </w:p>
        </w:tc>
        <w:tc>
          <w:tcPr>
            <w:tcW w:w="3347" w:type="dxa"/>
            <w:tcBorders>
              <w:top w:val="single" w:sz="4" w:space="0" w:color="666666"/>
              <w:left w:val="single" w:sz="4" w:space="0" w:color="666666"/>
              <w:bottom w:val="single" w:sz="4" w:space="0" w:color="666666"/>
              <w:right w:val="single" w:sz="4" w:space="0" w:color="666666"/>
            </w:tcBorders>
          </w:tcPr>
          <w:p w14:paraId="6A80341D" w14:textId="77777777" w:rsidR="009C1337" w:rsidRPr="00DE12D7" w:rsidRDefault="009C1337" w:rsidP="00864ECD">
            <w:pPr>
              <w:spacing w:before="30" w:after="30" w:line="360" w:lineRule="auto"/>
              <w:rPr>
                <w:sz w:val="22"/>
                <w:szCs w:val="22"/>
              </w:rPr>
            </w:pPr>
            <w:r w:rsidRPr="00DE12D7">
              <w:rPr>
                <w:rFonts w:ascii="Arial" w:eastAsia="Arial" w:hAnsi="Arial" w:cs="Arial"/>
                <w:sz w:val="22"/>
                <w:szCs w:val="22"/>
              </w:rPr>
              <w:t>Must be authentic; internal experience must match external promises. Requires ongoing investment.</w:t>
            </w:r>
          </w:p>
        </w:tc>
      </w:tr>
    </w:tbl>
    <w:p w14:paraId="0E3B878A" w14:textId="77777777" w:rsidR="009C1337" w:rsidRDefault="009C1337" w:rsidP="00864ECD">
      <w:pPr>
        <w:spacing w:after="200" w:line="360" w:lineRule="auto"/>
        <w:jc w:val="center"/>
        <w:rPr>
          <w:rFonts w:ascii="Arial" w:hAnsi="Arial" w:cs="Arial"/>
          <w:i/>
          <w:iCs/>
          <w:sz w:val="22"/>
          <w:szCs w:val="22"/>
        </w:rPr>
      </w:pPr>
    </w:p>
    <w:p w14:paraId="4115A53C" w14:textId="3723F3CE" w:rsidR="009C1337" w:rsidRPr="00864ECD" w:rsidRDefault="00F13A6B" w:rsidP="00864ECD">
      <w:pPr>
        <w:spacing w:after="200" w:line="360" w:lineRule="auto"/>
        <w:jc w:val="center"/>
        <w:rPr>
          <w:rFonts w:ascii="Arial" w:hAnsi="Arial" w:cs="Arial"/>
          <w:i/>
          <w:iCs/>
          <w:sz w:val="22"/>
          <w:szCs w:val="22"/>
        </w:rPr>
      </w:pPr>
      <w:r w:rsidRPr="00FD6ADF">
        <w:rPr>
          <w:rFonts w:ascii="Arial" w:hAnsi="Arial" w:cs="Arial"/>
          <w:i/>
          <w:iCs/>
          <w:sz w:val="22"/>
          <w:szCs w:val="22"/>
        </w:rPr>
        <w:t>Source: Created by the author, drawing on Schmidt and Hunter (1998), Armstrong and Taylor (2020) and J Sainsbury plc (2025)</w:t>
      </w:r>
    </w:p>
    <w:p w14:paraId="1010856C" w14:textId="1CCB5F59" w:rsidR="00DC1B86" w:rsidRPr="00FD6ADF" w:rsidRDefault="00F13A6B" w:rsidP="00864ECD">
      <w:pPr>
        <w:pStyle w:val="Heading1"/>
        <w:spacing w:line="360" w:lineRule="auto"/>
        <w:rPr>
          <w:rFonts w:ascii="Arial" w:hAnsi="Arial" w:cs="Arial"/>
          <w:color w:val="auto"/>
          <w:sz w:val="22"/>
          <w:szCs w:val="22"/>
        </w:rPr>
      </w:pPr>
      <w:r w:rsidRPr="00FD6ADF">
        <w:rPr>
          <w:rFonts w:ascii="Arial" w:hAnsi="Arial" w:cs="Arial"/>
          <w:color w:val="auto"/>
          <w:sz w:val="22"/>
          <w:szCs w:val="22"/>
        </w:rPr>
        <w:lastRenderedPageBreak/>
        <w:t>3. Critical Evaluation of Managerial Implementation</w:t>
      </w:r>
    </w:p>
    <w:p w14:paraId="64DB4B16"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Departmental managers across stores, digital functions, supply chain, and transformation programmes are the critical interface between HR strategy and operational reality. Even the most sophisticated HR policies and frameworks will deliver limited results without effective managerial implementation. The urgency of the Next Level timeline makes this particularly important. Table 2 summarises key areas for managerial action, common barriers, and practical solutions.</w:t>
      </w:r>
    </w:p>
    <w:p w14:paraId="4BDC7670" w14:textId="77777777" w:rsidR="00DC1B86" w:rsidRDefault="00F13A6B" w:rsidP="00864ECD">
      <w:pPr>
        <w:spacing w:after="120" w:line="360" w:lineRule="auto"/>
        <w:rPr>
          <w:rFonts w:ascii="Arial" w:hAnsi="Arial" w:cs="Arial"/>
          <w:b/>
          <w:bCs/>
          <w:sz w:val="22"/>
          <w:szCs w:val="22"/>
        </w:rPr>
      </w:pPr>
      <w:r w:rsidRPr="00FD6ADF">
        <w:rPr>
          <w:rFonts w:ascii="Arial" w:hAnsi="Arial" w:cs="Arial"/>
          <w:b/>
          <w:bCs/>
          <w:sz w:val="22"/>
          <w:szCs w:val="22"/>
        </w:rPr>
        <w:t>Table 2: Managerial Implementation – Actions, Barriers and Practical Solutions</w:t>
      </w:r>
    </w:p>
    <w:p w14:paraId="706F4DF3" w14:textId="77777777" w:rsidR="009C1337" w:rsidRPr="00FD6ADF" w:rsidRDefault="009C1337" w:rsidP="00864ECD">
      <w:pPr>
        <w:spacing w:after="120" w:line="360" w:lineRule="auto"/>
        <w:rPr>
          <w:rFonts w:ascii="Arial" w:hAnsi="Arial" w:cs="Arial"/>
          <w:sz w:val="22"/>
          <w:szCs w:val="22"/>
        </w:rPr>
      </w:pPr>
    </w:p>
    <w:p w14:paraId="63B892A8" w14:textId="77777777" w:rsidR="00DC1B86" w:rsidRPr="00FD6ADF" w:rsidRDefault="00F13A6B" w:rsidP="00864ECD">
      <w:pPr>
        <w:spacing w:after="80" w:line="360" w:lineRule="auto"/>
        <w:jc w:val="center"/>
        <w:rPr>
          <w:rFonts w:ascii="Arial" w:hAnsi="Arial" w:cs="Arial"/>
          <w:sz w:val="22"/>
          <w:szCs w:val="22"/>
        </w:rPr>
      </w:pPr>
      <w:r w:rsidRPr="00FD6ADF">
        <w:rPr>
          <w:rFonts w:ascii="Arial" w:hAnsi="Arial" w:cs="Arial"/>
          <w:noProof/>
          <w:sz w:val="22"/>
          <w:szCs w:val="22"/>
        </w:rPr>
        <w:drawing>
          <wp:anchor distT="0" distB="0" distL="114300" distR="114300" simplePos="0" relativeHeight="251658240" behindDoc="0" locked="0" layoutInCell="1" allowOverlap="1" wp14:anchorId="4A6DB54C" wp14:editId="43000161">
            <wp:simplePos x="0" y="0"/>
            <wp:positionH relativeFrom="margin">
              <wp:align>center</wp:align>
            </wp:positionH>
            <wp:positionV relativeFrom="paragraph">
              <wp:posOffset>0</wp:posOffset>
            </wp:positionV>
            <wp:extent cx="7178040" cy="5437505"/>
            <wp:effectExtent l="0" t="0" r="3810" b="0"/>
            <wp:wrapTopAndBottom/>
            <wp:docPr id="1314426386" name="Picture 4" descr="Managerial Implementation table" title="Tabl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7178040" cy="5437505"/>
                    </a:xfrm>
                    <a:prstGeom prst="rect">
                      <a:avLst/>
                    </a:prstGeom>
                  </pic:spPr>
                </pic:pic>
              </a:graphicData>
            </a:graphic>
            <wp14:sizeRelH relativeFrom="margin">
              <wp14:pctWidth>0</wp14:pctWidth>
            </wp14:sizeRelH>
            <wp14:sizeRelV relativeFrom="margin">
              <wp14:pctHeight>0</wp14:pctHeight>
            </wp14:sizeRelV>
          </wp:anchor>
        </w:drawing>
      </w:r>
    </w:p>
    <w:p w14:paraId="3ADF2D6B" w14:textId="77777777" w:rsidR="00DC1B86" w:rsidRPr="00FD6ADF" w:rsidRDefault="00F13A6B" w:rsidP="00864ECD">
      <w:pPr>
        <w:spacing w:after="200" w:line="360" w:lineRule="auto"/>
        <w:jc w:val="center"/>
        <w:rPr>
          <w:rFonts w:ascii="Arial" w:hAnsi="Arial" w:cs="Arial"/>
          <w:sz w:val="22"/>
          <w:szCs w:val="22"/>
        </w:rPr>
      </w:pPr>
      <w:r w:rsidRPr="00FD6ADF">
        <w:rPr>
          <w:rFonts w:ascii="Arial" w:hAnsi="Arial" w:cs="Arial"/>
          <w:i/>
          <w:iCs/>
          <w:sz w:val="22"/>
          <w:szCs w:val="22"/>
        </w:rPr>
        <w:t>Source: Created by the author</w:t>
      </w:r>
    </w:p>
    <w:p w14:paraId="1EDE3B6A"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 xml:space="preserve">Successful implementation depends on structural mechanisms (clear metrics, accountability, time allocation), capability development (training in blended interviewing, inclusive leadership and people analytics), and cultural factors (psychological safety, visible senior role-modelling). Without </w:t>
      </w:r>
      <w:r w:rsidRPr="00FD6ADF">
        <w:rPr>
          <w:rFonts w:ascii="Arial" w:hAnsi="Arial" w:cs="Arial"/>
          <w:sz w:val="22"/>
          <w:szCs w:val="22"/>
        </w:rPr>
        <w:lastRenderedPageBreak/>
        <w:t>deliberate attention to all three, implementation will be patchy and the benefits of well-designed HR practices will not be fully realised. The urgency of transformation requires these foundations to be established quickly, with quick wins used to build momentum.</w:t>
      </w:r>
    </w:p>
    <w:p w14:paraId="4E9A074E" w14:textId="77777777" w:rsidR="00DC1B86" w:rsidRPr="00FD6ADF" w:rsidRDefault="00F13A6B" w:rsidP="00864ECD">
      <w:pPr>
        <w:pStyle w:val="Heading1"/>
        <w:spacing w:line="360" w:lineRule="auto"/>
        <w:rPr>
          <w:rFonts w:ascii="Arial" w:hAnsi="Arial" w:cs="Arial"/>
          <w:color w:val="auto"/>
          <w:sz w:val="22"/>
          <w:szCs w:val="22"/>
        </w:rPr>
      </w:pPr>
      <w:r w:rsidRPr="00FD6ADF">
        <w:rPr>
          <w:rFonts w:ascii="Arial" w:hAnsi="Arial" w:cs="Arial"/>
          <w:color w:val="auto"/>
          <w:sz w:val="22"/>
          <w:szCs w:val="22"/>
        </w:rPr>
        <w:t>Conclusion and Recommendations</w:t>
      </w:r>
    </w:p>
    <w:p w14:paraId="06172537" w14:textId="77777777" w:rsidR="00DC1B86" w:rsidRPr="00FD6ADF" w:rsidRDefault="00F13A6B" w:rsidP="00864ECD">
      <w:pPr>
        <w:spacing w:after="200" w:line="360" w:lineRule="auto"/>
        <w:rPr>
          <w:rFonts w:ascii="Arial" w:hAnsi="Arial" w:cs="Arial"/>
          <w:sz w:val="22"/>
          <w:szCs w:val="22"/>
        </w:rPr>
      </w:pPr>
      <w:r w:rsidRPr="00FD6ADF">
        <w:rPr>
          <w:rFonts w:ascii="Arial" w:hAnsi="Arial" w:cs="Arial"/>
          <w:sz w:val="22"/>
          <w:szCs w:val="22"/>
        </w:rPr>
        <w:t>Sainsbury's Next Level transformation represents both a significant opportunity and a substantial test of its people strategy and leadership capability. Success in delivering digital and cultural change, expanding data-driven personalisation through Nectar, and embedding sustainability leadership depends on attracting, developing, engaging and retaining the right talent while advancing DEI. The recruitment and selection framework for critical transformation roles provides a strong, evidence-based foundation that aligns with best practice in reducing bias, assessing change readiness and securing the required competencies.</w:t>
      </w:r>
    </w:p>
    <w:p w14:paraId="40FB5558" w14:textId="77777777" w:rsidR="00DC1B86" w:rsidRPr="00FD6ADF" w:rsidRDefault="00F13A6B" w:rsidP="00864ECD">
      <w:pPr>
        <w:spacing w:after="160" w:line="360" w:lineRule="auto"/>
        <w:rPr>
          <w:rFonts w:ascii="Arial" w:hAnsi="Arial" w:cs="Arial"/>
          <w:sz w:val="22"/>
          <w:szCs w:val="22"/>
        </w:rPr>
      </w:pPr>
      <w:r w:rsidRPr="00FD6ADF">
        <w:rPr>
          <w:rFonts w:ascii="Arial" w:hAnsi="Arial" w:cs="Arial"/>
          <w:sz w:val="22"/>
          <w:szCs w:val="22"/>
        </w:rPr>
        <w:t>The following recommendations are offered to translate analysis into urgent, practical action:</w:t>
      </w:r>
    </w:p>
    <w:p w14:paraId="0505EAD0" w14:textId="77777777" w:rsidR="00DC1B86" w:rsidRPr="00FD6ADF" w:rsidRDefault="00F13A6B" w:rsidP="00864ECD">
      <w:pPr>
        <w:pStyle w:val="ListParagraph"/>
        <w:numPr>
          <w:ilvl w:val="0"/>
          <w:numId w:val="2"/>
        </w:numPr>
        <w:spacing w:after="120" w:line="360" w:lineRule="auto"/>
        <w:rPr>
          <w:rFonts w:ascii="Arial" w:hAnsi="Arial" w:cs="Arial"/>
          <w:sz w:val="22"/>
          <w:szCs w:val="22"/>
        </w:rPr>
      </w:pPr>
      <w:r w:rsidRPr="00FD6ADF">
        <w:rPr>
          <w:rFonts w:ascii="Arial" w:hAnsi="Arial" w:cs="Arial"/>
          <w:sz w:val="22"/>
          <w:szCs w:val="22"/>
        </w:rPr>
        <w:t>Accelerate the integration of workforce analytics with transformation programme planning. This will enable proactive identification and closure of digital, data and change leadership capability gaps, moving Sainsbury's from reactive hiring to strategic, forward-looking talent positioning aligned with the strategy's milestones.</w:t>
      </w:r>
    </w:p>
    <w:p w14:paraId="4F0DD8DF" w14:textId="77777777" w:rsidR="00DC1B86" w:rsidRPr="00FD6ADF" w:rsidRDefault="00F13A6B" w:rsidP="00864ECD">
      <w:pPr>
        <w:pStyle w:val="ListParagraph"/>
        <w:numPr>
          <w:ilvl w:val="0"/>
          <w:numId w:val="2"/>
        </w:numPr>
        <w:spacing w:after="120" w:line="360" w:lineRule="auto"/>
        <w:rPr>
          <w:rFonts w:ascii="Arial" w:hAnsi="Arial" w:cs="Arial"/>
          <w:sz w:val="22"/>
          <w:szCs w:val="22"/>
        </w:rPr>
      </w:pPr>
      <w:r w:rsidRPr="00FD6ADF">
        <w:rPr>
          <w:rFonts w:ascii="Arial" w:hAnsi="Arial" w:cs="Arial"/>
          <w:sz w:val="22"/>
          <w:szCs w:val="22"/>
        </w:rPr>
        <w:t>Strengthen and consistently communicate a compelling employer value proposition. Position Sainsbury's as an employer of choice for purpose-driven digital and change talent by highlighting opportunities to contribute to sustainability goals, customer impact, and a major cultural transformation. Target diverse talent pools through inclusive channels and messaging.</w:t>
      </w:r>
    </w:p>
    <w:p w14:paraId="6145BC66" w14:textId="77777777" w:rsidR="00DC1B86" w:rsidRPr="00FD6ADF" w:rsidRDefault="00F13A6B" w:rsidP="00864ECD">
      <w:pPr>
        <w:pStyle w:val="ListParagraph"/>
        <w:numPr>
          <w:ilvl w:val="0"/>
          <w:numId w:val="2"/>
        </w:numPr>
        <w:spacing w:after="120" w:line="360" w:lineRule="auto"/>
        <w:rPr>
          <w:rFonts w:ascii="Arial" w:hAnsi="Arial" w:cs="Arial"/>
          <w:sz w:val="22"/>
          <w:szCs w:val="22"/>
        </w:rPr>
      </w:pPr>
      <w:r w:rsidRPr="00FD6ADF">
        <w:rPr>
          <w:rFonts w:ascii="Arial" w:hAnsi="Arial" w:cs="Arial"/>
          <w:sz w:val="22"/>
          <w:szCs w:val="22"/>
        </w:rPr>
        <w:t>Roll out practical, applied training in the blended interviewing approach for all managers involved in transformation recruitment. Emphasise assessment of change readiness, cultural contribution and inclusive behaviours, supported by robust scoring rubrics and ongoing coaching to build manager confidence and consistency.</w:t>
      </w:r>
    </w:p>
    <w:p w14:paraId="4B5989A5" w14:textId="77777777" w:rsidR="00DC1B86" w:rsidRPr="00FD6ADF" w:rsidRDefault="00F13A6B" w:rsidP="00864ECD">
      <w:pPr>
        <w:pStyle w:val="ListParagraph"/>
        <w:numPr>
          <w:ilvl w:val="0"/>
          <w:numId w:val="2"/>
        </w:numPr>
        <w:spacing w:after="120" w:line="360" w:lineRule="auto"/>
        <w:rPr>
          <w:rFonts w:ascii="Arial" w:hAnsi="Arial" w:cs="Arial"/>
          <w:sz w:val="22"/>
          <w:szCs w:val="22"/>
        </w:rPr>
      </w:pPr>
      <w:r w:rsidRPr="00FD6ADF">
        <w:rPr>
          <w:rFonts w:ascii="Arial" w:hAnsi="Arial" w:cs="Arial"/>
          <w:sz w:val="22"/>
          <w:szCs w:val="22"/>
        </w:rPr>
        <w:t>Embed clear accountability for transformation talent and DEI outcomes into departmental managers' objectives and performance frameworks. This should include metrics on timely hiring of critical roles, diversity in shortlists and appointments, and colleague engagement during periods of change, with visible senior sponsorship and recognition for strong performance.</w:t>
      </w:r>
    </w:p>
    <w:p w14:paraId="45024AB2" w14:textId="77777777" w:rsidR="00DC1B86" w:rsidRPr="00FD6ADF" w:rsidRDefault="00F13A6B" w:rsidP="00864ECD">
      <w:pPr>
        <w:pStyle w:val="ListParagraph"/>
        <w:numPr>
          <w:ilvl w:val="0"/>
          <w:numId w:val="2"/>
        </w:numPr>
        <w:spacing w:after="120" w:line="360" w:lineRule="auto"/>
        <w:rPr>
          <w:rFonts w:ascii="Arial" w:hAnsi="Arial" w:cs="Arial"/>
          <w:sz w:val="22"/>
          <w:szCs w:val="22"/>
        </w:rPr>
      </w:pPr>
      <w:r w:rsidRPr="00FD6ADF">
        <w:rPr>
          <w:rFonts w:ascii="Arial" w:hAnsi="Arial" w:cs="Arial"/>
          <w:sz w:val="22"/>
          <w:szCs w:val="22"/>
        </w:rPr>
        <w:t>Adopt and consistently apply the hybrid interview model (virtual screening for efficiency and reach, face-to-face for final stages of senior change roles) while actively mitigating limitations through technology support, bias awareness training and clear evaluation criteria.</w:t>
      </w:r>
    </w:p>
    <w:p w14:paraId="03F85AA5" w14:textId="77777777" w:rsidR="00DC1B86" w:rsidRDefault="00F13A6B" w:rsidP="00864ECD">
      <w:pPr>
        <w:pStyle w:val="ListParagraph"/>
        <w:numPr>
          <w:ilvl w:val="0"/>
          <w:numId w:val="2"/>
        </w:numPr>
        <w:spacing w:after="200" w:line="360" w:lineRule="auto"/>
        <w:rPr>
          <w:rFonts w:ascii="Arial" w:hAnsi="Arial" w:cs="Arial"/>
          <w:sz w:val="22"/>
          <w:szCs w:val="22"/>
        </w:rPr>
      </w:pPr>
      <w:r w:rsidRPr="00FD6ADF">
        <w:rPr>
          <w:rFonts w:ascii="Arial" w:hAnsi="Arial" w:cs="Arial"/>
          <w:sz w:val="22"/>
          <w:szCs w:val="22"/>
        </w:rPr>
        <w:lastRenderedPageBreak/>
        <w:t>Establish regular evaluation and rapid iteration cycles using a balanced scorecard of resourcing metrics (time-to-hire, quality of hire, diversity data), engagement indicators and cultural measures. Use insights to refine practices iteratively as the Next Level strategy evolves and new challenges emerge.</w:t>
      </w:r>
    </w:p>
    <w:p w14:paraId="7D0F5B3D" w14:textId="77777777" w:rsidR="009C1337" w:rsidRPr="00FD6ADF" w:rsidRDefault="009C1337" w:rsidP="00864ECD">
      <w:pPr>
        <w:pStyle w:val="ListParagraph"/>
        <w:spacing w:after="200" w:line="360" w:lineRule="auto"/>
        <w:ind w:left="720"/>
        <w:rPr>
          <w:rFonts w:ascii="Arial" w:hAnsi="Arial" w:cs="Arial"/>
          <w:sz w:val="22"/>
          <w:szCs w:val="22"/>
        </w:rPr>
      </w:pPr>
    </w:p>
    <w:p w14:paraId="1428D69D" w14:textId="77777777" w:rsidR="009C1337" w:rsidRDefault="00F13A6B" w:rsidP="00864ECD">
      <w:pPr>
        <w:spacing w:after="200" w:line="360" w:lineRule="auto"/>
        <w:rPr>
          <w:rFonts w:ascii="Arial" w:hAnsi="Arial" w:cs="Arial"/>
          <w:sz w:val="22"/>
          <w:szCs w:val="22"/>
        </w:rPr>
      </w:pPr>
      <w:r w:rsidRPr="00FD6ADF">
        <w:rPr>
          <w:rFonts w:ascii="Arial" w:hAnsi="Arial" w:cs="Arial"/>
          <w:sz w:val="22"/>
          <w:szCs w:val="22"/>
        </w:rPr>
        <w:t>By implementing these recommendations with urgency, consistency and visible leadership commitment, Sainsbury's can build a workforce that is digitally capable, change-ready, diverse and aligned with its values. This will enable successful delivery of the Next Level strategy and position the organisation as an employer of choice and a leader in responsible, people-centred retail transformation in the UK.</w:t>
      </w:r>
    </w:p>
    <w:p w14:paraId="5FD0C6C1" w14:textId="77777777" w:rsidR="009C1337" w:rsidRDefault="009C1337" w:rsidP="00864ECD">
      <w:pPr>
        <w:spacing w:after="200" w:line="360" w:lineRule="auto"/>
        <w:rPr>
          <w:rFonts w:ascii="Arial" w:hAnsi="Arial" w:cs="Arial"/>
          <w:sz w:val="22"/>
          <w:szCs w:val="22"/>
        </w:rPr>
      </w:pPr>
    </w:p>
    <w:p w14:paraId="48C8AEDB" w14:textId="77777777" w:rsidR="009C1337" w:rsidRDefault="009C1337" w:rsidP="00864ECD">
      <w:pPr>
        <w:spacing w:after="200" w:line="360" w:lineRule="auto"/>
        <w:rPr>
          <w:rFonts w:ascii="Arial" w:hAnsi="Arial" w:cs="Arial"/>
          <w:sz w:val="22"/>
          <w:szCs w:val="22"/>
        </w:rPr>
      </w:pPr>
    </w:p>
    <w:p w14:paraId="6499FB04" w14:textId="77777777" w:rsidR="009C1337" w:rsidRDefault="009C1337" w:rsidP="00864ECD">
      <w:pPr>
        <w:spacing w:after="200" w:line="360" w:lineRule="auto"/>
        <w:rPr>
          <w:rFonts w:ascii="Arial" w:hAnsi="Arial" w:cs="Arial"/>
          <w:sz w:val="22"/>
          <w:szCs w:val="22"/>
        </w:rPr>
      </w:pPr>
    </w:p>
    <w:p w14:paraId="5F10DF9B" w14:textId="77777777" w:rsidR="009C1337" w:rsidRDefault="009C1337" w:rsidP="00864ECD">
      <w:pPr>
        <w:spacing w:after="200" w:line="360" w:lineRule="auto"/>
        <w:rPr>
          <w:rFonts w:ascii="Arial" w:hAnsi="Arial" w:cs="Arial"/>
          <w:sz w:val="22"/>
          <w:szCs w:val="22"/>
        </w:rPr>
      </w:pPr>
    </w:p>
    <w:p w14:paraId="4D7DA4AB" w14:textId="77777777" w:rsidR="009C1337" w:rsidRDefault="009C1337" w:rsidP="00864ECD">
      <w:pPr>
        <w:spacing w:after="200" w:line="360" w:lineRule="auto"/>
        <w:rPr>
          <w:rFonts w:ascii="Arial" w:hAnsi="Arial" w:cs="Arial"/>
          <w:sz w:val="22"/>
          <w:szCs w:val="22"/>
        </w:rPr>
      </w:pPr>
    </w:p>
    <w:p w14:paraId="22A21623" w14:textId="77777777" w:rsidR="009C1337" w:rsidRDefault="009C1337" w:rsidP="00864ECD">
      <w:pPr>
        <w:spacing w:after="200" w:line="360" w:lineRule="auto"/>
        <w:rPr>
          <w:rFonts w:ascii="Arial" w:hAnsi="Arial" w:cs="Arial"/>
          <w:sz w:val="22"/>
          <w:szCs w:val="22"/>
        </w:rPr>
      </w:pPr>
    </w:p>
    <w:p w14:paraId="64088B4D" w14:textId="77777777" w:rsidR="009C1337" w:rsidRDefault="009C1337" w:rsidP="00864ECD">
      <w:pPr>
        <w:spacing w:after="200" w:line="360" w:lineRule="auto"/>
        <w:rPr>
          <w:rFonts w:ascii="Arial" w:hAnsi="Arial" w:cs="Arial"/>
          <w:sz w:val="22"/>
          <w:szCs w:val="22"/>
        </w:rPr>
      </w:pPr>
    </w:p>
    <w:p w14:paraId="23BA0CF2" w14:textId="77777777" w:rsidR="009C1337" w:rsidRDefault="009C1337" w:rsidP="00864ECD">
      <w:pPr>
        <w:spacing w:after="200" w:line="360" w:lineRule="auto"/>
        <w:rPr>
          <w:rFonts w:ascii="Arial" w:hAnsi="Arial" w:cs="Arial"/>
          <w:sz w:val="22"/>
          <w:szCs w:val="22"/>
        </w:rPr>
      </w:pPr>
    </w:p>
    <w:p w14:paraId="21729BF8" w14:textId="77777777" w:rsidR="009C1337" w:rsidRDefault="009C1337" w:rsidP="00864ECD">
      <w:pPr>
        <w:spacing w:after="200" w:line="360" w:lineRule="auto"/>
        <w:rPr>
          <w:rFonts w:ascii="Arial" w:hAnsi="Arial" w:cs="Arial"/>
          <w:sz w:val="22"/>
          <w:szCs w:val="22"/>
        </w:rPr>
      </w:pPr>
    </w:p>
    <w:p w14:paraId="6B0225F9" w14:textId="77777777" w:rsidR="009C1337" w:rsidRDefault="009C1337" w:rsidP="00864ECD">
      <w:pPr>
        <w:spacing w:after="200" w:line="360" w:lineRule="auto"/>
        <w:rPr>
          <w:rFonts w:ascii="Arial" w:hAnsi="Arial" w:cs="Arial"/>
          <w:sz w:val="22"/>
          <w:szCs w:val="22"/>
        </w:rPr>
      </w:pPr>
    </w:p>
    <w:p w14:paraId="246ADA53" w14:textId="77777777" w:rsidR="009C1337" w:rsidRDefault="009C1337" w:rsidP="00864ECD">
      <w:pPr>
        <w:spacing w:after="200" w:line="360" w:lineRule="auto"/>
        <w:rPr>
          <w:rFonts w:ascii="Arial" w:hAnsi="Arial" w:cs="Arial"/>
          <w:sz w:val="22"/>
          <w:szCs w:val="22"/>
        </w:rPr>
      </w:pPr>
    </w:p>
    <w:p w14:paraId="536EC3B2" w14:textId="77777777" w:rsidR="009C1337" w:rsidRDefault="009C1337" w:rsidP="00864ECD">
      <w:pPr>
        <w:spacing w:after="200" w:line="360" w:lineRule="auto"/>
        <w:rPr>
          <w:rFonts w:ascii="Arial" w:hAnsi="Arial" w:cs="Arial"/>
          <w:sz w:val="22"/>
          <w:szCs w:val="22"/>
        </w:rPr>
      </w:pPr>
    </w:p>
    <w:p w14:paraId="1E8CAA2A" w14:textId="77777777" w:rsidR="009C1337" w:rsidRDefault="009C1337" w:rsidP="00864ECD">
      <w:pPr>
        <w:spacing w:after="200" w:line="360" w:lineRule="auto"/>
        <w:rPr>
          <w:rFonts w:ascii="Arial" w:hAnsi="Arial" w:cs="Arial"/>
          <w:sz w:val="22"/>
          <w:szCs w:val="22"/>
        </w:rPr>
      </w:pPr>
    </w:p>
    <w:p w14:paraId="6E6361B7" w14:textId="77777777" w:rsidR="009C1337" w:rsidRDefault="009C1337" w:rsidP="00864ECD">
      <w:pPr>
        <w:spacing w:after="200" w:line="360" w:lineRule="auto"/>
        <w:rPr>
          <w:rFonts w:ascii="Arial" w:hAnsi="Arial" w:cs="Arial"/>
          <w:sz w:val="22"/>
          <w:szCs w:val="22"/>
        </w:rPr>
      </w:pPr>
    </w:p>
    <w:p w14:paraId="631AC964" w14:textId="77777777" w:rsidR="009C1337" w:rsidRDefault="009C1337" w:rsidP="00864ECD">
      <w:pPr>
        <w:spacing w:after="200" w:line="360" w:lineRule="auto"/>
        <w:rPr>
          <w:rFonts w:ascii="Arial" w:hAnsi="Arial" w:cs="Arial"/>
          <w:sz w:val="22"/>
          <w:szCs w:val="22"/>
        </w:rPr>
      </w:pPr>
    </w:p>
    <w:p w14:paraId="2515BEA3" w14:textId="77777777" w:rsidR="009C1337" w:rsidRDefault="009C1337" w:rsidP="00864ECD">
      <w:pPr>
        <w:spacing w:after="200" w:line="360" w:lineRule="auto"/>
        <w:rPr>
          <w:rFonts w:ascii="Arial" w:hAnsi="Arial" w:cs="Arial"/>
          <w:sz w:val="22"/>
          <w:szCs w:val="22"/>
        </w:rPr>
      </w:pPr>
    </w:p>
    <w:p w14:paraId="6B87BA42" w14:textId="77777777" w:rsidR="009C1337" w:rsidRDefault="009C1337" w:rsidP="00864ECD">
      <w:pPr>
        <w:spacing w:after="200" w:line="360" w:lineRule="auto"/>
        <w:rPr>
          <w:rFonts w:ascii="Arial" w:hAnsi="Arial" w:cs="Arial"/>
          <w:sz w:val="22"/>
          <w:szCs w:val="22"/>
        </w:rPr>
      </w:pPr>
    </w:p>
    <w:p w14:paraId="3E23C40A" w14:textId="77777777" w:rsidR="009C1337" w:rsidRDefault="009C1337" w:rsidP="00864ECD">
      <w:pPr>
        <w:spacing w:after="200" w:line="360" w:lineRule="auto"/>
        <w:rPr>
          <w:rFonts w:ascii="Arial" w:hAnsi="Arial" w:cs="Arial"/>
          <w:sz w:val="22"/>
          <w:szCs w:val="22"/>
        </w:rPr>
      </w:pPr>
    </w:p>
    <w:p w14:paraId="483A58EC" w14:textId="15E1D804" w:rsidR="001E7300" w:rsidRPr="009C1337" w:rsidRDefault="00F13A6B" w:rsidP="00864ECD">
      <w:pPr>
        <w:spacing w:after="200" w:line="360" w:lineRule="auto"/>
        <w:rPr>
          <w:rFonts w:ascii="Arial" w:hAnsi="Arial" w:cs="Arial"/>
          <w:b/>
          <w:bCs/>
          <w:sz w:val="22"/>
          <w:szCs w:val="22"/>
        </w:rPr>
      </w:pPr>
      <w:r w:rsidRPr="009C1337">
        <w:rPr>
          <w:rFonts w:ascii="Arial" w:hAnsi="Arial" w:cs="Arial"/>
          <w:b/>
          <w:bCs/>
          <w:sz w:val="22"/>
          <w:szCs w:val="22"/>
        </w:rPr>
        <w:lastRenderedPageBreak/>
        <w:t>References</w:t>
      </w:r>
    </w:p>
    <w:p w14:paraId="47D9189C"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Adams, J.S. (1965) 'Inequity in social exchange', in Berkowitz, L. (ed.) </w:t>
      </w:r>
      <w:r w:rsidRPr="00FD6ADF">
        <w:rPr>
          <w:rFonts w:ascii="Arial" w:hAnsi="Arial" w:cs="Arial"/>
          <w:i/>
          <w:iCs/>
          <w:sz w:val="22"/>
          <w:szCs w:val="22"/>
        </w:rPr>
        <w:t>Advances in Experimental Social Psychology</w:t>
      </w:r>
      <w:r w:rsidRPr="00FD6ADF">
        <w:rPr>
          <w:rFonts w:ascii="Arial" w:hAnsi="Arial" w:cs="Arial"/>
          <w:sz w:val="22"/>
          <w:szCs w:val="22"/>
        </w:rPr>
        <w:t>. Vol. 2. New York: Academic Press, pp. 267–299.</w:t>
      </w:r>
    </w:p>
    <w:p w14:paraId="6E91E3BF"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Armstrong, M. and Taylor, S. (2020) </w:t>
      </w:r>
      <w:r w:rsidRPr="00FD6ADF">
        <w:rPr>
          <w:rFonts w:ascii="Arial" w:hAnsi="Arial" w:cs="Arial"/>
          <w:i/>
          <w:iCs/>
          <w:sz w:val="22"/>
          <w:szCs w:val="22"/>
        </w:rPr>
        <w:t>Armstrong's Handbook of Human Resource Management Practice</w:t>
      </w:r>
      <w:r w:rsidRPr="00FD6ADF">
        <w:rPr>
          <w:rFonts w:ascii="Arial" w:hAnsi="Arial" w:cs="Arial"/>
          <w:sz w:val="22"/>
          <w:szCs w:val="22"/>
        </w:rPr>
        <w:t xml:space="preserve">. 15th </w:t>
      </w:r>
      <w:proofErr w:type="spellStart"/>
      <w:r w:rsidRPr="00FD6ADF">
        <w:rPr>
          <w:rFonts w:ascii="Arial" w:hAnsi="Arial" w:cs="Arial"/>
          <w:sz w:val="22"/>
          <w:szCs w:val="22"/>
        </w:rPr>
        <w:t>edn</w:t>
      </w:r>
      <w:proofErr w:type="spellEnd"/>
      <w:r w:rsidRPr="00FD6ADF">
        <w:rPr>
          <w:rFonts w:ascii="Arial" w:hAnsi="Arial" w:cs="Arial"/>
          <w:sz w:val="22"/>
          <w:szCs w:val="22"/>
        </w:rPr>
        <w:t>. London: Kogan Page.</w:t>
      </w:r>
    </w:p>
    <w:p w14:paraId="6DDB16BD"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Boxall, P. and Purcell, J. (2016) </w:t>
      </w:r>
      <w:r w:rsidRPr="00FD6ADF">
        <w:rPr>
          <w:rFonts w:ascii="Arial" w:hAnsi="Arial" w:cs="Arial"/>
          <w:i/>
          <w:iCs/>
          <w:sz w:val="22"/>
          <w:szCs w:val="22"/>
        </w:rPr>
        <w:t>Strategy and Human Resource Management</w:t>
      </w:r>
      <w:r w:rsidRPr="00FD6ADF">
        <w:rPr>
          <w:rFonts w:ascii="Arial" w:hAnsi="Arial" w:cs="Arial"/>
          <w:sz w:val="22"/>
          <w:szCs w:val="22"/>
        </w:rPr>
        <w:t xml:space="preserve">. 4th </w:t>
      </w:r>
      <w:proofErr w:type="spellStart"/>
      <w:r w:rsidRPr="00FD6ADF">
        <w:rPr>
          <w:rFonts w:ascii="Arial" w:hAnsi="Arial" w:cs="Arial"/>
          <w:sz w:val="22"/>
          <w:szCs w:val="22"/>
        </w:rPr>
        <w:t>edn</w:t>
      </w:r>
      <w:proofErr w:type="spellEnd"/>
      <w:r w:rsidRPr="00FD6ADF">
        <w:rPr>
          <w:rFonts w:ascii="Arial" w:hAnsi="Arial" w:cs="Arial"/>
          <w:sz w:val="22"/>
          <w:szCs w:val="22"/>
        </w:rPr>
        <w:t>. London: Palgrave Macmillan.</w:t>
      </w:r>
    </w:p>
    <w:p w14:paraId="09043059"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CIPD (2024) </w:t>
      </w:r>
      <w:r w:rsidRPr="00FD6ADF">
        <w:rPr>
          <w:rFonts w:ascii="Arial" w:hAnsi="Arial" w:cs="Arial"/>
          <w:i/>
          <w:iCs/>
          <w:sz w:val="22"/>
          <w:szCs w:val="22"/>
        </w:rPr>
        <w:t>Resourcing and talent planning report 2024</w:t>
      </w:r>
      <w:r w:rsidRPr="00FD6ADF">
        <w:rPr>
          <w:rFonts w:ascii="Arial" w:hAnsi="Arial" w:cs="Arial"/>
          <w:sz w:val="22"/>
          <w:szCs w:val="22"/>
        </w:rPr>
        <w:t>. London: Chartered Institute of Personnel and Development.</w:t>
      </w:r>
    </w:p>
    <w:p w14:paraId="00BF782A"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Deloitte (2026) </w:t>
      </w:r>
      <w:r w:rsidRPr="00FD6ADF">
        <w:rPr>
          <w:rFonts w:ascii="Arial" w:hAnsi="Arial" w:cs="Arial"/>
          <w:i/>
          <w:iCs/>
          <w:sz w:val="22"/>
          <w:szCs w:val="22"/>
        </w:rPr>
        <w:t>2026 Global Human Capital Trends</w:t>
      </w:r>
      <w:r w:rsidRPr="00FD6ADF">
        <w:rPr>
          <w:rFonts w:ascii="Arial" w:hAnsi="Arial" w:cs="Arial"/>
          <w:sz w:val="22"/>
          <w:szCs w:val="22"/>
        </w:rPr>
        <w:t>. London: Deloitte Insights.</w:t>
      </w:r>
    </w:p>
    <w:p w14:paraId="4C718EB7"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J Sainsbury plc (2025) </w:t>
      </w:r>
      <w:r w:rsidRPr="00FD6ADF">
        <w:rPr>
          <w:rFonts w:ascii="Arial" w:hAnsi="Arial" w:cs="Arial"/>
          <w:i/>
          <w:iCs/>
          <w:sz w:val="22"/>
          <w:szCs w:val="22"/>
        </w:rPr>
        <w:t>Annual Report and Financial Statements 2025</w:t>
      </w:r>
      <w:r w:rsidRPr="00FD6ADF">
        <w:rPr>
          <w:rFonts w:ascii="Arial" w:hAnsi="Arial" w:cs="Arial"/>
          <w:sz w:val="22"/>
          <w:szCs w:val="22"/>
        </w:rPr>
        <w:t>. London: J Sainsbury plc.</w:t>
      </w:r>
    </w:p>
    <w:p w14:paraId="3B7CE9CF"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J Sainsbury plc (n.d.) </w:t>
      </w:r>
      <w:r w:rsidRPr="00FD6ADF">
        <w:rPr>
          <w:rFonts w:ascii="Arial" w:hAnsi="Arial" w:cs="Arial"/>
          <w:i/>
          <w:iCs/>
          <w:sz w:val="22"/>
          <w:szCs w:val="22"/>
        </w:rPr>
        <w:t>Our heritage</w:t>
      </w:r>
      <w:r w:rsidRPr="00FD6ADF">
        <w:rPr>
          <w:rFonts w:ascii="Arial" w:hAnsi="Arial" w:cs="Arial"/>
          <w:sz w:val="22"/>
          <w:szCs w:val="22"/>
        </w:rPr>
        <w:t>. Available at: https://corporate.sainsburys.co.uk/about-us/our-heritage/ (Accessed: 18 July 2026).</w:t>
      </w:r>
    </w:p>
    <w:p w14:paraId="42227BA5"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Kotter, J.P. (1996) </w:t>
      </w:r>
      <w:r w:rsidRPr="00FD6ADF">
        <w:rPr>
          <w:rFonts w:ascii="Arial" w:hAnsi="Arial" w:cs="Arial"/>
          <w:i/>
          <w:iCs/>
          <w:sz w:val="22"/>
          <w:szCs w:val="22"/>
        </w:rPr>
        <w:t>Leading Change</w:t>
      </w:r>
      <w:r w:rsidRPr="00FD6ADF">
        <w:rPr>
          <w:rFonts w:ascii="Arial" w:hAnsi="Arial" w:cs="Arial"/>
          <w:sz w:val="22"/>
          <w:szCs w:val="22"/>
        </w:rPr>
        <w:t>. Boston, MA: Harvard Business School Press.</w:t>
      </w:r>
    </w:p>
    <w:p w14:paraId="3FEE53CA"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Muller-Camen, M., Croucher, R. and Leigh, S. (2008) </w:t>
      </w:r>
      <w:r w:rsidRPr="00FD6ADF">
        <w:rPr>
          <w:rFonts w:ascii="Arial" w:hAnsi="Arial" w:cs="Arial"/>
          <w:i/>
          <w:iCs/>
          <w:sz w:val="22"/>
          <w:szCs w:val="22"/>
        </w:rPr>
        <w:t>Human Resource Management: A Case Study Approach</w:t>
      </w:r>
      <w:r w:rsidRPr="00FD6ADF">
        <w:rPr>
          <w:rFonts w:ascii="Arial" w:hAnsi="Arial" w:cs="Arial"/>
          <w:sz w:val="22"/>
          <w:szCs w:val="22"/>
        </w:rPr>
        <w:t>. London: CIPD.</w:t>
      </w:r>
    </w:p>
    <w:p w14:paraId="351146F9"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Sainsbury Archive (n.d.) </w:t>
      </w:r>
      <w:r w:rsidRPr="00FD6ADF">
        <w:rPr>
          <w:rFonts w:ascii="Arial" w:hAnsi="Arial" w:cs="Arial"/>
          <w:i/>
          <w:iCs/>
          <w:sz w:val="22"/>
          <w:szCs w:val="22"/>
        </w:rPr>
        <w:t>A Family Business</w:t>
      </w:r>
      <w:r w:rsidRPr="00FD6ADF">
        <w:rPr>
          <w:rFonts w:ascii="Arial" w:hAnsi="Arial" w:cs="Arial"/>
          <w:sz w:val="22"/>
          <w:szCs w:val="22"/>
        </w:rPr>
        <w:t>. Available at: https://www.sainsburyarchive.org.uk/story/stories/a-family-business (Accessed: 18 July 2026).</w:t>
      </w:r>
    </w:p>
    <w:p w14:paraId="72DC8915"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Schmidt, F.L. and Hunter, J.E. (1998) 'The validity and utility of selection methods in personnel psychology: Practical and theoretical implications of 85 years of research findings', </w:t>
      </w:r>
      <w:r w:rsidRPr="00FD6ADF">
        <w:rPr>
          <w:rFonts w:ascii="Arial" w:hAnsi="Arial" w:cs="Arial"/>
          <w:i/>
          <w:iCs/>
          <w:sz w:val="22"/>
          <w:szCs w:val="22"/>
        </w:rPr>
        <w:t>Psychological Bulletin</w:t>
      </w:r>
      <w:r w:rsidRPr="00FD6ADF">
        <w:rPr>
          <w:rFonts w:ascii="Arial" w:hAnsi="Arial" w:cs="Arial"/>
          <w:sz w:val="22"/>
          <w:szCs w:val="22"/>
        </w:rPr>
        <w:t>, 124(2), pp. 262–274.</w:t>
      </w:r>
    </w:p>
    <w:p w14:paraId="1183E78A"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Storey, J. (1995) </w:t>
      </w:r>
      <w:r w:rsidRPr="00FD6ADF">
        <w:rPr>
          <w:rFonts w:ascii="Arial" w:hAnsi="Arial" w:cs="Arial"/>
          <w:i/>
          <w:iCs/>
          <w:sz w:val="22"/>
          <w:szCs w:val="22"/>
        </w:rPr>
        <w:t>Human Resource Management: A Critical Text</w:t>
      </w:r>
      <w:r w:rsidRPr="00FD6ADF">
        <w:rPr>
          <w:rFonts w:ascii="Arial" w:hAnsi="Arial" w:cs="Arial"/>
          <w:sz w:val="22"/>
          <w:szCs w:val="22"/>
        </w:rPr>
        <w:t>. London: Routledge.</w:t>
      </w:r>
    </w:p>
    <w:p w14:paraId="0C5644D2"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Taylor, S. (2014) </w:t>
      </w:r>
      <w:r w:rsidRPr="00FD6ADF">
        <w:rPr>
          <w:rFonts w:ascii="Arial" w:hAnsi="Arial" w:cs="Arial"/>
          <w:i/>
          <w:iCs/>
          <w:sz w:val="22"/>
          <w:szCs w:val="22"/>
        </w:rPr>
        <w:t>Resourcing and Talent Management</w:t>
      </w:r>
      <w:r w:rsidRPr="00FD6ADF">
        <w:rPr>
          <w:rFonts w:ascii="Arial" w:hAnsi="Arial" w:cs="Arial"/>
          <w:sz w:val="22"/>
          <w:szCs w:val="22"/>
        </w:rPr>
        <w:t xml:space="preserve">. 6th </w:t>
      </w:r>
      <w:proofErr w:type="spellStart"/>
      <w:r w:rsidRPr="00FD6ADF">
        <w:rPr>
          <w:rFonts w:ascii="Arial" w:hAnsi="Arial" w:cs="Arial"/>
          <w:sz w:val="22"/>
          <w:szCs w:val="22"/>
        </w:rPr>
        <w:t>edn</w:t>
      </w:r>
      <w:proofErr w:type="spellEnd"/>
      <w:r w:rsidRPr="00FD6ADF">
        <w:rPr>
          <w:rFonts w:ascii="Arial" w:hAnsi="Arial" w:cs="Arial"/>
          <w:sz w:val="22"/>
          <w:szCs w:val="22"/>
        </w:rPr>
        <w:t>. London: CIPD.</w:t>
      </w:r>
    </w:p>
    <w:p w14:paraId="649ADBCB"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Torrington, D., Hall, L., Taylor, S. and Atkinson, C. (2017) </w:t>
      </w:r>
      <w:r w:rsidRPr="00FD6ADF">
        <w:rPr>
          <w:rFonts w:ascii="Arial" w:hAnsi="Arial" w:cs="Arial"/>
          <w:i/>
          <w:iCs/>
          <w:sz w:val="22"/>
          <w:szCs w:val="22"/>
        </w:rPr>
        <w:t>Human Resource Management</w:t>
      </w:r>
      <w:r w:rsidRPr="00FD6ADF">
        <w:rPr>
          <w:rFonts w:ascii="Arial" w:hAnsi="Arial" w:cs="Arial"/>
          <w:sz w:val="22"/>
          <w:szCs w:val="22"/>
        </w:rPr>
        <w:t xml:space="preserve">. 10th </w:t>
      </w:r>
      <w:proofErr w:type="spellStart"/>
      <w:r w:rsidRPr="00FD6ADF">
        <w:rPr>
          <w:rFonts w:ascii="Arial" w:hAnsi="Arial" w:cs="Arial"/>
          <w:sz w:val="22"/>
          <w:szCs w:val="22"/>
        </w:rPr>
        <w:t>edn</w:t>
      </w:r>
      <w:proofErr w:type="spellEnd"/>
      <w:r w:rsidRPr="00FD6ADF">
        <w:rPr>
          <w:rFonts w:ascii="Arial" w:hAnsi="Arial" w:cs="Arial"/>
          <w:sz w:val="22"/>
          <w:szCs w:val="22"/>
        </w:rPr>
        <w:t>. Harlow: Pearson.</w:t>
      </w:r>
    </w:p>
    <w:p w14:paraId="23EEDABB" w14:textId="77777777" w:rsidR="00DC1B86" w:rsidRPr="00FD6ADF" w:rsidRDefault="00F13A6B" w:rsidP="00864ECD">
      <w:pPr>
        <w:spacing w:after="120" w:line="360" w:lineRule="auto"/>
        <w:ind w:left="720" w:hanging="720"/>
        <w:rPr>
          <w:rFonts w:ascii="Arial" w:hAnsi="Arial" w:cs="Arial"/>
          <w:sz w:val="22"/>
          <w:szCs w:val="22"/>
        </w:rPr>
      </w:pPr>
      <w:r w:rsidRPr="00FD6ADF">
        <w:rPr>
          <w:rFonts w:ascii="Arial" w:hAnsi="Arial" w:cs="Arial"/>
          <w:sz w:val="22"/>
          <w:szCs w:val="22"/>
        </w:rPr>
        <w:t xml:space="preserve">Wilkinson, A., Redman, T. and Dundon, T. (2017) </w:t>
      </w:r>
      <w:r w:rsidRPr="00FD6ADF">
        <w:rPr>
          <w:rFonts w:ascii="Arial" w:hAnsi="Arial" w:cs="Arial"/>
          <w:i/>
          <w:iCs/>
          <w:sz w:val="22"/>
          <w:szCs w:val="22"/>
        </w:rPr>
        <w:t>Contemporary Human Resource Management</w:t>
      </w:r>
      <w:r w:rsidRPr="00FD6ADF">
        <w:rPr>
          <w:rFonts w:ascii="Arial" w:hAnsi="Arial" w:cs="Arial"/>
          <w:sz w:val="22"/>
          <w:szCs w:val="22"/>
        </w:rPr>
        <w:t xml:space="preserve">. 5th </w:t>
      </w:r>
      <w:proofErr w:type="spellStart"/>
      <w:r w:rsidRPr="00FD6ADF">
        <w:rPr>
          <w:rFonts w:ascii="Arial" w:hAnsi="Arial" w:cs="Arial"/>
          <w:sz w:val="22"/>
          <w:szCs w:val="22"/>
        </w:rPr>
        <w:t>edn</w:t>
      </w:r>
      <w:proofErr w:type="spellEnd"/>
      <w:r w:rsidRPr="00FD6ADF">
        <w:rPr>
          <w:rFonts w:ascii="Arial" w:hAnsi="Arial" w:cs="Arial"/>
          <w:sz w:val="22"/>
          <w:szCs w:val="22"/>
        </w:rPr>
        <w:t>. Harlow: Pearson.</w:t>
      </w:r>
    </w:p>
    <w:sectPr w:rsidR="00DC1B86" w:rsidRPr="00FD6ADF">
      <w:headerReference w:type="default" r:id="rId8"/>
      <w:footerReference w:type="default" r:id="rId9"/>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8FAE3D" w14:textId="77777777" w:rsidR="00E9640D" w:rsidRDefault="00E9640D">
      <w:r>
        <w:separator/>
      </w:r>
    </w:p>
  </w:endnote>
  <w:endnote w:type="continuationSeparator" w:id="0">
    <w:p w14:paraId="150027C4" w14:textId="77777777" w:rsidR="00E9640D" w:rsidRDefault="00E964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FB7D33" w14:textId="77777777" w:rsidR="00DC1B86" w:rsidRDefault="00F13A6B">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FD6ADF">
      <w:rPr>
        <w:noProof/>
        <w:sz w:val="18"/>
        <w:szCs w:val="18"/>
      </w:rPr>
      <w:t>1</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FD6ADF">
      <w:rPr>
        <w:noProof/>
        <w:sz w:val="18"/>
        <w:szCs w:val="18"/>
      </w:rPr>
      <w:t>2</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7730C" w14:textId="77777777" w:rsidR="00E9640D" w:rsidRDefault="00E9640D">
      <w:r>
        <w:separator/>
      </w:r>
    </w:p>
  </w:footnote>
  <w:footnote w:type="continuationSeparator" w:id="0">
    <w:p w14:paraId="6EFA5281" w14:textId="77777777" w:rsidR="00E9640D" w:rsidRDefault="00E964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7E6B8E" w14:textId="0F24187E" w:rsidR="00DC1B86" w:rsidRDefault="00DC1B86">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276D77"/>
    <w:multiLevelType w:val="hybridMultilevel"/>
    <w:tmpl w:val="9064CDB4"/>
    <w:lvl w:ilvl="0" w:tplc="283004AA">
      <w:start w:val="1"/>
      <w:numFmt w:val="decimal"/>
      <w:lvlText w:val="%1."/>
      <w:lvlJc w:val="left"/>
      <w:pPr>
        <w:ind w:left="720" w:hanging="360"/>
      </w:pPr>
    </w:lvl>
    <w:lvl w:ilvl="1" w:tplc="66880710">
      <w:numFmt w:val="decimal"/>
      <w:lvlText w:val=""/>
      <w:lvlJc w:val="left"/>
    </w:lvl>
    <w:lvl w:ilvl="2" w:tplc="58B813B4">
      <w:numFmt w:val="decimal"/>
      <w:lvlText w:val=""/>
      <w:lvlJc w:val="left"/>
    </w:lvl>
    <w:lvl w:ilvl="3" w:tplc="5268C968">
      <w:numFmt w:val="decimal"/>
      <w:lvlText w:val=""/>
      <w:lvlJc w:val="left"/>
    </w:lvl>
    <w:lvl w:ilvl="4" w:tplc="0DEC93D6">
      <w:numFmt w:val="decimal"/>
      <w:lvlText w:val=""/>
      <w:lvlJc w:val="left"/>
    </w:lvl>
    <w:lvl w:ilvl="5" w:tplc="26D8848C">
      <w:numFmt w:val="decimal"/>
      <w:lvlText w:val=""/>
      <w:lvlJc w:val="left"/>
    </w:lvl>
    <w:lvl w:ilvl="6" w:tplc="76503BAC">
      <w:numFmt w:val="decimal"/>
      <w:lvlText w:val=""/>
      <w:lvlJc w:val="left"/>
    </w:lvl>
    <w:lvl w:ilvl="7" w:tplc="C14C2396">
      <w:numFmt w:val="decimal"/>
      <w:lvlText w:val=""/>
      <w:lvlJc w:val="left"/>
    </w:lvl>
    <w:lvl w:ilvl="8" w:tplc="7C3A5720">
      <w:numFmt w:val="decimal"/>
      <w:lvlText w:val=""/>
      <w:lvlJc w:val="left"/>
    </w:lvl>
  </w:abstractNum>
  <w:abstractNum w:abstractNumId="1" w15:restartNumberingAfterBreak="0">
    <w:nsid w:val="3C1B1E6B"/>
    <w:multiLevelType w:val="hybridMultilevel"/>
    <w:tmpl w:val="303A9C42"/>
    <w:lvl w:ilvl="0" w:tplc="F760DC50">
      <w:start w:val="1"/>
      <w:numFmt w:val="bullet"/>
      <w:lvlText w:val="●"/>
      <w:lvlJc w:val="left"/>
      <w:pPr>
        <w:ind w:left="720" w:hanging="360"/>
      </w:pPr>
    </w:lvl>
    <w:lvl w:ilvl="1" w:tplc="89D402D0">
      <w:start w:val="1"/>
      <w:numFmt w:val="bullet"/>
      <w:lvlText w:val="○"/>
      <w:lvlJc w:val="left"/>
      <w:pPr>
        <w:ind w:left="1440" w:hanging="360"/>
      </w:pPr>
    </w:lvl>
    <w:lvl w:ilvl="2" w:tplc="4998BC70">
      <w:start w:val="1"/>
      <w:numFmt w:val="bullet"/>
      <w:lvlText w:val="■"/>
      <w:lvlJc w:val="left"/>
      <w:pPr>
        <w:ind w:left="2160" w:hanging="360"/>
      </w:pPr>
    </w:lvl>
    <w:lvl w:ilvl="3" w:tplc="8876B3DC">
      <w:start w:val="1"/>
      <w:numFmt w:val="bullet"/>
      <w:lvlText w:val="●"/>
      <w:lvlJc w:val="left"/>
      <w:pPr>
        <w:ind w:left="2880" w:hanging="360"/>
      </w:pPr>
    </w:lvl>
    <w:lvl w:ilvl="4" w:tplc="801883D0">
      <w:start w:val="1"/>
      <w:numFmt w:val="bullet"/>
      <w:lvlText w:val="○"/>
      <w:lvlJc w:val="left"/>
      <w:pPr>
        <w:ind w:left="3600" w:hanging="360"/>
      </w:pPr>
    </w:lvl>
    <w:lvl w:ilvl="5" w:tplc="254A0F20">
      <w:start w:val="1"/>
      <w:numFmt w:val="bullet"/>
      <w:lvlText w:val="■"/>
      <w:lvlJc w:val="left"/>
      <w:pPr>
        <w:ind w:left="4320" w:hanging="360"/>
      </w:pPr>
    </w:lvl>
    <w:lvl w:ilvl="6" w:tplc="B9F0D4DC">
      <w:start w:val="1"/>
      <w:numFmt w:val="bullet"/>
      <w:lvlText w:val="●"/>
      <w:lvlJc w:val="left"/>
      <w:pPr>
        <w:ind w:left="5040" w:hanging="360"/>
      </w:pPr>
    </w:lvl>
    <w:lvl w:ilvl="7" w:tplc="8D8A79E4">
      <w:start w:val="1"/>
      <w:numFmt w:val="bullet"/>
      <w:lvlText w:val="●"/>
      <w:lvlJc w:val="left"/>
      <w:pPr>
        <w:ind w:left="5760" w:hanging="360"/>
      </w:pPr>
    </w:lvl>
    <w:lvl w:ilvl="8" w:tplc="8D1CFCB8">
      <w:start w:val="1"/>
      <w:numFmt w:val="bullet"/>
      <w:lvlText w:val="●"/>
      <w:lvlJc w:val="left"/>
      <w:pPr>
        <w:ind w:left="6480" w:hanging="360"/>
      </w:pPr>
    </w:lvl>
  </w:abstractNum>
  <w:num w:numId="1" w16cid:durableId="539128687">
    <w:abstractNumId w:val="1"/>
    <w:lvlOverride w:ilvl="0">
      <w:startOverride w:val="1"/>
    </w:lvlOverride>
  </w:num>
  <w:num w:numId="2" w16cid:durableId="124101955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B86"/>
    <w:rsid w:val="000F3398"/>
    <w:rsid w:val="0019013A"/>
    <w:rsid w:val="001938F3"/>
    <w:rsid w:val="001E7300"/>
    <w:rsid w:val="002E2352"/>
    <w:rsid w:val="00382DC1"/>
    <w:rsid w:val="003A69B9"/>
    <w:rsid w:val="00533373"/>
    <w:rsid w:val="00540730"/>
    <w:rsid w:val="006101D5"/>
    <w:rsid w:val="006A5171"/>
    <w:rsid w:val="007E6733"/>
    <w:rsid w:val="00864ECD"/>
    <w:rsid w:val="009C1337"/>
    <w:rsid w:val="00AE61D6"/>
    <w:rsid w:val="00BC198B"/>
    <w:rsid w:val="00DC1B86"/>
    <w:rsid w:val="00DD318A"/>
    <w:rsid w:val="00DE12D7"/>
    <w:rsid w:val="00E9640D"/>
    <w:rsid w:val="00EA3C40"/>
    <w:rsid w:val="00F13A6B"/>
    <w:rsid w:val="00FA4AA8"/>
    <w:rsid w:val="00FD6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C69ED"/>
  <w15:docId w15:val="{AD9796A2-A2EA-405E-A9DA-E5408E9EE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4E79"/>
      <w:sz w:val="28"/>
      <w:szCs w:val="28"/>
    </w:rPr>
  </w:style>
  <w:style w:type="paragraph" w:styleId="Heading2">
    <w:name w:val="heading 2"/>
    <w:uiPriority w:val="9"/>
    <w:unhideWhenUsed/>
    <w:qFormat/>
    <w:pPr>
      <w:spacing w:before="280" w:after="160"/>
      <w:outlineLvl w:val="1"/>
    </w:pPr>
    <w:rPr>
      <w:b/>
      <w:bCs/>
      <w:color w:val="2E75B6"/>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pPr>
      <w:spacing w:after="200"/>
      <w:jc w:val="center"/>
    </w:pPr>
    <w:rPr>
      <w:b/>
      <w:bCs/>
      <w:sz w:val="36"/>
      <w:szCs w:val="3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FD6ADF"/>
    <w:pPr>
      <w:tabs>
        <w:tab w:val="center" w:pos="4513"/>
        <w:tab w:val="right" w:pos="9026"/>
      </w:tabs>
    </w:pPr>
  </w:style>
  <w:style w:type="character" w:customStyle="1" w:styleId="HeaderChar">
    <w:name w:val="Header Char"/>
    <w:basedOn w:val="DefaultParagraphFont"/>
    <w:link w:val="Header"/>
    <w:uiPriority w:val="99"/>
    <w:rsid w:val="00FD6ADF"/>
  </w:style>
  <w:style w:type="paragraph" w:styleId="Footer">
    <w:name w:val="footer"/>
    <w:basedOn w:val="Normal"/>
    <w:link w:val="FooterChar"/>
    <w:uiPriority w:val="99"/>
    <w:unhideWhenUsed/>
    <w:rsid w:val="00FD6ADF"/>
    <w:pPr>
      <w:tabs>
        <w:tab w:val="center" w:pos="4513"/>
        <w:tab w:val="right" w:pos="9026"/>
      </w:tabs>
    </w:pPr>
  </w:style>
  <w:style w:type="character" w:customStyle="1" w:styleId="FooterChar">
    <w:name w:val="Footer Char"/>
    <w:basedOn w:val="DefaultParagraphFont"/>
    <w:link w:val="Footer"/>
    <w:uiPriority w:val="99"/>
    <w:rsid w:val="00FD6A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12</Pages>
  <Words>3138</Words>
  <Characters>17889</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Alex Ismail</cp:lastModifiedBy>
  <cp:revision>2</cp:revision>
  <dcterms:created xsi:type="dcterms:W3CDTF">2026-07-19T23:33:00Z</dcterms:created>
  <dcterms:modified xsi:type="dcterms:W3CDTF">2026-07-19T23:33:00Z</dcterms:modified>
</cp:coreProperties>
</file>