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80874" w14:textId="60ABA605" w:rsidR="00D94CC9" w:rsidRDefault="00D94CC9" w:rsidP="00D94CC9">
      <w:pPr>
        <w:jc w:val="center"/>
        <w:rPr>
          <w:b/>
          <w:sz w:val="56"/>
          <w:szCs w:val="56"/>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340CEAF4" wp14:editId="6E9E6403">
            <wp:extent cx="4459266" cy="1481648"/>
            <wp:effectExtent l="0" t="0" r="0" b="444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35E899E7" w14:textId="77777777" w:rsidR="00D94CC9" w:rsidRDefault="00D94CC9" w:rsidP="00D94CC9">
      <w:pPr>
        <w:jc w:val="center"/>
        <w:rPr>
          <w:b/>
          <w:sz w:val="56"/>
          <w:szCs w:val="56"/>
        </w:rPr>
      </w:pPr>
    </w:p>
    <w:p w14:paraId="43D1760B" w14:textId="77777777" w:rsidR="00D94CC9" w:rsidRDefault="00D94CC9" w:rsidP="00D94CC9">
      <w:pPr>
        <w:jc w:val="center"/>
        <w:rPr>
          <w:b/>
          <w:sz w:val="56"/>
          <w:szCs w:val="56"/>
        </w:rPr>
      </w:pPr>
    </w:p>
    <w:p w14:paraId="045766FC" w14:textId="77777777" w:rsidR="00D94CC9" w:rsidRDefault="00D94CC9" w:rsidP="00D94CC9">
      <w:pPr>
        <w:jc w:val="center"/>
        <w:rPr>
          <w:b/>
          <w:sz w:val="56"/>
          <w:szCs w:val="56"/>
        </w:rPr>
      </w:pPr>
    </w:p>
    <w:p w14:paraId="05B7694D" w14:textId="77777777" w:rsidR="00D94CC9" w:rsidRDefault="00D94CC9" w:rsidP="00D94CC9">
      <w:pPr>
        <w:jc w:val="center"/>
        <w:rPr>
          <w:b/>
          <w:sz w:val="56"/>
          <w:szCs w:val="56"/>
        </w:rPr>
      </w:pPr>
    </w:p>
    <w:p w14:paraId="4D8EE95C" w14:textId="2816974F" w:rsidR="00D94CC9" w:rsidRDefault="00D94CC9" w:rsidP="00D94CC9">
      <w:pPr>
        <w:jc w:val="center"/>
        <w:rPr>
          <w:b/>
          <w:sz w:val="56"/>
          <w:szCs w:val="56"/>
        </w:rPr>
      </w:pPr>
      <w:r w:rsidRPr="00EC2E21">
        <w:rPr>
          <w:b/>
          <w:sz w:val="56"/>
          <w:szCs w:val="56"/>
        </w:rPr>
        <w:t>Community Engagement</w:t>
      </w:r>
    </w:p>
    <w:p w14:paraId="7E9B525F" w14:textId="19BC1CDA" w:rsidR="00D94CC9" w:rsidRDefault="00D94CC9" w:rsidP="00D94CC9">
      <w:pPr>
        <w:rPr>
          <w:b/>
          <w:sz w:val="56"/>
          <w:szCs w:val="56"/>
        </w:rPr>
      </w:pPr>
    </w:p>
    <w:p w14:paraId="757148BA" w14:textId="0773EFAC" w:rsidR="00D94CC9" w:rsidRPr="00D94CC9" w:rsidRDefault="00D94CC9" w:rsidP="00D94CC9">
      <w:pPr>
        <w:pStyle w:val="Heading1"/>
        <w:jc w:val="center"/>
        <w:rPr>
          <w:sz w:val="40"/>
          <w:szCs w:val="40"/>
        </w:rPr>
      </w:pPr>
      <w:r w:rsidRPr="00D94CC9">
        <w:rPr>
          <w:sz w:val="40"/>
          <w:szCs w:val="40"/>
        </w:rPr>
        <w:t>Reflective Evaluation</w:t>
      </w:r>
    </w:p>
    <w:p w14:paraId="27B4128E" w14:textId="77777777" w:rsidR="00D94CC9" w:rsidRDefault="00D94CC9" w:rsidP="00D94CC9">
      <w:pPr>
        <w:jc w:val="center"/>
        <w:rPr>
          <w:sz w:val="36"/>
          <w:szCs w:val="36"/>
        </w:rPr>
      </w:pPr>
    </w:p>
    <w:p w14:paraId="5908433D" w14:textId="77777777" w:rsidR="00D94CC9" w:rsidRDefault="00D94CC9" w:rsidP="00D94CC9">
      <w:pPr>
        <w:jc w:val="center"/>
        <w:rPr>
          <w:sz w:val="36"/>
          <w:szCs w:val="36"/>
        </w:rPr>
      </w:pPr>
    </w:p>
    <w:p w14:paraId="3674D2DC" w14:textId="77777777" w:rsidR="00D94CC9" w:rsidRDefault="00D94CC9" w:rsidP="00D94CC9">
      <w:pPr>
        <w:jc w:val="center"/>
        <w:rPr>
          <w:sz w:val="36"/>
          <w:szCs w:val="36"/>
        </w:rPr>
      </w:pPr>
    </w:p>
    <w:p w14:paraId="7413F67A" w14:textId="77777777" w:rsidR="00D94CC9" w:rsidRDefault="00D94CC9" w:rsidP="00D94CC9">
      <w:pPr>
        <w:jc w:val="center"/>
        <w:rPr>
          <w:sz w:val="36"/>
          <w:szCs w:val="36"/>
        </w:rPr>
      </w:pPr>
    </w:p>
    <w:p w14:paraId="04C2F111" w14:textId="77777777" w:rsidR="00D94CC9" w:rsidRDefault="00D94CC9" w:rsidP="00D94CC9">
      <w:pPr>
        <w:jc w:val="center"/>
        <w:rPr>
          <w:sz w:val="36"/>
          <w:szCs w:val="36"/>
        </w:rPr>
      </w:pPr>
    </w:p>
    <w:p w14:paraId="2D30BB62" w14:textId="77777777" w:rsidR="00D94CC9" w:rsidRDefault="00D94CC9" w:rsidP="00D94CC9">
      <w:pPr>
        <w:jc w:val="center"/>
        <w:rPr>
          <w:sz w:val="36"/>
          <w:szCs w:val="36"/>
        </w:rPr>
      </w:pPr>
    </w:p>
    <w:p w14:paraId="007F2A00" w14:textId="77777777" w:rsidR="00D94CC9" w:rsidRDefault="00D94CC9" w:rsidP="00D94CC9">
      <w:pPr>
        <w:jc w:val="center"/>
        <w:rPr>
          <w:sz w:val="36"/>
          <w:szCs w:val="36"/>
        </w:rPr>
      </w:pPr>
    </w:p>
    <w:p w14:paraId="423897CB" w14:textId="740BB15B" w:rsidR="00D94CC9" w:rsidRPr="008D1664" w:rsidRDefault="00D94CC9" w:rsidP="00D94CC9">
      <w:pPr>
        <w:jc w:val="center"/>
        <w:rPr>
          <w:sz w:val="36"/>
          <w:szCs w:val="36"/>
        </w:rPr>
      </w:pPr>
      <w:r w:rsidRPr="008D1664">
        <w:rPr>
          <w:sz w:val="36"/>
          <w:szCs w:val="36"/>
        </w:rPr>
        <w:t>Student ID: 2215818</w:t>
      </w:r>
    </w:p>
    <w:p w14:paraId="10242828" w14:textId="77777777" w:rsidR="00D94CC9" w:rsidRPr="008D1664" w:rsidRDefault="00D94CC9" w:rsidP="00D94CC9">
      <w:pPr>
        <w:jc w:val="center"/>
        <w:rPr>
          <w:sz w:val="36"/>
          <w:szCs w:val="36"/>
        </w:rPr>
      </w:pPr>
      <w:r w:rsidRPr="008D1664">
        <w:rPr>
          <w:sz w:val="36"/>
          <w:szCs w:val="36"/>
        </w:rPr>
        <w:t>Student Name: Vasile Rosca</w:t>
      </w:r>
    </w:p>
    <w:p w14:paraId="56253F1A" w14:textId="77777777" w:rsidR="00D94CC9" w:rsidRPr="008D1664" w:rsidRDefault="00D94CC9" w:rsidP="00D94CC9">
      <w:pPr>
        <w:jc w:val="center"/>
        <w:rPr>
          <w:sz w:val="36"/>
          <w:szCs w:val="36"/>
        </w:rPr>
      </w:pPr>
      <w:r w:rsidRPr="008D1664">
        <w:rPr>
          <w:sz w:val="36"/>
          <w:szCs w:val="36"/>
        </w:rPr>
        <w:t>Module Code:</w:t>
      </w:r>
      <w:r>
        <w:rPr>
          <w:sz w:val="36"/>
          <w:szCs w:val="36"/>
        </w:rPr>
        <w:t xml:space="preserve"> </w:t>
      </w:r>
      <w:r w:rsidRPr="008D1664">
        <w:rPr>
          <w:sz w:val="36"/>
          <w:szCs w:val="36"/>
        </w:rPr>
        <w:t>LCBB400</w:t>
      </w:r>
      <w:r>
        <w:rPr>
          <w:sz w:val="36"/>
          <w:szCs w:val="36"/>
        </w:rPr>
        <w:t>2</w:t>
      </w:r>
    </w:p>
    <w:p w14:paraId="6DF2A79A" w14:textId="77777777" w:rsidR="00D94CC9" w:rsidRPr="008D1664" w:rsidRDefault="00D94CC9" w:rsidP="00D94CC9">
      <w:pPr>
        <w:jc w:val="center"/>
        <w:rPr>
          <w:sz w:val="36"/>
          <w:szCs w:val="36"/>
        </w:rPr>
      </w:pPr>
      <w:r w:rsidRPr="008D1664">
        <w:rPr>
          <w:sz w:val="36"/>
          <w:szCs w:val="36"/>
        </w:rPr>
        <w:t>Lecturer name: Dr.Nadeem Mirza</w:t>
      </w:r>
    </w:p>
    <w:p w14:paraId="00000001" w14:textId="627A92CF" w:rsidR="00C221B6" w:rsidRDefault="00000000">
      <w:pPr>
        <w:spacing w:line="360" w:lineRule="auto"/>
        <w:jc w:val="center"/>
        <w:rPr>
          <w:rFonts w:ascii="Times New Roman" w:eastAsia="Times New Roman" w:hAnsi="Times New Roman" w:cs="Times New Roman"/>
          <w:b/>
          <w:sz w:val="32"/>
          <w:szCs w:val="32"/>
          <w:u w:val="single"/>
        </w:rPr>
      </w:pPr>
      <w:r>
        <w:br w:type="page"/>
      </w:r>
    </w:p>
    <w:p w14:paraId="00000002" w14:textId="77777777" w:rsidR="00C221B6" w:rsidRDefault="00000000">
      <w:pPr>
        <w:spacing w:line="36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Table of Contents</w:t>
      </w:r>
    </w:p>
    <w:sdt>
      <w:sdtPr>
        <w:id w:val="-285893028"/>
        <w:docPartObj>
          <w:docPartGallery w:val="Table of Contents"/>
          <w:docPartUnique/>
        </w:docPartObj>
      </w:sdtPr>
      <w:sdtContent>
        <w:p w14:paraId="00000003" w14:textId="77777777" w:rsidR="00C221B6" w:rsidRDefault="00000000">
          <w:pPr>
            <w:widowControl w:val="0"/>
            <w:tabs>
              <w:tab w:val="right" w:pos="9025"/>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leb0vlkbn1v">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_leb0vlkbn1v \h </w:instrText>
          </w:r>
          <w:r>
            <w:fldChar w:fldCharType="separate"/>
          </w:r>
          <w:r>
            <w:rPr>
              <w:rFonts w:ascii="Times New Roman" w:eastAsia="Times New Roman" w:hAnsi="Times New Roman" w:cs="Times New Roman"/>
              <w:sz w:val="24"/>
              <w:szCs w:val="24"/>
            </w:rPr>
            <w:t>3</w:t>
          </w:r>
          <w:r>
            <w:fldChar w:fldCharType="end"/>
          </w:r>
        </w:p>
        <w:p w14:paraId="00000004" w14:textId="77777777" w:rsidR="00C221B6" w:rsidRDefault="00000000">
          <w:pPr>
            <w:widowControl w:val="0"/>
            <w:tabs>
              <w:tab w:val="right" w:pos="9025"/>
            </w:tabs>
            <w:spacing w:before="60" w:line="240" w:lineRule="auto"/>
            <w:rPr>
              <w:rFonts w:ascii="Times New Roman" w:eastAsia="Times New Roman" w:hAnsi="Times New Roman" w:cs="Times New Roman"/>
              <w:color w:val="000000"/>
              <w:sz w:val="24"/>
              <w:szCs w:val="24"/>
            </w:rPr>
          </w:pPr>
          <w:hyperlink w:anchor="_642u2dij80xn">
            <w:r>
              <w:rPr>
                <w:rFonts w:ascii="Times New Roman" w:eastAsia="Times New Roman" w:hAnsi="Times New Roman" w:cs="Times New Roman"/>
                <w:color w:val="000000"/>
                <w:sz w:val="24"/>
                <w:szCs w:val="24"/>
              </w:rPr>
              <w:t>Reflective Evaluation</w:t>
            </w:r>
            <w:r>
              <w:rPr>
                <w:rFonts w:ascii="Times New Roman" w:eastAsia="Times New Roman" w:hAnsi="Times New Roman" w:cs="Times New Roman"/>
                <w:color w:val="000000"/>
                <w:sz w:val="24"/>
                <w:szCs w:val="24"/>
              </w:rPr>
              <w:tab/>
            </w:r>
          </w:hyperlink>
          <w:r>
            <w:fldChar w:fldCharType="begin"/>
          </w:r>
          <w:r>
            <w:instrText xml:space="preserve"> PAGEREF _642u2dij80xn \h </w:instrText>
          </w:r>
          <w:r>
            <w:fldChar w:fldCharType="separate"/>
          </w:r>
          <w:r>
            <w:rPr>
              <w:rFonts w:ascii="Times New Roman" w:eastAsia="Times New Roman" w:hAnsi="Times New Roman" w:cs="Times New Roman"/>
              <w:sz w:val="24"/>
              <w:szCs w:val="24"/>
            </w:rPr>
            <w:t>4</w:t>
          </w:r>
          <w:r>
            <w:fldChar w:fldCharType="end"/>
          </w:r>
        </w:p>
        <w:p w14:paraId="00000005" w14:textId="77777777" w:rsidR="00C221B6" w:rsidRDefault="00000000">
          <w:pPr>
            <w:widowControl w:val="0"/>
            <w:tabs>
              <w:tab w:val="right" w:pos="9025"/>
            </w:tabs>
            <w:spacing w:before="60" w:line="240" w:lineRule="auto"/>
            <w:ind w:left="360"/>
            <w:rPr>
              <w:rFonts w:ascii="Times New Roman" w:eastAsia="Times New Roman" w:hAnsi="Times New Roman" w:cs="Times New Roman"/>
              <w:color w:val="000000"/>
              <w:sz w:val="24"/>
              <w:szCs w:val="24"/>
            </w:rPr>
          </w:pPr>
          <w:hyperlink w:anchor="_7nstyoj2zr1h">
            <w:r>
              <w:rPr>
                <w:rFonts w:ascii="Times New Roman" w:eastAsia="Times New Roman" w:hAnsi="Times New Roman" w:cs="Times New Roman"/>
                <w:color w:val="000000"/>
                <w:sz w:val="24"/>
                <w:szCs w:val="24"/>
              </w:rPr>
              <w:t>“Principles of Community Engagement”</w:t>
            </w:r>
            <w:r>
              <w:rPr>
                <w:rFonts w:ascii="Times New Roman" w:eastAsia="Times New Roman" w:hAnsi="Times New Roman" w:cs="Times New Roman"/>
                <w:color w:val="000000"/>
                <w:sz w:val="24"/>
                <w:szCs w:val="24"/>
              </w:rPr>
              <w:tab/>
            </w:r>
          </w:hyperlink>
          <w:r>
            <w:fldChar w:fldCharType="begin"/>
          </w:r>
          <w:r>
            <w:instrText xml:space="preserve"> PAGEREF _7nstyoj2zr1h \h </w:instrText>
          </w:r>
          <w:r>
            <w:fldChar w:fldCharType="separate"/>
          </w:r>
          <w:r>
            <w:rPr>
              <w:rFonts w:ascii="Times New Roman" w:eastAsia="Times New Roman" w:hAnsi="Times New Roman" w:cs="Times New Roman"/>
              <w:sz w:val="24"/>
              <w:szCs w:val="24"/>
            </w:rPr>
            <w:t>4</w:t>
          </w:r>
          <w:r>
            <w:fldChar w:fldCharType="end"/>
          </w:r>
        </w:p>
        <w:p w14:paraId="00000006" w14:textId="77777777" w:rsidR="00C221B6" w:rsidRDefault="00000000">
          <w:pPr>
            <w:widowControl w:val="0"/>
            <w:tabs>
              <w:tab w:val="right" w:pos="9025"/>
            </w:tabs>
            <w:spacing w:before="60" w:line="240" w:lineRule="auto"/>
            <w:ind w:left="360"/>
            <w:rPr>
              <w:rFonts w:ascii="Times New Roman" w:eastAsia="Times New Roman" w:hAnsi="Times New Roman" w:cs="Times New Roman"/>
              <w:color w:val="000000"/>
              <w:sz w:val="24"/>
              <w:szCs w:val="24"/>
            </w:rPr>
          </w:pPr>
          <w:hyperlink w:anchor="_ri0izzk41k7p">
            <w:r>
              <w:rPr>
                <w:rFonts w:ascii="Times New Roman" w:eastAsia="Times New Roman" w:hAnsi="Times New Roman" w:cs="Times New Roman"/>
                <w:color w:val="000000"/>
                <w:sz w:val="24"/>
                <w:szCs w:val="24"/>
              </w:rPr>
              <w:t>“Standards in Community Engagement”</w:t>
            </w:r>
            <w:r>
              <w:rPr>
                <w:rFonts w:ascii="Times New Roman" w:eastAsia="Times New Roman" w:hAnsi="Times New Roman" w:cs="Times New Roman"/>
                <w:color w:val="000000"/>
                <w:sz w:val="24"/>
                <w:szCs w:val="24"/>
              </w:rPr>
              <w:tab/>
            </w:r>
          </w:hyperlink>
          <w:r>
            <w:fldChar w:fldCharType="begin"/>
          </w:r>
          <w:r>
            <w:instrText xml:space="preserve"> PAGEREF _ri0izzk41k7p \h </w:instrText>
          </w:r>
          <w:r>
            <w:fldChar w:fldCharType="separate"/>
          </w:r>
          <w:r>
            <w:rPr>
              <w:rFonts w:ascii="Times New Roman" w:eastAsia="Times New Roman" w:hAnsi="Times New Roman" w:cs="Times New Roman"/>
              <w:sz w:val="24"/>
              <w:szCs w:val="24"/>
            </w:rPr>
            <w:t>5</w:t>
          </w:r>
          <w:r>
            <w:fldChar w:fldCharType="end"/>
          </w:r>
        </w:p>
        <w:p w14:paraId="00000007" w14:textId="77777777" w:rsidR="00C221B6" w:rsidRDefault="00000000">
          <w:pPr>
            <w:widowControl w:val="0"/>
            <w:tabs>
              <w:tab w:val="right" w:pos="9025"/>
            </w:tabs>
            <w:spacing w:before="60" w:line="240" w:lineRule="auto"/>
            <w:ind w:left="360"/>
            <w:rPr>
              <w:rFonts w:ascii="Times New Roman" w:eastAsia="Times New Roman" w:hAnsi="Times New Roman" w:cs="Times New Roman"/>
              <w:color w:val="000000"/>
              <w:sz w:val="24"/>
              <w:szCs w:val="24"/>
            </w:rPr>
          </w:pPr>
          <w:hyperlink w:anchor="_3janopg9rrc">
            <w:r>
              <w:rPr>
                <w:rFonts w:ascii="Times New Roman" w:eastAsia="Times New Roman" w:hAnsi="Times New Roman" w:cs="Times New Roman"/>
                <w:color w:val="000000"/>
                <w:sz w:val="24"/>
                <w:szCs w:val="24"/>
              </w:rPr>
              <w:t>“Consultation Methods”</w:t>
            </w:r>
            <w:r>
              <w:rPr>
                <w:rFonts w:ascii="Times New Roman" w:eastAsia="Times New Roman" w:hAnsi="Times New Roman" w:cs="Times New Roman"/>
                <w:color w:val="000000"/>
                <w:sz w:val="24"/>
                <w:szCs w:val="24"/>
              </w:rPr>
              <w:tab/>
            </w:r>
          </w:hyperlink>
          <w:r>
            <w:fldChar w:fldCharType="begin"/>
          </w:r>
          <w:r>
            <w:instrText xml:space="preserve"> PAGEREF _3janopg9rrc \h </w:instrText>
          </w:r>
          <w:r>
            <w:fldChar w:fldCharType="separate"/>
          </w:r>
          <w:r>
            <w:rPr>
              <w:rFonts w:ascii="Times New Roman" w:eastAsia="Times New Roman" w:hAnsi="Times New Roman" w:cs="Times New Roman"/>
              <w:sz w:val="24"/>
              <w:szCs w:val="24"/>
            </w:rPr>
            <w:t>6</w:t>
          </w:r>
          <w:r>
            <w:fldChar w:fldCharType="end"/>
          </w:r>
        </w:p>
        <w:p w14:paraId="00000008" w14:textId="77777777" w:rsidR="00C221B6" w:rsidRDefault="00000000">
          <w:pPr>
            <w:widowControl w:val="0"/>
            <w:tabs>
              <w:tab w:val="right" w:pos="9025"/>
            </w:tabs>
            <w:spacing w:before="60" w:line="240" w:lineRule="auto"/>
            <w:ind w:left="360"/>
            <w:rPr>
              <w:rFonts w:ascii="Times New Roman" w:eastAsia="Times New Roman" w:hAnsi="Times New Roman" w:cs="Times New Roman"/>
              <w:color w:val="000000"/>
              <w:sz w:val="24"/>
              <w:szCs w:val="24"/>
            </w:rPr>
          </w:pPr>
          <w:hyperlink w:anchor="_bazkz4ejve2f">
            <w:r>
              <w:rPr>
                <w:rFonts w:ascii="Times New Roman" w:eastAsia="Times New Roman" w:hAnsi="Times New Roman" w:cs="Times New Roman"/>
                <w:color w:val="000000"/>
                <w:sz w:val="24"/>
                <w:szCs w:val="24"/>
              </w:rPr>
              <w:t xml:space="preserve">“Stakeholder </w:t>
            </w:r>
          </w:hyperlink>
          <w:hyperlink w:anchor="_bazkz4ejve2f">
            <w:r>
              <w:rPr>
                <w:rFonts w:ascii="Times New Roman" w:eastAsia="Times New Roman" w:hAnsi="Times New Roman" w:cs="Times New Roman"/>
                <w:sz w:val="24"/>
                <w:szCs w:val="24"/>
              </w:rPr>
              <w:t>Participation</w:t>
            </w:r>
          </w:hyperlink>
          <w:hyperlink w:anchor="_bazkz4ejve2f">
            <w:r>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r>
          </w:hyperlink>
          <w:r>
            <w:fldChar w:fldCharType="begin"/>
          </w:r>
          <w:r>
            <w:instrText xml:space="preserve"> PAGEREF _bazkz4ejve2f \h </w:instrText>
          </w:r>
          <w:r>
            <w:fldChar w:fldCharType="separate"/>
          </w:r>
          <w:r>
            <w:rPr>
              <w:rFonts w:ascii="Times New Roman" w:eastAsia="Times New Roman" w:hAnsi="Times New Roman" w:cs="Times New Roman"/>
              <w:sz w:val="24"/>
              <w:szCs w:val="24"/>
            </w:rPr>
            <w:t>7</w:t>
          </w:r>
          <w:r>
            <w:fldChar w:fldCharType="end"/>
          </w:r>
        </w:p>
        <w:p w14:paraId="00000009" w14:textId="77777777" w:rsidR="00C221B6" w:rsidRDefault="00000000">
          <w:pPr>
            <w:widowControl w:val="0"/>
            <w:tabs>
              <w:tab w:val="right" w:pos="9025"/>
            </w:tabs>
            <w:spacing w:before="60" w:line="240" w:lineRule="auto"/>
            <w:rPr>
              <w:rFonts w:ascii="Times New Roman" w:eastAsia="Times New Roman" w:hAnsi="Times New Roman" w:cs="Times New Roman"/>
              <w:color w:val="000000"/>
              <w:sz w:val="24"/>
              <w:szCs w:val="24"/>
            </w:rPr>
          </w:pPr>
          <w:hyperlink w:anchor="_owpvq371oth5">
            <w:r>
              <w:rPr>
                <w:rFonts w:ascii="Times New Roman" w:eastAsia="Times New Roman" w:hAnsi="Times New Roman" w:cs="Times New Roman"/>
                <w:color w:val="000000"/>
                <w:sz w:val="24"/>
                <w:szCs w:val="24"/>
              </w:rPr>
              <w:t>Conclusion and Recommendations</w:t>
            </w:r>
            <w:r>
              <w:rPr>
                <w:rFonts w:ascii="Times New Roman" w:eastAsia="Times New Roman" w:hAnsi="Times New Roman" w:cs="Times New Roman"/>
                <w:color w:val="000000"/>
                <w:sz w:val="24"/>
                <w:szCs w:val="24"/>
              </w:rPr>
              <w:tab/>
            </w:r>
          </w:hyperlink>
          <w:r>
            <w:fldChar w:fldCharType="begin"/>
          </w:r>
          <w:r>
            <w:instrText xml:space="preserve"> PAGEREF _owpvq371oth5 \h </w:instrText>
          </w:r>
          <w:r>
            <w:fldChar w:fldCharType="separate"/>
          </w:r>
          <w:r>
            <w:rPr>
              <w:rFonts w:ascii="Times New Roman" w:eastAsia="Times New Roman" w:hAnsi="Times New Roman" w:cs="Times New Roman"/>
              <w:sz w:val="24"/>
              <w:szCs w:val="24"/>
            </w:rPr>
            <w:t>8</w:t>
          </w:r>
          <w:r>
            <w:fldChar w:fldCharType="end"/>
          </w:r>
        </w:p>
        <w:p w14:paraId="0000000A" w14:textId="77777777" w:rsidR="00C221B6" w:rsidRDefault="00000000">
          <w:pPr>
            <w:widowControl w:val="0"/>
            <w:tabs>
              <w:tab w:val="right" w:pos="9025"/>
            </w:tabs>
            <w:spacing w:before="60" w:line="240" w:lineRule="auto"/>
            <w:rPr>
              <w:rFonts w:ascii="Times New Roman" w:eastAsia="Times New Roman" w:hAnsi="Times New Roman" w:cs="Times New Roman"/>
              <w:color w:val="000000"/>
              <w:sz w:val="24"/>
              <w:szCs w:val="24"/>
            </w:rPr>
          </w:pPr>
          <w:hyperlink w:anchor="_60cegd8vrt7">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_60cegd8vrt7 \h </w:instrText>
          </w:r>
          <w:r>
            <w:fldChar w:fldCharType="separate"/>
          </w:r>
          <w:r>
            <w:rPr>
              <w:rFonts w:ascii="Times New Roman" w:eastAsia="Times New Roman" w:hAnsi="Times New Roman" w:cs="Times New Roman"/>
              <w:sz w:val="24"/>
              <w:szCs w:val="24"/>
            </w:rPr>
            <w:t>9</w:t>
          </w:r>
          <w:r>
            <w:fldChar w:fldCharType="end"/>
          </w:r>
          <w:r>
            <w:fldChar w:fldCharType="end"/>
          </w:r>
        </w:p>
      </w:sdtContent>
    </w:sdt>
    <w:p w14:paraId="0000000B" w14:textId="77777777" w:rsidR="00C221B6" w:rsidRDefault="00000000">
      <w:pPr>
        <w:spacing w:line="360" w:lineRule="auto"/>
        <w:jc w:val="center"/>
        <w:rPr>
          <w:rFonts w:ascii="Times New Roman" w:eastAsia="Times New Roman" w:hAnsi="Times New Roman" w:cs="Times New Roman"/>
          <w:b/>
          <w:sz w:val="24"/>
          <w:szCs w:val="24"/>
          <w:u w:val="single"/>
        </w:rPr>
      </w:pPr>
      <w:r>
        <w:br w:type="page"/>
      </w:r>
    </w:p>
    <w:p w14:paraId="0000000C" w14:textId="77777777" w:rsidR="00C221B6" w:rsidRDefault="00000000">
      <w:pPr>
        <w:pStyle w:val="Heading1"/>
      </w:pPr>
      <w:bookmarkStart w:id="0" w:name="_leb0vlkbn1v" w:colFirst="0" w:colLast="0"/>
      <w:bookmarkEnd w:id="0"/>
      <w:r>
        <w:lastRenderedPageBreak/>
        <w:t>Introduction</w:t>
      </w:r>
    </w:p>
    <w:p w14:paraId="0000000D" w14:textId="77777777" w:rsidR="00C221B6"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Community engagement as defined previously, refers to the procedure or actions involving collaboration and teamwork within groups and individuals in the vicinity who come together to execute this collective initiative (Allotey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 benefits of community engagement are not only limited to those groups and individuals but further extend to the surrounding environment and society. These benefits include but are not limited to positive environmental changes in the area, health and well-being of the people, and development and sustainment of empowered communities facilitating the transformation of society (</w:t>
      </w:r>
      <w:r>
        <w:rPr>
          <w:rFonts w:ascii="Times New Roman" w:eastAsia="Times New Roman" w:hAnsi="Times New Roman" w:cs="Times New Roman"/>
          <w:color w:val="222222"/>
          <w:sz w:val="24"/>
          <w:szCs w:val="24"/>
          <w:highlight w:val="white"/>
        </w:rPr>
        <w:t>Zhao and Chen, 2022</w:t>
      </w:r>
      <w:r>
        <w:rPr>
          <w:rFonts w:ascii="Times New Roman" w:eastAsia="Times New Roman" w:hAnsi="Times New Roman" w:cs="Times New Roman"/>
          <w:sz w:val="24"/>
          <w:szCs w:val="24"/>
        </w:rPr>
        <w:t xml:space="preserve">). However, it is important to evaluate and identify the positive and negative aspects going forward with community engagement to take effective measures for continuous improvement. The Havering Council has been facing issues due to </w:t>
      </w:r>
      <w:r>
        <w:rPr>
          <w:rFonts w:ascii="Times New Roman" w:eastAsia="Times New Roman" w:hAnsi="Times New Roman" w:cs="Times New Roman"/>
          <w:b/>
          <w:i/>
          <w:sz w:val="24"/>
          <w:szCs w:val="24"/>
        </w:rPr>
        <w:t>“ULEZ expansion”</w:t>
      </w:r>
      <w:r>
        <w:rPr>
          <w:rFonts w:ascii="Times New Roman" w:eastAsia="Times New Roman" w:hAnsi="Times New Roman" w:cs="Times New Roman"/>
          <w:sz w:val="24"/>
          <w:szCs w:val="24"/>
        </w:rPr>
        <w:t xml:space="preserve"> and the focus is also growing on the </w:t>
      </w:r>
      <w:r>
        <w:rPr>
          <w:rFonts w:ascii="Times New Roman" w:eastAsia="Times New Roman" w:hAnsi="Times New Roman" w:cs="Times New Roman"/>
          <w:b/>
          <w:i/>
          <w:sz w:val="24"/>
          <w:szCs w:val="24"/>
        </w:rPr>
        <w:t>“Far-right white lives matter”</w:t>
      </w:r>
      <w:r>
        <w:rPr>
          <w:rFonts w:ascii="Times New Roman" w:eastAsia="Times New Roman" w:hAnsi="Times New Roman" w:cs="Times New Roman"/>
          <w:sz w:val="24"/>
          <w:szCs w:val="24"/>
        </w:rPr>
        <w:t xml:space="preserve"> initiative. These aspects have been analysed in the previous report to make justified recommendations to improve these circumstances through community engagement. Based on the report, this reflective evaluation will aim to outline and analyse the principles and standards and strategies adopted by the Havering Council and provide recommendations for improvement.  </w:t>
      </w:r>
      <w:r>
        <w:br w:type="page"/>
      </w:r>
    </w:p>
    <w:p w14:paraId="0000000E" w14:textId="77777777" w:rsidR="00C221B6" w:rsidRDefault="00000000">
      <w:pPr>
        <w:pStyle w:val="Heading1"/>
      </w:pPr>
      <w:bookmarkStart w:id="1" w:name="_642u2dij80xn" w:colFirst="0" w:colLast="0"/>
      <w:bookmarkEnd w:id="1"/>
      <w:r>
        <w:lastRenderedPageBreak/>
        <w:t>Reflective Evaluation</w:t>
      </w:r>
    </w:p>
    <w:p w14:paraId="0000000F"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coming together of different groups and individuals is a great way to facilitate community engagement within societies and make positive changes. The report was carried out with great enthusiasm and a significant amount of concentration on the problems and difficulties existing in the London borough of Havering.  As citizens, it is our duty to ensure that the problems and issues prevailing in the community and surrounding areas are brought to light and measures are taken to resolve them. Moreover, the measures and activities also need to be analysed and evaluated to ensure that they do not deviate from their eventual goals and objectives. The benefit and betterment of the community is the most imperative and important objective of community engagement which can only be achieved by attending to the existing problems in the community (</w:t>
      </w:r>
      <w:r>
        <w:rPr>
          <w:rFonts w:ascii="Times New Roman" w:eastAsia="Times New Roman" w:hAnsi="Times New Roman" w:cs="Times New Roman"/>
          <w:color w:val="222222"/>
          <w:sz w:val="24"/>
          <w:szCs w:val="24"/>
          <w:highlight w:val="white"/>
        </w:rPr>
        <w:t xml:space="preserve">Marston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Moreover, I also think that the ideas and principles that the council has adopted to make changes to the existing way of handling issues and challenges need to be scrutinised to bring forth positive developments. </w:t>
      </w:r>
    </w:p>
    <w:p w14:paraId="00000010" w14:textId="77777777" w:rsidR="00C221B6" w:rsidRDefault="00000000">
      <w:pPr>
        <w:pStyle w:val="Heading2"/>
      </w:pPr>
      <w:bookmarkStart w:id="2" w:name="_7nstyoj2zr1h" w:colFirst="0" w:colLast="0"/>
      <w:bookmarkEnd w:id="2"/>
      <w:r>
        <w:t>“Principles of Community Engagement”</w:t>
      </w:r>
    </w:p>
    <w:p w14:paraId="00000011"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and foremost principle while indulging in community engagement is to develop </w:t>
      </w:r>
      <w:r>
        <w:rPr>
          <w:rFonts w:ascii="Times New Roman" w:eastAsia="Times New Roman" w:hAnsi="Times New Roman" w:cs="Times New Roman"/>
          <w:b/>
          <w:i/>
          <w:sz w:val="24"/>
          <w:szCs w:val="24"/>
        </w:rPr>
        <w:t xml:space="preserve">“transparency and trust” </w:t>
      </w:r>
      <w:r>
        <w:rPr>
          <w:rFonts w:ascii="Times New Roman" w:eastAsia="Times New Roman" w:hAnsi="Times New Roman" w:cs="Times New Roman"/>
          <w:sz w:val="24"/>
          <w:szCs w:val="24"/>
        </w:rPr>
        <w:t>with all the stakeholders of the council. I have come to the conclusion after indulging in extensive research that it is imperative to ensure that the stakeholders of the council have unending trust in each other. For this purpose, the activities and initiatives taken by the council should be communicated to everyone to create that trust and a sense of belongingness. However, in doing so, the roles and responsibilities of each stakeholder should also be communicated and adhered to effectively to ensure that the trust is further strengthened. This enables the council to operate with more confidence and collaborate with each other to achieve the goals and objectives that improve the lives of the people within the community (</w:t>
      </w:r>
      <w:r>
        <w:rPr>
          <w:rFonts w:ascii="Times New Roman" w:eastAsia="Times New Roman" w:hAnsi="Times New Roman" w:cs="Times New Roman"/>
          <w:color w:val="222222"/>
          <w:sz w:val="24"/>
          <w:szCs w:val="24"/>
          <w:highlight w:val="white"/>
        </w:rPr>
        <w:t xml:space="preserve">Enria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In addition to this, I also discovered the fact that transparency does not mean completely opening up about each and every activity with great detail. Instead, it means informing the stakeholders regarding crucial points and records relating to the initiatives and proposed concepts. </w:t>
      </w:r>
    </w:p>
    <w:p w14:paraId="00000012"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principle of community engagement found during the evaluation involved the facilitation of </w:t>
      </w:r>
      <w:r>
        <w:rPr>
          <w:rFonts w:ascii="Times New Roman" w:eastAsia="Times New Roman" w:hAnsi="Times New Roman" w:cs="Times New Roman"/>
          <w:b/>
          <w:i/>
          <w:sz w:val="24"/>
          <w:szCs w:val="24"/>
        </w:rPr>
        <w:t xml:space="preserve">“inclusion and diversification” </w:t>
      </w:r>
      <w:r>
        <w:rPr>
          <w:rFonts w:ascii="Times New Roman" w:eastAsia="Times New Roman" w:hAnsi="Times New Roman" w:cs="Times New Roman"/>
          <w:sz w:val="24"/>
          <w:szCs w:val="24"/>
        </w:rPr>
        <w:t>in the council. This is one of the most crucial aspects of community engagement as there are individuals that come together from a wide range of cultures and backgrounds. It is important to maintain a safe and collaborative environment which is only possible by respecting and appreciating the differences in the community (</w:t>
      </w:r>
      <w:r>
        <w:rPr>
          <w:rFonts w:ascii="Times New Roman" w:eastAsia="Times New Roman" w:hAnsi="Times New Roman" w:cs="Times New Roman"/>
          <w:color w:val="222222"/>
          <w:sz w:val="24"/>
          <w:szCs w:val="24"/>
          <w:highlight w:val="white"/>
        </w:rPr>
        <w:t xml:space="preserve">Søraa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I found this principle of community engagement equally important and justified to improve the lives of the people and all the stakeholders and also </w:t>
      </w:r>
      <w:r>
        <w:rPr>
          <w:rFonts w:ascii="Times New Roman" w:eastAsia="Times New Roman" w:hAnsi="Times New Roman" w:cs="Times New Roman"/>
          <w:sz w:val="24"/>
          <w:szCs w:val="24"/>
        </w:rPr>
        <w:lastRenderedPageBreak/>
        <w:t xml:space="preserve">maintain the highest amount of integrity within the council. However, I also came to the revelation that apart from these principles, the aspect of upholding </w:t>
      </w:r>
      <w:r>
        <w:rPr>
          <w:rFonts w:ascii="Times New Roman" w:eastAsia="Times New Roman" w:hAnsi="Times New Roman" w:cs="Times New Roman"/>
          <w:b/>
          <w:i/>
          <w:sz w:val="24"/>
          <w:szCs w:val="24"/>
        </w:rPr>
        <w:t xml:space="preserve">“human rights” </w:t>
      </w:r>
      <w:r>
        <w:rPr>
          <w:rFonts w:ascii="Times New Roman" w:eastAsia="Times New Roman" w:hAnsi="Times New Roman" w:cs="Times New Roman"/>
          <w:sz w:val="24"/>
          <w:szCs w:val="24"/>
        </w:rPr>
        <w:t>within the council and the overall community is equally important. This aspect of community engagement also needs to be respected and adhered to while indulging in actions and activities to develop the community (</w:t>
      </w:r>
      <w:r>
        <w:rPr>
          <w:rFonts w:ascii="Times New Roman" w:eastAsia="Times New Roman" w:hAnsi="Times New Roman" w:cs="Times New Roman"/>
          <w:color w:val="222222"/>
          <w:sz w:val="24"/>
          <w:szCs w:val="24"/>
          <w:highlight w:val="white"/>
        </w:rPr>
        <w:t>Schiavo, 2020</w:t>
      </w:r>
      <w:r>
        <w:rPr>
          <w:rFonts w:ascii="Times New Roman" w:eastAsia="Times New Roman" w:hAnsi="Times New Roman" w:cs="Times New Roman"/>
          <w:sz w:val="24"/>
          <w:szCs w:val="24"/>
        </w:rPr>
        <w:t xml:space="preserve">). The people affected by the proposed ULEZ who are protesting against it should be treated with great focus keeping in mind, these principles to ensure sustainable development of the community. </w:t>
      </w:r>
    </w:p>
    <w:p w14:paraId="00000013" w14:textId="77777777" w:rsidR="00C221B6" w:rsidRDefault="00000000">
      <w:pPr>
        <w:pStyle w:val="Heading2"/>
      </w:pPr>
      <w:bookmarkStart w:id="3" w:name="_ri0izzk41k7p" w:colFirst="0" w:colLast="0"/>
      <w:bookmarkEnd w:id="3"/>
      <w:r>
        <w:t>“Standards in Community Engagement”</w:t>
      </w:r>
    </w:p>
    <w:p w14:paraId="00000014"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come to an understanding that standards in relation to engagement practices in a community in society allow relevant activities to be highly tailored and effective. It enables the outcomes of the practices associated with community engagement in society to be positive. I got the opportunity to learn and expand my knowledge regarding the implications and importance of standards while indulging in community engagement. The adherence to and facilitation of diversity, equality and inclusion within the community of Havering could allow positive changes in the society (</w:t>
      </w:r>
      <w:r>
        <w:rPr>
          <w:rFonts w:ascii="Times New Roman" w:eastAsia="Times New Roman" w:hAnsi="Times New Roman" w:cs="Times New Roman"/>
          <w:color w:val="222222"/>
          <w:sz w:val="24"/>
          <w:szCs w:val="24"/>
          <w:highlight w:val="white"/>
        </w:rPr>
        <w:t xml:space="preserve">McMullen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Moreover, I also learned that adherence to these standards could significantly enhance and improve the positive impacts. On the other hand, I also learned that these standards could make it difficult for the council to function smoothly if they are not implemented efficiently. This report allowed me to come across a wide range of national standards for maintaining the highest quality and efficiency in community engagement. These national standards consist of “good practices” in the community to support and uplift the lives of the people in the community involving planning, support, inclusion, collaboration, communication and more. These standards could enable the Havering Council to include people in the community engagement practices irrespective of their caste, race, religion, colour or any other differences (</w:t>
      </w:r>
      <w:r>
        <w:rPr>
          <w:rFonts w:ascii="Times New Roman" w:eastAsia="Times New Roman" w:hAnsi="Times New Roman" w:cs="Times New Roman"/>
          <w:color w:val="222222"/>
          <w:sz w:val="24"/>
          <w:szCs w:val="24"/>
          <w:highlight w:val="white"/>
        </w:rPr>
        <w:t>Miranda and Song, 2020</w:t>
      </w:r>
      <w:r>
        <w:rPr>
          <w:rFonts w:ascii="Times New Roman" w:eastAsia="Times New Roman" w:hAnsi="Times New Roman" w:cs="Times New Roman"/>
          <w:sz w:val="24"/>
          <w:szCs w:val="24"/>
        </w:rPr>
        <w:t xml:space="preserve">). As the council was determined to take necessary actions to address the problems relating to the protests regarding White lives, the incorporation of these standards within the community practices could be the necessary solution. In terms of researching the standards, I faced difficulty in outlining and identifying their implications and necessity in the engagement activities within the community. However, with thorough monitoring and research on every aspect and standard, I learnt that individually they may not be as effective as they could be collective. Therefore, I can say that the use of these standards altogether in community engagement practices could lead to positive outcomes for the people and society. </w:t>
      </w:r>
    </w:p>
    <w:p w14:paraId="00000015" w14:textId="77777777" w:rsidR="00C221B6" w:rsidRDefault="00000000">
      <w:pPr>
        <w:pStyle w:val="Heading2"/>
      </w:pPr>
      <w:bookmarkStart w:id="4" w:name="_3janopg9rrc" w:colFirst="0" w:colLast="0"/>
      <w:bookmarkEnd w:id="4"/>
      <w:r>
        <w:lastRenderedPageBreak/>
        <w:t>“Consultation Methods”</w:t>
      </w:r>
    </w:p>
    <w:p w14:paraId="00000016"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ensure that the problems faced by the Havering Council regarding the protests against the recent ULEZ and the initiatives associated with While lives matter, relevant consultation methods were analysed by me. The most prominent way of dealing with the problem, that I came across, was open communication on all fronts. For this purpose, the council started a </w:t>
      </w:r>
      <w:r>
        <w:rPr>
          <w:rFonts w:ascii="Times New Roman" w:eastAsia="Times New Roman" w:hAnsi="Times New Roman" w:cs="Times New Roman"/>
          <w:b/>
          <w:i/>
          <w:sz w:val="24"/>
          <w:szCs w:val="24"/>
        </w:rPr>
        <w:t xml:space="preserve">“public consultation survey” </w:t>
      </w:r>
      <w:r>
        <w:rPr>
          <w:rFonts w:ascii="Times New Roman" w:eastAsia="Times New Roman" w:hAnsi="Times New Roman" w:cs="Times New Roman"/>
          <w:sz w:val="24"/>
          <w:szCs w:val="24"/>
        </w:rPr>
        <w:t>that involved an online survey accessible to all the stakeholders. I researched and reached the conclusion that it could facilitate the council’s communication and interaction with the community and allow it to take into account relevant feedback from them and also resolve their problems.  I learned about the benefits of using a survey as it would allow the sharing of feedback based on the problems faced by the members of the community and also provide relevant suggestions. However, it could also be used to spread negative and false information by miscreants to disturb the peaceful environment in the community (</w:t>
      </w:r>
      <w:r>
        <w:rPr>
          <w:rFonts w:ascii="Times New Roman" w:eastAsia="Times New Roman" w:hAnsi="Times New Roman" w:cs="Times New Roman"/>
          <w:color w:val="222222"/>
          <w:sz w:val="24"/>
          <w:szCs w:val="24"/>
          <w:highlight w:val="white"/>
        </w:rPr>
        <w:t xml:space="preserve">Key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This was a problem that I was faced with while researching for the consultation methods, however, these problems can be mediated by filtering out irrelevant feedback from time to time. This led to the benefits of this consultation method outweighing the problems and difficulties. </w:t>
      </w:r>
    </w:p>
    <w:p w14:paraId="00000017"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the survey, </w:t>
      </w:r>
      <w:r>
        <w:rPr>
          <w:rFonts w:ascii="Times New Roman" w:eastAsia="Times New Roman" w:hAnsi="Times New Roman" w:cs="Times New Roman"/>
          <w:b/>
          <w:i/>
          <w:sz w:val="24"/>
          <w:szCs w:val="24"/>
        </w:rPr>
        <w:t xml:space="preserve">“public engagement events” </w:t>
      </w:r>
      <w:r>
        <w:rPr>
          <w:rFonts w:ascii="Times New Roman" w:eastAsia="Times New Roman" w:hAnsi="Times New Roman" w:cs="Times New Roman"/>
          <w:sz w:val="24"/>
          <w:szCs w:val="24"/>
        </w:rPr>
        <w:t>was another highly effective method that was adopted by the council in response to the ULEZ protests. These events were the most suitable and efficient way for members to bring their opinions and messages in front of the entire community and also discuss together the subsequent solutions and actions (</w:t>
      </w:r>
      <w:r>
        <w:rPr>
          <w:rFonts w:ascii="Times New Roman" w:eastAsia="Times New Roman" w:hAnsi="Times New Roman" w:cs="Times New Roman"/>
          <w:color w:val="222222"/>
          <w:sz w:val="24"/>
          <w:szCs w:val="24"/>
        </w:rPr>
        <w:t xml:space="preserve">Esmaeilpoorarabi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I found this method quite intriguing and effective not only in terms of helping the community to fight against problems and challenges but also come together for a social cause. On the other hand, another effective consultation method that I came up with was using </w:t>
      </w:r>
      <w:r>
        <w:rPr>
          <w:rFonts w:ascii="Times New Roman" w:eastAsia="Times New Roman" w:hAnsi="Times New Roman" w:cs="Times New Roman"/>
          <w:b/>
          <w:i/>
          <w:sz w:val="24"/>
          <w:szCs w:val="24"/>
        </w:rPr>
        <w:t>“written submission”</w:t>
      </w:r>
      <w:r>
        <w:rPr>
          <w:rFonts w:ascii="Times New Roman" w:eastAsia="Times New Roman" w:hAnsi="Times New Roman" w:cs="Times New Roman"/>
          <w:sz w:val="24"/>
          <w:szCs w:val="24"/>
        </w:rPr>
        <w:t xml:space="preserve">. Businesses and the citizens in the community could submit their problems in a written format through post or email or another online method. These submissions would be used when making crucial decisions regarding the ULEZ propositions. Besides, </w:t>
      </w:r>
      <w:r>
        <w:rPr>
          <w:rFonts w:ascii="Times New Roman" w:eastAsia="Times New Roman" w:hAnsi="Times New Roman" w:cs="Times New Roman"/>
          <w:b/>
          <w:i/>
          <w:sz w:val="24"/>
          <w:szCs w:val="24"/>
        </w:rPr>
        <w:t>“creating a web page or an online panel”</w:t>
      </w:r>
      <w:r>
        <w:rPr>
          <w:rFonts w:ascii="Times New Roman" w:eastAsia="Times New Roman" w:hAnsi="Times New Roman" w:cs="Times New Roman"/>
          <w:sz w:val="24"/>
          <w:szCs w:val="24"/>
        </w:rPr>
        <w:t xml:space="preserve"> for the resident and businesses to communicate and discuss the problems and challenges could be another effective method of consultation. However, online discussion panels and web pages need to be regularly monitored and evaluated in order to ensure that there are no barriers to communication, technical failure and other difficulties (</w:t>
      </w:r>
      <w:r>
        <w:rPr>
          <w:rFonts w:ascii="Times New Roman" w:eastAsia="Times New Roman" w:hAnsi="Times New Roman" w:cs="Times New Roman"/>
          <w:color w:val="222222"/>
          <w:sz w:val="24"/>
          <w:szCs w:val="24"/>
        </w:rPr>
        <w:t xml:space="preserve">Gilmore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xml:space="preserve">). The final consultation method adopted by the council after a thorough research was through </w:t>
      </w:r>
      <w:r>
        <w:rPr>
          <w:rFonts w:ascii="Times New Roman" w:eastAsia="Times New Roman" w:hAnsi="Times New Roman" w:cs="Times New Roman"/>
          <w:b/>
          <w:i/>
          <w:sz w:val="24"/>
          <w:szCs w:val="24"/>
        </w:rPr>
        <w:t>“media coverage”</w:t>
      </w:r>
      <w:r>
        <w:rPr>
          <w:rFonts w:ascii="Times New Roman" w:eastAsia="Times New Roman" w:hAnsi="Times New Roman" w:cs="Times New Roman"/>
          <w:sz w:val="24"/>
          <w:szCs w:val="24"/>
        </w:rPr>
        <w:t xml:space="preserve"> which allowed the council to engage in interviews with the members, press releases and more. </w:t>
      </w:r>
    </w:p>
    <w:p w14:paraId="00000018"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protests and issues involving </w:t>
      </w:r>
      <w:r>
        <w:rPr>
          <w:rFonts w:ascii="Times New Roman" w:eastAsia="Times New Roman" w:hAnsi="Times New Roman" w:cs="Times New Roman"/>
          <w:b/>
          <w:i/>
          <w:sz w:val="24"/>
          <w:szCs w:val="24"/>
        </w:rPr>
        <w:t>“Far-right white lives matter”</w:t>
      </w:r>
      <w:r>
        <w:rPr>
          <w:rFonts w:ascii="Times New Roman" w:eastAsia="Times New Roman" w:hAnsi="Times New Roman" w:cs="Times New Roman"/>
          <w:sz w:val="24"/>
          <w:szCs w:val="24"/>
        </w:rPr>
        <w:t xml:space="preserve"> in the Council of Havering were addressed through the consultation methods of involving the state holders of the community and bringing them together. The most effective method adopted by the council was the organisation of </w:t>
      </w:r>
      <w:r>
        <w:rPr>
          <w:rFonts w:ascii="Times New Roman" w:eastAsia="Times New Roman" w:hAnsi="Times New Roman" w:cs="Times New Roman"/>
          <w:b/>
          <w:i/>
          <w:sz w:val="24"/>
          <w:szCs w:val="24"/>
        </w:rPr>
        <w:t>“public meetings and focus groups”</w:t>
      </w:r>
      <w:r>
        <w:rPr>
          <w:rFonts w:ascii="Times New Roman" w:eastAsia="Times New Roman" w:hAnsi="Times New Roman" w:cs="Times New Roman"/>
          <w:sz w:val="24"/>
          <w:szCs w:val="24"/>
        </w:rPr>
        <w:t xml:space="preserve"> that would allow open engagement through surveys, discussion forums and more between the community members. This method would allow the members to showcase their opinions and thoughts regarding the issue and also discuss relevant and reliable solutions. On the other hand, it could also result in escalating the issue and violence among the members given the council is not vigilant enough to control and handle them properly (</w:t>
      </w:r>
      <w:r>
        <w:rPr>
          <w:rFonts w:ascii="Times New Roman" w:eastAsia="Times New Roman" w:hAnsi="Times New Roman" w:cs="Times New Roman"/>
          <w:color w:val="222222"/>
          <w:sz w:val="24"/>
          <w:szCs w:val="24"/>
        </w:rPr>
        <w:t xml:space="preserve">Pratt </w:t>
      </w:r>
      <w:r>
        <w:rPr>
          <w:rFonts w:ascii="Times New Roman" w:eastAsia="Times New Roman" w:hAnsi="Times New Roman" w:cs="Times New Roman"/>
          <w:i/>
          <w:color w:val="222222"/>
          <w:sz w:val="24"/>
          <w:szCs w:val="24"/>
        </w:rPr>
        <w:t xml:space="preserve">et al., </w:t>
      </w:r>
      <w:r>
        <w:rPr>
          <w:rFonts w:ascii="Times New Roman" w:eastAsia="Times New Roman" w:hAnsi="Times New Roman" w:cs="Times New Roman"/>
          <w:color w:val="222222"/>
          <w:sz w:val="24"/>
          <w:szCs w:val="24"/>
        </w:rPr>
        <w:t>2020</w:t>
      </w:r>
      <w:r>
        <w:rPr>
          <w:rFonts w:ascii="Times New Roman" w:eastAsia="Times New Roman" w:hAnsi="Times New Roman" w:cs="Times New Roman"/>
          <w:sz w:val="24"/>
          <w:szCs w:val="24"/>
        </w:rPr>
        <w:t>). In my opinion, the council needs to ensure that all the stakeholders are on the same page while discussing the problems and issues. This can be done by providing them with equal opportunities to make their feelings known. The council can also use</w:t>
      </w:r>
      <w:r>
        <w:rPr>
          <w:rFonts w:ascii="Times New Roman" w:eastAsia="Times New Roman" w:hAnsi="Times New Roman" w:cs="Times New Roman"/>
          <w:b/>
          <w:i/>
          <w:sz w:val="24"/>
          <w:szCs w:val="24"/>
        </w:rPr>
        <w:t xml:space="preserve"> “social media platforms, online surveys and blogs”</w:t>
      </w:r>
      <w:r>
        <w:rPr>
          <w:rFonts w:ascii="Times New Roman" w:eastAsia="Times New Roman" w:hAnsi="Times New Roman" w:cs="Times New Roman"/>
          <w:sz w:val="24"/>
          <w:szCs w:val="24"/>
        </w:rPr>
        <w:t xml:space="preserve"> to reach out to a large number of people to obtain their opinions and suggestions. Similarly, just like the problem of ULEZ protests, the council can also use media coverage in this case. It can use interviews and press releases as well as writings and articles and more to make its point known to the community and clear any misunderstanding regarding the issue.</w:t>
      </w:r>
    </w:p>
    <w:p w14:paraId="00000019" w14:textId="77777777" w:rsidR="00C221B6" w:rsidRDefault="00000000">
      <w:pPr>
        <w:pStyle w:val="Heading2"/>
      </w:pPr>
      <w:bookmarkStart w:id="5" w:name="_bazkz4ejve2f" w:colFirst="0" w:colLast="0"/>
      <w:bookmarkEnd w:id="5"/>
      <w:r>
        <w:t>“Stakeholder participation”</w:t>
      </w:r>
    </w:p>
    <w:p w14:paraId="0000001A"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research for this report, I found out that the stakeholders involved all the residents, local companies, businesses, charities, environmental organisations and more. The stakeholders were all against pollution and its negative consequences on the environment of having and so they came together and protested against this problem. I also found out that the council was also facing the problem of far-right white lives matter where a citizen of the community was murdered and the members demanded justice against him. Therefore, it can be seen from the report that the participation of the stakeholders in matters of the community was highly encouraging and determinant (</w:t>
      </w:r>
      <w:r>
        <w:rPr>
          <w:rFonts w:ascii="Times New Roman" w:eastAsia="Times New Roman" w:hAnsi="Times New Roman" w:cs="Times New Roman"/>
          <w:color w:val="222222"/>
          <w:sz w:val="24"/>
          <w:szCs w:val="24"/>
          <w:highlight w:val="white"/>
        </w:rPr>
        <w:t>Benites-Lazaro and Mello-Théry, 2019)</w:t>
      </w:r>
      <w:r>
        <w:rPr>
          <w:rFonts w:ascii="Times New Roman" w:eastAsia="Times New Roman" w:hAnsi="Times New Roman" w:cs="Times New Roman"/>
          <w:sz w:val="24"/>
          <w:szCs w:val="24"/>
        </w:rPr>
        <w:t>. In my opinion, community engagement in the council of Havering is highly facilitated by this stakeholder participation.</w:t>
      </w:r>
    </w:p>
    <w:p w14:paraId="0000001B" w14:textId="77777777" w:rsidR="00C221B6" w:rsidRDefault="00000000">
      <w:pPr>
        <w:spacing w:line="360" w:lineRule="auto"/>
        <w:jc w:val="both"/>
        <w:rPr>
          <w:rFonts w:ascii="Times New Roman" w:eastAsia="Times New Roman" w:hAnsi="Times New Roman" w:cs="Times New Roman"/>
          <w:b/>
          <w:sz w:val="24"/>
          <w:szCs w:val="24"/>
        </w:rPr>
      </w:pPr>
      <w:r>
        <w:br w:type="page"/>
      </w:r>
    </w:p>
    <w:p w14:paraId="0000001C" w14:textId="77777777" w:rsidR="00C221B6" w:rsidRDefault="00000000">
      <w:pPr>
        <w:pStyle w:val="Heading1"/>
      </w:pPr>
      <w:bookmarkStart w:id="6" w:name="_owpvq371oth5" w:colFirst="0" w:colLast="0"/>
      <w:bookmarkEnd w:id="6"/>
      <w:r>
        <w:lastRenderedPageBreak/>
        <w:t xml:space="preserve">Conclusion and Recommendations   </w:t>
      </w:r>
    </w:p>
    <w:p w14:paraId="0000001D" w14:textId="77777777" w:rsidR="00C221B6"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reflected evaluation has provided and covalent of the methods and techniques adopted by the Havering Council in order to respond to the problems and issues raised during community engagement practices. The two major incidents for which the evaluation was carried out consisted of ULEZ increase for reducing pollution from vehicles in the area and subsequent environmental impact. It also included the protests and cry for justice against the murderers of a member of the community by the name of Joide Chesney. This problem was named the far-right white lives matter issue and both of these problems were very significant and informative for me. The reflective evaluation has enabled me to better understand the methods and techniques adopted by the Council and also allowed me to identify gaps and areas of improvement. The following recommendations can be implemented based on my reflective evaluation by the Havering Council. </w:t>
      </w:r>
    </w:p>
    <w:p w14:paraId="0000001E" w14:textId="77777777" w:rsidR="00C221B6"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make sure that the problem with the daily charge of </w:t>
      </w:r>
      <w:r>
        <w:rPr>
          <w:rFonts w:ascii="Times New Roman" w:eastAsia="Times New Roman" w:hAnsi="Times New Roman" w:cs="Times New Roman"/>
          <w:color w:val="0E101A"/>
          <w:sz w:val="24"/>
          <w:szCs w:val="24"/>
        </w:rPr>
        <w:t>£12.50 is addressed, the council needs to inform all the stakeholders about the consequences and negative impacts of vehicle pollution on the environment. If the members of the community are not on the same page regarding the issues and problems, effective implementation of solutions could become far more challenging (</w:t>
      </w:r>
      <w:r>
        <w:rPr>
          <w:rFonts w:ascii="Times New Roman" w:eastAsia="Times New Roman" w:hAnsi="Times New Roman" w:cs="Times New Roman"/>
          <w:color w:val="222222"/>
          <w:sz w:val="24"/>
          <w:szCs w:val="24"/>
          <w:highlight w:val="white"/>
        </w:rPr>
        <w:t xml:space="preserve">McMullen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rPr>
        <w:t xml:space="preserve">). Therefore, I think the stakeholders should be given a briefing regarding both the short and long-term negative impacts of vehicle pollution through the organisation of a specific public event. The involvement of the government and famous personalities to deliver the message could further increase the implications and impact of the event on the stakeholders. </w:t>
      </w:r>
    </w:p>
    <w:p w14:paraId="0000001F" w14:textId="77777777" w:rsidR="00C221B6"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Another effective way of solving the problem is through a new programme to use pollution-less vehicles. This drive could be implemented for the long-term beginning with cycles and reaching up to electric vehicles. </w:t>
      </w:r>
    </w:p>
    <w:p w14:paraId="00000020" w14:textId="77777777" w:rsidR="00C221B6" w:rsidRDefault="00000000">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order to address the issue of the murder and resulting protests, the council could use a vigilant framework to communicate the details regarding judicial proceedings to community members. This would keep them informed of the stages and proceedings of the court and enable them to understand how the judiciary works (</w:t>
      </w:r>
      <w:r>
        <w:rPr>
          <w:rFonts w:ascii="Times New Roman" w:eastAsia="Times New Roman" w:hAnsi="Times New Roman" w:cs="Times New Roman"/>
          <w:color w:val="222222"/>
          <w:sz w:val="24"/>
          <w:szCs w:val="24"/>
          <w:highlight w:val="white"/>
        </w:rPr>
        <w:t xml:space="preserve">Søraa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color w:val="0E101A"/>
          <w:sz w:val="24"/>
          <w:szCs w:val="24"/>
        </w:rPr>
        <w:t>). Finally, it would also slow down their anger after seeing justice being handed down eventually.</w:t>
      </w:r>
    </w:p>
    <w:p w14:paraId="00000021" w14:textId="77777777" w:rsidR="00C221B6" w:rsidRDefault="00000000">
      <w:pPr>
        <w:spacing w:line="360" w:lineRule="auto"/>
        <w:jc w:val="both"/>
        <w:rPr>
          <w:rFonts w:ascii="Times New Roman" w:eastAsia="Times New Roman" w:hAnsi="Times New Roman" w:cs="Times New Roman"/>
          <w:b/>
          <w:sz w:val="24"/>
          <w:szCs w:val="24"/>
        </w:rPr>
      </w:pPr>
      <w:r>
        <w:br w:type="page"/>
      </w:r>
    </w:p>
    <w:p w14:paraId="00000022" w14:textId="77777777" w:rsidR="00C221B6" w:rsidRDefault="00000000">
      <w:pPr>
        <w:pStyle w:val="Heading1"/>
      </w:pPr>
      <w:bookmarkStart w:id="7" w:name="_60cegd8vrt7" w:colFirst="0" w:colLast="0"/>
      <w:bookmarkEnd w:id="7"/>
      <w:r>
        <w:lastRenderedPageBreak/>
        <w:t>References</w:t>
      </w:r>
    </w:p>
    <w:p w14:paraId="00000023"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Allotey, P., Tan, D.T., Kirby, T. and Tan, L.H., (2019) Community engagement in support of moving toward universal health coverage. </w:t>
      </w:r>
      <w:r>
        <w:rPr>
          <w:rFonts w:ascii="Times New Roman" w:eastAsia="Times New Roman" w:hAnsi="Times New Roman" w:cs="Times New Roman"/>
          <w:i/>
          <w:color w:val="222222"/>
          <w:sz w:val="24"/>
          <w:szCs w:val="24"/>
          <w:highlight w:val="white"/>
        </w:rPr>
        <w:t>Health Systems &amp; Reform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(1), pp.66-77.</w:t>
      </w:r>
    </w:p>
    <w:p w14:paraId="00000024"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Zhao, X. and Chen, Y.R.R., (2022) How brand-stakeholder dialogue drives brand-hosted community engagement on social media: A mixed-methods approach. </w:t>
      </w:r>
      <w:r>
        <w:rPr>
          <w:rFonts w:ascii="Times New Roman" w:eastAsia="Times New Roman" w:hAnsi="Times New Roman" w:cs="Times New Roman"/>
          <w:i/>
          <w:color w:val="222222"/>
          <w:sz w:val="24"/>
          <w:szCs w:val="24"/>
          <w:highlight w:val="white"/>
        </w:rPr>
        <w:t>Computers in Human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131</w:t>
      </w:r>
      <w:r>
        <w:rPr>
          <w:rFonts w:ascii="Times New Roman" w:eastAsia="Times New Roman" w:hAnsi="Times New Roman" w:cs="Times New Roman"/>
          <w:color w:val="222222"/>
          <w:sz w:val="24"/>
          <w:szCs w:val="24"/>
          <w:highlight w:val="white"/>
        </w:rPr>
        <w:t>, p.107208.</w:t>
      </w:r>
    </w:p>
    <w:p w14:paraId="00000025"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Marston, C., Renedo, A. and Miles, S., (2020) Community participation is crucial in a pandemic. </w:t>
      </w:r>
      <w:r>
        <w:rPr>
          <w:rFonts w:ascii="Times New Roman" w:eastAsia="Times New Roman" w:hAnsi="Times New Roman" w:cs="Times New Roman"/>
          <w:i/>
          <w:color w:val="222222"/>
          <w:sz w:val="24"/>
          <w:szCs w:val="24"/>
          <w:highlight w:val="white"/>
        </w:rPr>
        <w:t>The Lancet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395</w:t>
      </w:r>
      <w:r>
        <w:rPr>
          <w:rFonts w:ascii="Times New Roman" w:eastAsia="Times New Roman" w:hAnsi="Times New Roman" w:cs="Times New Roman"/>
          <w:color w:val="222222"/>
          <w:sz w:val="24"/>
          <w:szCs w:val="24"/>
          <w:highlight w:val="white"/>
        </w:rPr>
        <w:t>(10238), pp.1676-1678.</w:t>
      </w:r>
    </w:p>
    <w:p w14:paraId="00000026"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Enria, L., Waterlow, N., Rogers, N.T., Brindle, H., Lal, S., Eggo, R.M., Lees, S. and Roberts, C.H., (2021) Trust and transparency in times of crisis: Results from an online survey during the first wave (April 2020) of the COVID-19 epidemic in the UK. </w:t>
      </w:r>
      <w:r>
        <w:rPr>
          <w:rFonts w:ascii="Times New Roman" w:eastAsia="Times New Roman" w:hAnsi="Times New Roman" w:cs="Times New Roman"/>
          <w:i/>
          <w:color w:val="222222"/>
          <w:sz w:val="24"/>
          <w:szCs w:val="24"/>
          <w:highlight w:val="white"/>
        </w:rPr>
        <w:t>PloS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(2), p.e0239247.</w:t>
      </w:r>
    </w:p>
    <w:p w14:paraId="00000027"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Søraa, R.A., Anfinsen, M., Foulds, C., Korsnes, M., Lagesen, V., Robison, R. and Ryghaug, M., (2020) Diversifying diversity: Inclusive engagement, intersectionality, and gender identity in a European Social Sciences and Humanities Energy research project. </w:t>
      </w:r>
      <w:r>
        <w:rPr>
          <w:rFonts w:ascii="Times New Roman" w:eastAsia="Times New Roman" w:hAnsi="Times New Roman" w:cs="Times New Roman"/>
          <w:i/>
          <w:color w:val="222222"/>
          <w:sz w:val="24"/>
          <w:szCs w:val="24"/>
          <w:highlight w:val="white"/>
        </w:rPr>
        <w:t>Energy Research &amp;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 p.101380.</w:t>
      </w:r>
    </w:p>
    <w:p w14:paraId="00000028"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Schiavo, R., (2020) Advocacy, community engagement and cross-sectoral collaborations as key strategies during COVID-19 response and beyond: New directions for a new decade. </w:t>
      </w:r>
      <w:r>
        <w:rPr>
          <w:rFonts w:ascii="Times New Roman" w:eastAsia="Times New Roman" w:hAnsi="Times New Roman" w:cs="Times New Roman"/>
          <w:i/>
          <w:color w:val="222222"/>
          <w:sz w:val="24"/>
          <w:szCs w:val="24"/>
          <w:highlight w:val="white"/>
        </w:rPr>
        <w:t>Journal of Communication in Healthcare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pp.1-5.</w:t>
      </w:r>
    </w:p>
    <w:p w14:paraId="00000029" w14:textId="77777777" w:rsidR="00C221B6"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McMullen, J.M., George, M., Ingman, B.C., Pulling Kuhn, A., Graham, D.J. and Carson, R.L., (2020) A systematic review of community engagement outcomes research in school‐based health interventions. </w:t>
      </w:r>
      <w:r>
        <w:rPr>
          <w:rFonts w:ascii="Times New Roman" w:eastAsia="Times New Roman" w:hAnsi="Times New Roman" w:cs="Times New Roman"/>
          <w:i/>
          <w:color w:val="222222"/>
          <w:sz w:val="24"/>
          <w:szCs w:val="24"/>
          <w:highlight w:val="white"/>
        </w:rPr>
        <w:t>Journal of School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90</w:t>
      </w:r>
      <w:r>
        <w:rPr>
          <w:rFonts w:ascii="Times New Roman" w:eastAsia="Times New Roman" w:hAnsi="Times New Roman" w:cs="Times New Roman"/>
          <w:color w:val="222222"/>
          <w:sz w:val="24"/>
          <w:szCs w:val="24"/>
          <w:highlight w:val="white"/>
        </w:rPr>
        <w:t>(12), pp.985-994.</w:t>
      </w:r>
    </w:p>
    <w:p w14:paraId="0000002A" w14:textId="77777777" w:rsidR="00C221B6"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Miranda, A.H. and Song, S.Y., (2020) Promoting community engagement and action research. In </w:t>
      </w:r>
      <w:r>
        <w:rPr>
          <w:rFonts w:ascii="Times New Roman" w:eastAsia="Times New Roman" w:hAnsi="Times New Roman" w:cs="Times New Roman"/>
          <w:i/>
          <w:color w:val="222222"/>
          <w:sz w:val="24"/>
          <w:szCs w:val="24"/>
        </w:rPr>
        <w:t>Handbook of university and professional careers in school psychology</w:t>
      </w:r>
      <w:r>
        <w:rPr>
          <w:rFonts w:ascii="Times New Roman" w:eastAsia="Times New Roman" w:hAnsi="Times New Roman" w:cs="Times New Roman"/>
          <w:color w:val="222222"/>
          <w:sz w:val="24"/>
          <w:szCs w:val="24"/>
        </w:rPr>
        <w:t xml:space="preserve"> (pp. 457-467). Routledge.</w:t>
      </w:r>
    </w:p>
    <w:p w14:paraId="0000002B" w14:textId="77777777" w:rsidR="00C221B6"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Key, K.D., Furr-Holden, D., Lewis, E.Y., Cunningham, R., Zimmerman, M.A., Johnson-Lawrence, V. and Selig, S., (2019) The continuum of community engagement in research: A roadmap for understanding and assessing progress. </w:t>
      </w:r>
      <w:r>
        <w:rPr>
          <w:rFonts w:ascii="Times New Roman" w:eastAsia="Times New Roman" w:hAnsi="Times New Roman" w:cs="Times New Roman"/>
          <w:i/>
          <w:color w:val="222222"/>
          <w:sz w:val="24"/>
          <w:szCs w:val="24"/>
        </w:rPr>
        <w:t>Progress in community health partnerships: research, education, and action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13</w:t>
      </w:r>
      <w:r>
        <w:rPr>
          <w:rFonts w:ascii="Times New Roman" w:eastAsia="Times New Roman" w:hAnsi="Times New Roman" w:cs="Times New Roman"/>
          <w:color w:val="222222"/>
          <w:sz w:val="24"/>
          <w:szCs w:val="24"/>
        </w:rPr>
        <w:t>(4), pp.427-434.</w:t>
      </w:r>
    </w:p>
    <w:p w14:paraId="0000002C" w14:textId="77777777" w:rsidR="00C221B6"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Esmaeilpoorarabi, N., Yigitcanlar, T., Kamruzzaman, M. and Guaralda, M., (2020) How can an enhanced community engagement with innovation districts be established? Evidence from Sydney, Melbourne and Brisbane. </w:t>
      </w:r>
      <w:r>
        <w:rPr>
          <w:rFonts w:ascii="Times New Roman" w:eastAsia="Times New Roman" w:hAnsi="Times New Roman" w:cs="Times New Roman"/>
          <w:i/>
          <w:color w:val="222222"/>
          <w:sz w:val="24"/>
          <w:szCs w:val="24"/>
        </w:rPr>
        <w:t>Cities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96</w:t>
      </w:r>
      <w:r>
        <w:rPr>
          <w:rFonts w:ascii="Times New Roman" w:eastAsia="Times New Roman" w:hAnsi="Times New Roman" w:cs="Times New Roman"/>
          <w:color w:val="222222"/>
          <w:sz w:val="24"/>
          <w:szCs w:val="24"/>
        </w:rPr>
        <w:t>, p.102430.</w:t>
      </w:r>
    </w:p>
    <w:p w14:paraId="0000002D" w14:textId="77777777" w:rsidR="00C221B6"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Gilmore, B., Ndejjo, R., Tchetchia, A., De Claro, V., Mago, E., Lopes, C. and Bhattacharyya, S., (2020) Community engagement for COVID-19 prevention and control: a rapid evidence synthesis. </w:t>
      </w:r>
      <w:r>
        <w:rPr>
          <w:rFonts w:ascii="Times New Roman" w:eastAsia="Times New Roman" w:hAnsi="Times New Roman" w:cs="Times New Roman"/>
          <w:i/>
          <w:color w:val="222222"/>
          <w:sz w:val="24"/>
          <w:szCs w:val="24"/>
        </w:rPr>
        <w:t>BMJ global health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(10), p.e003188.</w:t>
      </w:r>
    </w:p>
    <w:p w14:paraId="0000002E" w14:textId="77777777" w:rsidR="00C221B6"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Pratt, B., Cheah, P.Y. and Marsh, V., (2020) Solidarity and community engagement in global health research. </w:t>
      </w:r>
      <w:r>
        <w:rPr>
          <w:rFonts w:ascii="Times New Roman" w:eastAsia="Times New Roman" w:hAnsi="Times New Roman" w:cs="Times New Roman"/>
          <w:i/>
          <w:color w:val="222222"/>
          <w:sz w:val="24"/>
          <w:szCs w:val="24"/>
        </w:rPr>
        <w:t>The American Journal of Bioethics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20</w:t>
      </w:r>
      <w:r>
        <w:rPr>
          <w:rFonts w:ascii="Times New Roman" w:eastAsia="Times New Roman" w:hAnsi="Times New Roman" w:cs="Times New Roman"/>
          <w:color w:val="222222"/>
          <w:sz w:val="24"/>
          <w:szCs w:val="24"/>
        </w:rPr>
        <w:t>(5), pp.43-56.</w:t>
      </w:r>
    </w:p>
    <w:p w14:paraId="0000002F" w14:textId="77777777" w:rsidR="00C221B6" w:rsidRDefault="00000000">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Benites-Lazaro, L.L. and Mello-Théry, N.A., (2019) Empowering communities? Local stakeholders’ participation in the clean development mechanism in Latin America. </w:t>
      </w:r>
      <w:r>
        <w:rPr>
          <w:rFonts w:ascii="Times New Roman" w:eastAsia="Times New Roman" w:hAnsi="Times New Roman" w:cs="Times New Roman"/>
          <w:i/>
          <w:color w:val="222222"/>
          <w:sz w:val="24"/>
          <w:szCs w:val="24"/>
          <w:highlight w:val="white"/>
        </w:rPr>
        <w:t>World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114</w:t>
      </w:r>
      <w:r>
        <w:rPr>
          <w:rFonts w:ascii="Times New Roman" w:eastAsia="Times New Roman" w:hAnsi="Times New Roman" w:cs="Times New Roman"/>
          <w:color w:val="222222"/>
          <w:sz w:val="24"/>
          <w:szCs w:val="24"/>
          <w:highlight w:val="white"/>
        </w:rPr>
        <w:t>, pp.254-266.</w:t>
      </w:r>
    </w:p>
    <w:sectPr w:rsidR="00C221B6">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52D10" w14:textId="77777777" w:rsidR="001A2F1A" w:rsidRDefault="001A2F1A">
      <w:pPr>
        <w:spacing w:line="240" w:lineRule="auto"/>
      </w:pPr>
      <w:r>
        <w:separator/>
      </w:r>
    </w:p>
  </w:endnote>
  <w:endnote w:type="continuationSeparator" w:id="0">
    <w:p w14:paraId="7D06ED5E" w14:textId="77777777" w:rsidR="001A2F1A" w:rsidRDefault="001A2F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1E93A1D5" w:rsidR="00C221B6" w:rsidRDefault="00000000">
    <w:pPr>
      <w:jc w:val="right"/>
    </w:pPr>
    <w:r>
      <w:fldChar w:fldCharType="begin"/>
    </w:r>
    <w:r>
      <w:instrText>PAGE</w:instrText>
    </w:r>
    <w:r>
      <w:fldChar w:fldCharType="separate"/>
    </w:r>
    <w:r w:rsidR="00DA717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18C71" w14:textId="77777777" w:rsidR="001A2F1A" w:rsidRDefault="001A2F1A">
      <w:pPr>
        <w:spacing w:line="240" w:lineRule="auto"/>
      </w:pPr>
      <w:r>
        <w:separator/>
      </w:r>
    </w:p>
  </w:footnote>
  <w:footnote w:type="continuationSeparator" w:id="0">
    <w:p w14:paraId="548267FB" w14:textId="77777777" w:rsidR="001A2F1A" w:rsidRDefault="001A2F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81D42"/>
    <w:multiLevelType w:val="multilevel"/>
    <w:tmpl w:val="43D484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999328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1B6"/>
    <w:rsid w:val="001A2F1A"/>
    <w:rsid w:val="00C221B6"/>
    <w:rsid w:val="00D94CC9"/>
    <w:rsid w:val="00DA717A"/>
    <w:rsid w:val="00E96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8F7B31"/>
  <w15:docId w15:val="{3F2E7F4D-8B72-BE4C-8774-CB76A401B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2796</Words>
  <Characters>15938</Characters>
  <Application>Microsoft Office Word</Application>
  <DocSecurity>0</DocSecurity>
  <Lines>132</Lines>
  <Paragraphs>37</Paragraphs>
  <ScaleCrop>false</ScaleCrop>
  <Company/>
  <LinksUpToDate>false</LinksUpToDate>
  <CharactersWithSpaces>18697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Bazatin</cp:lastModifiedBy>
  <cp:revision>3</cp:revision>
  <dcterms:created xsi:type="dcterms:W3CDTF">2023-05-07T09:43:00Z</dcterms:created>
  <dcterms:modified xsi:type="dcterms:W3CDTF">2023-05-07T09:56:00Z</dcterms:modified>
</cp:coreProperties>
</file>