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00CC4" w14:textId="77777777" w:rsidR="000B743B" w:rsidRPr="001E6459" w:rsidRDefault="000B743B" w:rsidP="00BF7815">
      <w:pPr>
        <w:jc w:val="both"/>
        <w:rPr>
          <w:rFonts w:ascii="Arial" w:hAnsi="Arial" w:cs="Arial"/>
          <w:szCs w:val="22"/>
        </w:rPr>
      </w:pPr>
    </w:p>
    <w:p w14:paraId="7FFD3B33" w14:textId="77777777" w:rsidR="00DA08AF" w:rsidRPr="001E6459" w:rsidRDefault="00DA08AF" w:rsidP="00BF7815">
      <w:pPr>
        <w:jc w:val="both"/>
        <w:rPr>
          <w:rFonts w:ascii="Arial" w:hAnsi="Arial" w:cs="Arial"/>
          <w:szCs w:val="22"/>
        </w:rPr>
      </w:pPr>
    </w:p>
    <w:p w14:paraId="6B7D42A8" w14:textId="6E19540F" w:rsidR="00DA08AF" w:rsidRPr="001E6459" w:rsidRDefault="00DA08AF" w:rsidP="00DA08AF">
      <w:pPr>
        <w:jc w:val="center"/>
        <w:rPr>
          <w:rFonts w:ascii="Arial" w:hAnsi="Arial" w:cs="Arial"/>
          <w:b/>
          <w:bCs/>
          <w:sz w:val="32"/>
          <w:szCs w:val="36"/>
        </w:rPr>
      </w:pPr>
      <w:r w:rsidRPr="001E6459">
        <w:rPr>
          <w:rFonts w:ascii="Arial" w:hAnsi="Arial" w:cs="Arial"/>
          <w:b/>
          <w:bCs/>
          <w:sz w:val="32"/>
          <w:szCs w:val="36"/>
        </w:rPr>
        <w:t>Name</w:t>
      </w:r>
      <w:r w:rsidR="00317A74" w:rsidRPr="001E6459">
        <w:rPr>
          <w:rFonts w:ascii="Arial" w:hAnsi="Arial" w:cs="Arial"/>
          <w:b/>
          <w:bCs/>
          <w:sz w:val="32"/>
          <w:szCs w:val="36"/>
        </w:rPr>
        <w:t>: Anisah Bi</w:t>
      </w:r>
    </w:p>
    <w:p w14:paraId="6EECFC67" w14:textId="1DC239B3" w:rsidR="00DA08AF" w:rsidRPr="001E6459" w:rsidRDefault="00DA08AF" w:rsidP="00DA08AF">
      <w:pPr>
        <w:jc w:val="center"/>
        <w:rPr>
          <w:rFonts w:ascii="Arial" w:hAnsi="Arial" w:cs="Arial"/>
          <w:b/>
          <w:bCs/>
          <w:sz w:val="32"/>
          <w:szCs w:val="36"/>
        </w:rPr>
      </w:pPr>
      <w:r w:rsidRPr="001E6459">
        <w:rPr>
          <w:rFonts w:ascii="Arial" w:hAnsi="Arial" w:cs="Arial"/>
          <w:b/>
          <w:bCs/>
          <w:sz w:val="32"/>
          <w:szCs w:val="36"/>
        </w:rPr>
        <w:t>Student Number</w:t>
      </w:r>
      <w:r w:rsidR="00317A74" w:rsidRPr="001E6459">
        <w:rPr>
          <w:rFonts w:ascii="Arial" w:hAnsi="Arial" w:cs="Arial"/>
          <w:b/>
          <w:bCs/>
          <w:sz w:val="32"/>
          <w:szCs w:val="36"/>
        </w:rPr>
        <w:t>: 2432005</w:t>
      </w:r>
    </w:p>
    <w:p w14:paraId="7D3F864A" w14:textId="555E8F8D" w:rsidR="00DA08AF" w:rsidRPr="001E6459" w:rsidRDefault="00DA08AF" w:rsidP="00DA08AF">
      <w:pPr>
        <w:jc w:val="center"/>
        <w:rPr>
          <w:rFonts w:ascii="Arial" w:hAnsi="Arial" w:cs="Arial"/>
          <w:b/>
          <w:bCs/>
          <w:sz w:val="32"/>
          <w:szCs w:val="36"/>
        </w:rPr>
      </w:pPr>
      <w:r w:rsidRPr="001E6459">
        <w:rPr>
          <w:rFonts w:ascii="Arial" w:hAnsi="Arial" w:cs="Arial"/>
          <w:b/>
          <w:bCs/>
          <w:sz w:val="32"/>
          <w:szCs w:val="36"/>
        </w:rPr>
        <w:t>Module Code</w:t>
      </w:r>
      <w:r w:rsidR="00120367" w:rsidRPr="001E6459">
        <w:rPr>
          <w:rFonts w:ascii="Arial" w:hAnsi="Arial" w:cs="Arial"/>
          <w:b/>
          <w:bCs/>
          <w:sz w:val="32"/>
          <w:szCs w:val="36"/>
        </w:rPr>
        <w:t>: BMHP5016</w:t>
      </w:r>
    </w:p>
    <w:p w14:paraId="1ED11717" w14:textId="0B648AAB" w:rsidR="00317A74" w:rsidRPr="001E6459" w:rsidRDefault="00DA08AF" w:rsidP="00317A74">
      <w:pPr>
        <w:jc w:val="center"/>
        <w:rPr>
          <w:rFonts w:ascii="Arial" w:hAnsi="Arial" w:cs="Arial"/>
          <w:b/>
          <w:bCs/>
          <w:sz w:val="32"/>
          <w:szCs w:val="36"/>
        </w:rPr>
      </w:pPr>
      <w:r w:rsidRPr="001E6459">
        <w:rPr>
          <w:rFonts w:ascii="Arial" w:hAnsi="Arial" w:cs="Arial"/>
          <w:b/>
          <w:bCs/>
          <w:sz w:val="32"/>
          <w:szCs w:val="36"/>
        </w:rPr>
        <w:t>Module Title</w:t>
      </w:r>
      <w:r w:rsidR="00120367" w:rsidRPr="001E6459">
        <w:rPr>
          <w:rFonts w:ascii="Arial" w:hAnsi="Arial" w:cs="Arial"/>
          <w:b/>
          <w:bCs/>
          <w:sz w:val="32"/>
          <w:szCs w:val="36"/>
        </w:rPr>
        <w:t>: Principles of Health and Social Care Practice</w:t>
      </w:r>
      <w:r w:rsidR="00317A74" w:rsidRPr="001E6459">
        <w:rPr>
          <w:rFonts w:ascii="Arial" w:hAnsi="Arial" w:cs="Arial"/>
          <w:b/>
          <w:bCs/>
          <w:sz w:val="32"/>
          <w:szCs w:val="36"/>
        </w:rPr>
        <w:br/>
        <w:t>Lecturers Name: Azida Zainol</w:t>
      </w:r>
    </w:p>
    <w:p w14:paraId="7A4014A5" w14:textId="618C04D8" w:rsidR="00DA08AF" w:rsidRPr="001E6459" w:rsidRDefault="00DA08AF" w:rsidP="00DA08AF">
      <w:pPr>
        <w:jc w:val="center"/>
        <w:rPr>
          <w:rFonts w:ascii="Arial" w:hAnsi="Arial" w:cs="Arial"/>
          <w:b/>
          <w:bCs/>
          <w:sz w:val="32"/>
          <w:szCs w:val="36"/>
        </w:rPr>
      </w:pPr>
      <w:r w:rsidRPr="001E6459">
        <w:rPr>
          <w:rFonts w:ascii="Arial" w:hAnsi="Arial" w:cs="Arial"/>
          <w:b/>
          <w:bCs/>
          <w:sz w:val="32"/>
          <w:szCs w:val="36"/>
        </w:rPr>
        <w:t>Assignment Title</w:t>
      </w:r>
      <w:r w:rsidR="00120367" w:rsidRPr="001E6459">
        <w:rPr>
          <w:rFonts w:ascii="Arial" w:hAnsi="Arial" w:cs="Arial"/>
          <w:b/>
          <w:bCs/>
          <w:sz w:val="32"/>
          <w:szCs w:val="36"/>
        </w:rPr>
        <w:t>: Component 2: Written Assignment (Report)</w:t>
      </w:r>
    </w:p>
    <w:p w14:paraId="01AAE0C3" w14:textId="77777777" w:rsidR="00DA08AF" w:rsidRDefault="00DA08AF" w:rsidP="00DA08AF">
      <w:pPr>
        <w:jc w:val="center"/>
        <w:rPr>
          <w:b/>
          <w:bCs/>
          <w:sz w:val="32"/>
          <w:szCs w:val="36"/>
        </w:rPr>
      </w:pPr>
    </w:p>
    <w:p w14:paraId="74A2DFA2" w14:textId="77777777" w:rsidR="00DA08AF" w:rsidRDefault="00DA08AF" w:rsidP="00DA08AF">
      <w:pPr>
        <w:jc w:val="center"/>
        <w:rPr>
          <w:b/>
          <w:bCs/>
          <w:sz w:val="32"/>
          <w:szCs w:val="36"/>
        </w:rPr>
      </w:pPr>
    </w:p>
    <w:p w14:paraId="3403C8B2" w14:textId="77777777" w:rsidR="00DA08AF" w:rsidRDefault="00DA08AF" w:rsidP="00DA08AF">
      <w:pPr>
        <w:jc w:val="center"/>
        <w:rPr>
          <w:b/>
          <w:bCs/>
          <w:sz w:val="32"/>
          <w:szCs w:val="36"/>
        </w:rPr>
      </w:pPr>
    </w:p>
    <w:p w14:paraId="2E760E41" w14:textId="77777777" w:rsidR="00DA08AF" w:rsidRDefault="00DA08AF" w:rsidP="00DA08AF">
      <w:pPr>
        <w:jc w:val="center"/>
        <w:rPr>
          <w:b/>
          <w:bCs/>
          <w:sz w:val="32"/>
          <w:szCs w:val="36"/>
        </w:rPr>
      </w:pPr>
    </w:p>
    <w:p w14:paraId="60120057" w14:textId="77777777" w:rsidR="00DA08AF" w:rsidRDefault="00DA08AF" w:rsidP="00DA08AF">
      <w:pPr>
        <w:jc w:val="center"/>
        <w:rPr>
          <w:b/>
          <w:bCs/>
          <w:sz w:val="32"/>
          <w:szCs w:val="36"/>
        </w:rPr>
      </w:pPr>
    </w:p>
    <w:p w14:paraId="048D0741" w14:textId="77777777" w:rsidR="00DA08AF" w:rsidRDefault="00DA08AF" w:rsidP="00DA08AF">
      <w:pPr>
        <w:jc w:val="center"/>
        <w:rPr>
          <w:b/>
          <w:bCs/>
          <w:sz w:val="32"/>
          <w:szCs w:val="36"/>
        </w:rPr>
      </w:pPr>
    </w:p>
    <w:p w14:paraId="325E3EF5" w14:textId="77777777" w:rsidR="00DA08AF" w:rsidRDefault="00DA08AF" w:rsidP="00DA08AF">
      <w:pPr>
        <w:jc w:val="center"/>
        <w:rPr>
          <w:b/>
          <w:bCs/>
          <w:sz w:val="32"/>
          <w:szCs w:val="36"/>
        </w:rPr>
      </w:pPr>
    </w:p>
    <w:p w14:paraId="38397AD1" w14:textId="77777777" w:rsidR="00DA08AF" w:rsidRDefault="00DA08AF" w:rsidP="00DA08AF">
      <w:pPr>
        <w:jc w:val="center"/>
        <w:rPr>
          <w:b/>
          <w:bCs/>
          <w:sz w:val="32"/>
          <w:szCs w:val="36"/>
        </w:rPr>
      </w:pPr>
    </w:p>
    <w:p w14:paraId="2001B9F3" w14:textId="77777777" w:rsidR="00DA08AF" w:rsidRDefault="00DA08AF" w:rsidP="00DA08AF">
      <w:pPr>
        <w:jc w:val="center"/>
        <w:rPr>
          <w:b/>
          <w:bCs/>
          <w:sz w:val="32"/>
          <w:szCs w:val="36"/>
        </w:rPr>
      </w:pPr>
    </w:p>
    <w:p w14:paraId="37DC1E25" w14:textId="77777777" w:rsidR="00DA08AF" w:rsidRDefault="00DA08AF" w:rsidP="00DA08AF">
      <w:pPr>
        <w:jc w:val="center"/>
        <w:rPr>
          <w:b/>
          <w:bCs/>
          <w:sz w:val="32"/>
          <w:szCs w:val="36"/>
        </w:rPr>
      </w:pPr>
    </w:p>
    <w:p w14:paraId="684882A9" w14:textId="77777777" w:rsidR="00DA08AF" w:rsidRDefault="00DA08AF" w:rsidP="00DA08AF">
      <w:pPr>
        <w:jc w:val="center"/>
        <w:rPr>
          <w:b/>
          <w:bCs/>
          <w:sz w:val="32"/>
          <w:szCs w:val="36"/>
        </w:rPr>
      </w:pPr>
    </w:p>
    <w:p w14:paraId="09F7758F" w14:textId="77777777" w:rsidR="00DA08AF" w:rsidRPr="00DA08AF" w:rsidRDefault="00DA08AF" w:rsidP="00DA08AF">
      <w:pPr>
        <w:jc w:val="center"/>
        <w:rPr>
          <w:rFonts w:ascii="Arial" w:hAnsi="Arial" w:cs="Arial"/>
          <w:b/>
          <w:bCs/>
          <w:sz w:val="32"/>
          <w:szCs w:val="32"/>
        </w:rPr>
      </w:pPr>
    </w:p>
    <w:p w14:paraId="1FEC3E1B" w14:textId="5242C6FA" w:rsidR="004464EE" w:rsidRPr="001E6459" w:rsidRDefault="004464EE" w:rsidP="00BF7815">
      <w:pPr>
        <w:jc w:val="both"/>
        <w:rPr>
          <w:rFonts w:ascii="Arial" w:hAnsi="Arial" w:cs="Arial"/>
          <w:b/>
          <w:bCs/>
          <w:szCs w:val="22"/>
        </w:rPr>
      </w:pPr>
      <w:r w:rsidRPr="001E6459">
        <w:rPr>
          <w:rFonts w:ascii="Arial" w:hAnsi="Arial" w:cs="Arial"/>
          <w:b/>
          <w:bCs/>
          <w:szCs w:val="22"/>
        </w:rPr>
        <w:lastRenderedPageBreak/>
        <w:t>Abstract</w:t>
      </w:r>
    </w:p>
    <w:p w14:paraId="2B3E48EE" w14:textId="67159802" w:rsidR="004464EE" w:rsidRPr="001E6459" w:rsidRDefault="00B27C21" w:rsidP="00BF7815">
      <w:pPr>
        <w:jc w:val="both"/>
        <w:rPr>
          <w:rFonts w:ascii="Arial" w:hAnsi="Arial" w:cs="Arial"/>
          <w:b/>
          <w:bCs/>
          <w:szCs w:val="22"/>
        </w:rPr>
      </w:pPr>
      <w:r w:rsidRPr="001E6459">
        <w:rPr>
          <w:rFonts w:ascii="Arial" w:eastAsia="Times New Roman" w:hAnsi="Arial" w:cs="Arial"/>
          <w:kern w:val="0"/>
          <w:szCs w:val="22"/>
          <w:lang w:eastAsia="en-GB"/>
          <w14:ligatures w14:val="none"/>
        </w:rPr>
        <w:t>This</w:t>
      </w:r>
      <w:r w:rsidR="005F0011" w:rsidRPr="001E6459">
        <w:rPr>
          <w:rFonts w:ascii="Arial" w:eastAsia="Times New Roman" w:hAnsi="Arial" w:cs="Arial"/>
          <w:kern w:val="0"/>
          <w:szCs w:val="22"/>
          <w:lang w:eastAsia="en-GB"/>
          <w14:ligatures w14:val="none"/>
        </w:rPr>
        <w:t xml:space="preserve"> report </w:t>
      </w:r>
      <w:r w:rsidR="00DA2C8F" w:rsidRPr="001E6459">
        <w:rPr>
          <w:rFonts w:ascii="Arial" w:eastAsia="Times New Roman" w:hAnsi="Arial" w:cs="Arial"/>
          <w:kern w:val="0"/>
          <w:szCs w:val="22"/>
          <w:lang w:eastAsia="en-GB"/>
          <w14:ligatures w14:val="none"/>
        </w:rPr>
        <w:t>focuses on</w:t>
      </w:r>
      <w:r w:rsidR="005F0011" w:rsidRPr="001E6459">
        <w:rPr>
          <w:rFonts w:ascii="Arial" w:eastAsia="Times New Roman" w:hAnsi="Arial" w:cs="Arial"/>
          <w:kern w:val="0"/>
          <w:szCs w:val="22"/>
          <w:lang w:eastAsia="en-GB"/>
          <w14:ligatures w14:val="none"/>
        </w:rPr>
        <w:t xml:space="preserve"> the concepts of person-centred care (PCC) and partnership working (PW) in UK health and social care with reference to community mental health services. PCC involves placing the needs, preferences, dignity, rights and personal aims of the individual concerned at the heart of any care planning and provision.</w:t>
      </w:r>
      <w:r w:rsidR="00485D35" w:rsidRPr="001E6459">
        <w:rPr>
          <w:rFonts w:ascii="Arial" w:hAnsi="Arial" w:cs="Arial"/>
          <w:szCs w:val="22"/>
        </w:rPr>
        <w:t xml:space="preserve"> </w:t>
      </w:r>
      <w:r w:rsidR="00485D35" w:rsidRPr="001E6459">
        <w:rPr>
          <w:rFonts w:ascii="Arial" w:eastAsia="Times New Roman" w:hAnsi="Arial" w:cs="Arial"/>
          <w:kern w:val="0"/>
          <w:szCs w:val="22"/>
          <w:lang w:eastAsia="en-GB"/>
          <w14:ligatures w14:val="none"/>
        </w:rPr>
        <w:t>The aim of this report is to discuss the findings of PCC including how this may lead to enhanced trust, engagement, independence and improved health results</w:t>
      </w:r>
      <w:r w:rsidR="005F0011" w:rsidRPr="001E6459">
        <w:rPr>
          <w:rFonts w:ascii="Arial" w:eastAsia="Times New Roman" w:hAnsi="Arial" w:cs="Arial"/>
          <w:kern w:val="0"/>
          <w:szCs w:val="22"/>
          <w:lang w:eastAsia="en-GB"/>
          <w14:ligatures w14:val="none"/>
        </w:rPr>
        <w:t xml:space="preserve">. </w:t>
      </w:r>
      <w:r w:rsidR="00407B6E" w:rsidRPr="001E6459">
        <w:rPr>
          <w:rFonts w:ascii="Arial" w:eastAsia="Times New Roman" w:hAnsi="Arial" w:cs="Arial"/>
          <w:kern w:val="0"/>
          <w:szCs w:val="22"/>
          <w:lang w:eastAsia="en-GB"/>
          <w14:ligatures w14:val="none"/>
        </w:rPr>
        <w:t>T</w:t>
      </w:r>
      <w:r w:rsidR="005F0011" w:rsidRPr="001E6459">
        <w:rPr>
          <w:rFonts w:ascii="Arial" w:eastAsia="Times New Roman" w:hAnsi="Arial" w:cs="Arial"/>
          <w:kern w:val="0"/>
          <w:szCs w:val="22"/>
          <w:lang w:eastAsia="en-GB"/>
          <w14:ligatures w14:val="none"/>
        </w:rPr>
        <w:t xml:space="preserve">he report will explore the significance of PW between the NHS, social care, local government, carers and other </w:t>
      </w:r>
      <w:r w:rsidR="00407B6E" w:rsidRPr="001E6459">
        <w:rPr>
          <w:rFonts w:ascii="Arial" w:eastAsia="Times New Roman" w:hAnsi="Arial" w:cs="Arial"/>
          <w:kern w:val="0"/>
          <w:szCs w:val="22"/>
          <w:lang w:eastAsia="en-GB"/>
          <w14:ligatures w14:val="none"/>
        </w:rPr>
        <w:t>partner agencies</w:t>
      </w:r>
      <w:r w:rsidR="005F0011" w:rsidRPr="001E6459">
        <w:rPr>
          <w:rFonts w:ascii="Arial" w:eastAsia="Times New Roman" w:hAnsi="Arial" w:cs="Arial"/>
          <w:kern w:val="0"/>
          <w:szCs w:val="22"/>
          <w:lang w:eastAsia="en-GB"/>
          <w14:ligatures w14:val="none"/>
        </w:rPr>
        <w:t>. The key findings indicate that appropriate PW may contribute to increased coordination and avoid fragmented care, but difficulties with communication, separate systems and roles might represent significant</w:t>
      </w:r>
      <w:r w:rsidR="00407B6E" w:rsidRPr="001E6459">
        <w:rPr>
          <w:rFonts w:ascii="Arial" w:eastAsia="Times New Roman" w:hAnsi="Arial" w:cs="Arial"/>
          <w:kern w:val="0"/>
          <w:szCs w:val="22"/>
          <w:lang w:eastAsia="en-GB"/>
          <w14:ligatures w14:val="none"/>
        </w:rPr>
        <w:t xml:space="preserve"> issues</w:t>
      </w:r>
      <w:r w:rsidR="005F0011" w:rsidRPr="001E6459">
        <w:rPr>
          <w:rFonts w:ascii="Arial" w:eastAsia="Times New Roman" w:hAnsi="Arial" w:cs="Arial"/>
          <w:kern w:val="0"/>
          <w:szCs w:val="22"/>
          <w:lang w:eastAsia="en-GB"/>
          <w14:ligatures w14:val="none"/>
        </w:rPr>
        <w:t>.</w:t>
      </w:r>
    </w:p>
    <w:p w14:paraId="51277763" w14:textId="77777777" w:rsidR="009F0AD4" w:rsidRPr="001E6459" w:rsidRDefault="009F0AD4" w:rsidP="00BF7815">
      <w:pPr>
        <w:jc w:val="both"/>
        <w:rPr>
          <w:rFonts w:ascii="Arial" w:hAnsi="Arial" w:cs="Arial"/>
          <w:szCs w:val="22"/>
        </w:rPr>
      </w:pPr>
    </w:p>
    <w:p w14:paraId="568B077A" w14:textId="77777777" w:rsidR="00DA08AF" w:rsidRPr="001E6459" w:rsidRDefault="00DA08AF" w:rsidP="00BF7815">
      <w:pPr>
        <w:jc w:val="both"/>
        <w:rPr>
          <w:rFonts w:ascii="Arial" w:hAnsi="Arial" w:cs="Arial"/>
          <w:szCs w:val="22"/>
        </w:rPr>
      </w:pPr>
    </w:p>
    <w:p w14:paraId="659685FF" w14:textId="77777777" w:rsidR="00DA08AF" w:rsidRPr="001E6459" w:rsidRDefault="00DA08AF" w:rsidP="00BF7815">
      <w:pPr>
        <w:jc w:val="both"/>
        <w:rPr>
          <w:rFonts w:ascii="Arial" w:hAnsi="Arial" w:cs="Arial"/>
          <w:szCs w:val="22"/>
        </w:rPr>
      </w:pPr>
    </w:p>
    <w:p w14:paraId="2FA4D468" w14:textId="77777777" w:rsidR="00DA08AF" w:rsidRPr="001E6459" w:rsidRDefault="00DA08AF" w:rsidP="00BF7815">
      <w:pPr>
        <w:jc w:val="both"/>
        <w:rPr>
          <w:rFonts w:ascii="Arial" w:hAnsi="Arial" w:cs="Arial"/>
          <w:szCs w:val="22"/>
        </w:rPr>
      </w:pPr>
    </w:p>
    <w:p w14:paraId="70F5B709" w14:textId="77777777" w:rsidR="00DA08AF" w:rsidRPr="001E6459" w:rsidRDefault="00DA08AF" w:rsidP="00BF7815">
      <w:pPr>
        <w:jc w:val="both"/>
        <w:rPr>
          <w:rFonts w:ascii="Arial" w:hAnsi="Arial" w:cs="Arial"/>
          <w:szCs w:val="22"/>
        </w:rPr>
      </w:pPr>
    </w:p>
    <w:p w14:paraId="31680528" w14:textId="77777777" w:rsidR="00DA08AF" w:rsidRPr="001E6459" w:rsidRDefault="00DA08AF" w:rsidP="00BF7815">
      <w:pPr>
        <w:jc w:val="both"/>
        <w:rPr>
          <w:rFonts w:ascii="Arial" w:hAnsi="Arial" w:cs="Arial"/>
          <w:szCs w:val="22"/>
        </w:rPr>
      </w:pPr>
    </w:p>
    <w:p w14:paraId="0A97BEC5" w14:textId="77777777" w:rsidR="00DA08AF" w:rsidRPr="001E6459" w:rsidRDefault="00DA08AF" w:rsidP="00BF7815">
      <w:pPr>
        <w:jc w:val="both"/>
        <w:rPr>
          <w:rFonts w:ascii="Arial" w:hAnsi="Arial" w:cs="Arial"/>
          <w:szCs w:val="22"/>
        </w:rPr>
      </w:pPr>
    </w:p>
    <w:p w14:paraId="595F0DFE" w14:textId="77777777" w:rsidR="00DA08AF" w:rsidRPr="001E6459" w:rsidRDefault="00DA08AF" w:rsidP="00BF7815">
      <w:pPr>
        <w:jc w:val="both"/>
        <w:rPr>
          <w:rFonts w:ascii="Arial" w:hAnsi="Arial" w:cs="Arial"/>
          <w:szCs w:val="22"/>
        </w:rPr>
      </w:pPr>
    </w:p>
    <w:p w14:paraId="192CC2B0" w14:textId="77777777" w:rsidR="00DA08AF" w:rsidRPr="001E6459" w:rsidRDefault="00DA08AF" w:rsidP="00BF7815">
      <w:pPr>
        <w:jc w:val="both"/>
        <w:rPr>
          <w:rFonts w:ascii="Arial" w:hAnsi="Arial" w:cs="Arial"/>
          <w:szCs w:val="22"/>
        </w:rPr>
      </w:pPr>
    </w:p>
    <w:p w14:paraId="56280305" w14:textId="77777777" w:rsidR="00DA08AF" w:rsidRPr="001E6459" w:rsidRDefault="00DA08AF" w:rsidP="00BF7815">
      <w:pPr>
        <w:jc w:val="both"/>
        <w:rPr>
          <w:rFonts w:ascii="Arial" w:hAnsi="Arial" w:cs="Arial"/>
          <w:szCs w:val="22"/>
        </w:rPr>
      </w:pPr>
    </w:p>
    <w:p w14:paraId="603FF0C5" w14:textId="77777777" w:rsidR="00DA08AF" w:rsidRPr="001E6459" w:rsidRDefault="00DA08AF" w:rsidP="00BF7815">
      <w:pPr>
        <w:jc w:val="both"/>
        <w:rPr>
          <w:rFonts w:ascii="Arial" w:hAnsi="Arial" w:cs="Arial"/>
          <w:szCs w:val="22"/>
        </w:rPr>
      </w:pPr>
    </w:p>
    <w:p w14:paraId="1E0EEBA4" w14:textId="77777777" w:rsidR="00DA08AF" w:rsidRPr="001E6459" w:rsidRDefault="00DA08AF" w:rsidP="00BF7815">
      <w:pPr>
        <w:jc w:val="both"/>
        <w:rPr>
          <w:rFonts w:ascii="Arial" w:hAnsi="Arial" w:cs="Arial"/>
          <w:szCs w:val="22"/>
        </w:rPr>
      </w:pPr>
    </w:p>
    <w:p w14:paraId="72EEB208" w14:textId="77777777" w:rsidR="00DA08AF" w:rsidRPr="001E6459" w:rsidRDefault="00DA08AF" w:rsidP="00BF7815">
      <w:pPr>
        <w:jc w:val="both"/>
        <w:rPr>
          <w:rFonts w:ascii="Arial" w:hAnsi="Arial" w:cs="Arial"/>
          <w:szCs w:val="22"/>
        </w:rPr>
      </w:pPr>
    </w:p>
    <w:p w14:paraId="4C2FB47E" w14:textId="77777777" w:rsidR="00DA08AF" w:rsidRPr="001E6459" w:rsidRDefault="00DA08AF" w:rsidP="00BF7815">
      <w:pPr>
        <w:jc w:val="both"/>
        <w:rPr>
          <w:rFonts w:ascii="Arial" w:hAnsi="Arial" w:cs="Arial"/>
          <w:szCs w:val="22"/>
        </w:rPr>
      </w:pPr>
    </w:p>
    <w:p w14:paraId="0101F8FF" w14:textId="77777777" w:rsidR="00DA08AF" w:rsidRPr="001E6459" w:rsidRDefault="00DA08AF" w:rsidP="00BF7815">
      <w:pPr>
        <w:jc w:val="both"/>
        <w:rPr>
          <w:rFonts w:ascii="Arial" w:hAnsi="Arial" w:cs="Arial"/>
          <w:szCs w:val="22"/>
        </w:rPr>
      </w:pPr>
    </w:p>
    <w:p w14:paraId="506615ED" w14:textId="77777777" w:rsidR="00DA08AF" w:rsidRPr="001E6459" w:rsidRDefault="00DA08AF" w:rsidP="00BF7815">
      <w:pPr>
        <w:jc w:val="both"/>
        <w:rPr>
          <w:rFonts w:ascii="Arial" w:hAnsi="Arial" w:cs="Arial"/>
          <w:szCs w:val="22"/>
        </w:rPr>
      </w:pPr>
    </w:p>
    <w:p w14:paraId="523DCE9A" w14:textId="3FAC381F" w:rsidR="00DA08AF" w:rsidRPr="001E6459" w:rsidRDefault="001E6459" w:rsidP="00BF7815">
      <w:pPr>
        <w:jc w:val="both"/>
        <w:rPr>
          <w:rFonts w:ascii="Arial" w:hAnsi="Arial" w:cs="Arial"/>
          <w:szCs w:val="22"/>
        </w:rPr>
      </w:pPr>
      <w:r>
        <w:rPr>
          <w:rFonts w:ascii="Arial" w:hAnsi="Arial" w:cs="Arial"/>
          <w:szCs w:val="22"/>
        </w:rPr>
        <w:t xml:space="preserve"> </w:t>
      </w:r>
    </w:p>
    <w:sdt>
      <w:sdtPr>
        <w:rPr>
          <w:rFonts w:ascii="Arial" w:eastAsiaTheme="minorHAnsi" w:hAnsi="Arial" w:cs="Arial"/>
          <w:b w:val="0"/>
          <w:bCs w:val="0"/>
          <w:color w:val="auto"/>
          <w:kern w:val="2"/>
          <w:sz w:val="22"/>
          <w:szCs w:val="22"/>
          <w:lang w:val="en-GB"/>
          <w14:ligatures w14:val="standardContextual"/>
        </w:rPr>
        <w:id w:val="-1998414431"/>
        <w:docPartObj>
          <w:docPartGallery w:val="Table of Contents"/>
          <w:docPartUnique/>
        </w:docPartObj>
      </w:sdtPr>
      <w:sdtEndPr>
        <w:rPr>
          <w:noProof/>
        </w:rPr>
      </w:sdtEndPr>
      <w:sdtContent>
        <w:p w14:paraId="40CFA008" w14:textId="5F9FD0EC" w:rsidR="00DA08AF" w:rsidRPr="001E6459" w:rsidRDefault="00DA08AF" w:rsidP="001E6459">
          <w:pPr>
            <w:pStyle w:val="TOCHeading"/>
            <w:jc w:val="both"/>
            <w:rPr>
              <w:rFonts w:ascii="Arial" w:hAnsi="Arial" w:cs="Arial"/>
              <w:sz w:val="22"/>
              <w:szCs w:val="22"/>
            </w:rPr>
          </w:pPr>
          <w:r w:rsidRPr="001E6459">
            <w:rPr>
              <w:rFonts w:ascii="Arial" w:hAnsi="Arial" w:cs="Arial"/>
              <w:sz w:val="22"/>
              <w:szCs w:val="22"/>
            </w:rPr>
            <w:t>Table of Contents</w:t>
          </w:r>
        </w:p>
        <w:p w14:paraId="33C0533E" w14:textId="684FBF56" w:rsidR="00DA08AF" w:rsidRPr="001E6459" w:rsidRDefault="00DA08AF" w:rsidP="001E6459">
          <w:pPr>
            <w:pStyle w:val="TOC1"/>
            <w:rPr>
              <w:rFonts w:ascii="Arial" w:hAnsi="Arial" w:cs="Arial"/>
              <w:noProof/>
              <w:sz w:val="22"/>
              <w:szCs w:val="22"/>
            </w:rPr>
          </w:pPr>
          <w:r w:rsidRPr="001E6459">
            <w:rPr>
              <w:rFonts w:ascii="Arial" w:hAnsi="Arial" w:cs="Arial"/>
              <w:sz w:val="22"/>
              <w:szCs w:val="22"/>
            </w:rPr>
            <w:fldChar w:fldCharType="begin"/>
          </w:r>
          <w:r w:rsidRPr="001E6459">
            <w:rPr>
              <w:rFonts w:ascii="Arial" w:hAnsi="Arial" w:cs="Arial"/>
              <w:sz w:val="22"/>
              <w:szCs w:val="22"/>
            </w:rPr>
            <w:instrText xml:space="preserve"> TOC \o "1-3" \h \z \u </w:instrText>
          </w:r>
          <w:r w:rsidRPr="001E6459">
            <w:rPr>
              <w:rFonts w:ascii="Arial" w:hAnsi="Arial" w:cs="Arial"/>
              <w:sz w:val="22"/>
              <w:szCs w:val="22"/>
            </w:rPr>
            <w:fldChar w:fldCharType="separate"/>
          </w:r>
          <w:hyperlink w:anchor="_Toc234251795" w:history="1">
            <w:r w:rsidRPr="001E6459">
              <w:rPr>
                <w:rStyle w:val="Hyperlink"/>
                <w:rFonts w:ascii="Arial" w:hAnsi="Arial" w:cs="Arial"/>
                <w:b w:val="0"/>
                <w:bCs w:val="0"/>
                <w:noProof/>
                <w:sz w:val="22"/>
                <w:szCs w:val="22"/>
              </w:rPr>
              <w:t>Introduction</w:t>
            </w:r>
            <w:r w:rsidRPr="001E6459">
              <w:rPr>
                <w:rFonts w:ascii="Arial" w:hAnsi="Arial" w:cs="Arial"/>
                <w:noProof/>
                <w:webHidden/>
                <w:sz w:val="22"/>
                <w:szCs w:val="22"/>
              </w:rPr>
              <w:tab/>
            </w:r>
            <w:r w:rsidRPr="001E6459">
              <w:rPr>
                <w:rFonts w:ascii="Arial" w:hAnsi="Arial" w:cs="Arial"/>
                <w:noProof/>
                <w:webHidden/>
                <w:sz w:val="22"/>
                <w:szCs w:val="22"/>
              </w:rPr>
              <w:fldChar w:fldCharType="begin"/>
            </w:r>
            <w:r w:rsidRPr="001E6459">
              <w:rPr>
                <w:rFonts w:ascii="Arial" w:hAnsi="Arial" w:cs="Arial"/>
                <w:noProof/>
                <w:webHidden/>
                <w:sz w:val="22"/>
                <w:szCs w:val="22"/>
              </w:rPr>
              <w:instrText xml:space="preserve"> PAGEREF _Toc234251795 \h </w:instrText>
            </w:r>
            <w:r w:rsidRPr="001E6459">
              <w:rPr>
                <w:rFonts w:ascii="Arial" w:hAnsi="Arial" w:cs="Arial"/>
                <w:noProof/>
                <w:webHidden/>
                <w:sz w:val="22"/>
                <w:szCs w:val="22"/>
              </w:rPr>
            </w:r>
            <w:r w:rsidRPr="001E6459">
              <w:rPr>
                <w:rFonts w:ascii="Arial" w:hAnsi="Arial" w:cs="Arial"/>
                <w:noProof/>
                <w:webHidden/>
                <w:sz w:val="22"/>
                <w:szCs w:val="22"/>
              </w:rPr>
              <w:fldChar w:fldCharType="separate"/>
            </w:r>
            <w:r w:rsidR="00656C02" w:rsidRPr="001E6459">
              <w:rPr>
                <w:rFonts w:ascii="Arial" w:hAnsi="Arial" w:cs="Arial"/>
                <w:noProof/>
                <w:webHidden/>
                <w:sz w:val="22"/>
                <w:szCs w:val="22"/>
              </w:rPr>
              <w:t>4</w:t>
            </w:r>
            <w:r w:rsidRPr="001E6459">
              <w:rPr>
                <w:rFonts w:ascii="Arial" w:hAnsi="Arial" w:cs="Arial"/>
                <w:noProof/>
                <w:webHidden/>
                <w:sz w:val="22"/>
                <w:szCs w:val="22"/>
              </w:rPr>
              <w:fldChar w:fldCharType="end"/>
            </w:r>
          </w:hyperlink>
        </w:p>
        <w:p w14:paraId="7446376E" w14:textId="129817EF" w:rsidR="00DA08AF" w:rsidRPr="001E6459" w:rsidRDefault="00DA08AF" w:rsidP="001E6459">
          <w:pPr>
            <w:pStyle w:val="TOC1"/>
            <w:rPr>
              <w:rFonts w:ascii="Arial" w:hAnsi="Arial" w:cs="Arial"/>
              <w:noProof/>
              <w:sz w:val="22"/>
              <w:szCs w:val="22"/>
            </w:rPr>
          </w:pPr>
          <w:hyperlink w:anchor="_Toc234251796" w:history="1">
            <w:r w:rsidRPr="001E6459">
              <w:rPr>
                <w:rStyle w:val="Hyperlink"/>
                <w:rFonts w:ascii="Arial" w:hAnsi="Arial" w:cs="Arial"/>
                <w:b w:val="0"/>
                <w:bCs w:val="0"/>
                <w:noProof/>
                <w:sz w:val="22"/>
                <w:szCs w:val="22"/>
              </w:rPr>
              <w:t>Definition of person-centred care</w:t>
            </w:r>
            <w:r w:rsidRPr="001E6459">
              <w:rPr>
                <w:rFonts w:ascii="Arial" w:hAnsi="Arial" w:cs="Arial"/>
                <w:noProof/>
                <w:webHidden/>
                <w:sz w:val="22"/>
                <w:szCs w:val="22"/>
              </w:rPr>
              <w:tab/>
            </w:r>
            <w:r w:rsidRPr="001E6459">
              <w:rPr>
                <w:rFonts w:ascii="Arial" w:hAnsi="Arial" w:cs="Arial"/>
                <w:noProof/>
                <w:webHidden/>
                <w:sz w:val="22"/>
                <w:szCs w:val="22"/>
              </w:rPr>
              <w:fldChar w:fldCharType="begin"/>
            </w:r>
            <w:r w:rsidRPr="001E6459">
              <w:rPr>
                <w:rFonts w:ascii="Arial" w:hAnsi="Arial" w:cs="Arial"/>
                <w:noProof/>
                <w:webHidden/>
                <w:sz w:val="22"/>
                <w:szCs w:val="22"/>
              </w:rPr>
              <w:instrText xml:space="preserve"> PAGEREF _Toc234251796 \h </w:instrText>
            </w:r>
            <w:r w:rsidRPr="001E6459">
              <w:rPr>
                <w:rFonts w:ascii="Arial" w:hAnsi="Arial" w:cs="Arial"/>
                <w:noProof/>
                <w:webHidden/>
                <w:sz w:val="22"/>
                <w:szCs w:val="22"/>
              </w:rPr>
            </w:r>
            <w:r w:rsidRPr="001E6459">
              <w:rPr>
                <w:rFonts w:ascii="Arial" w:hAnsi="Arial" w:cs="Arial"/>
                <w:noProof/>
                <w:webHidden/>
                <w:sz w:val="22"/>
                <w:szCs w:val="22"/>
              </w:rPr>
              <w:fldChar w:fldCharType="separate"/>
            </w:r>
            <w:r w:rsidR="00656C02" w:rsidRPr="001E6459">
              <w:rPr>
                <w:rFonts w:ascii="Arial" w:hAnsi="Arial" w:cs="Arial"/>
                <w:noProof/>
                <w:webHidden/>
                <w:sz w:val="22"/>
                <w:szCs w:val="22"/>
              </w:rPr>
              <w:t>4</w:t>
            </w:r>
            <w:r w:rsidRPr="001E6459">
              <w:rPr>
                <w:rFonts w:ascii="Arial" w:hAnsi="Arial" w:cs="Arial"/>
                <w:noProof/>
                <w:webHidden/>
                <w:sz w:val="22"/>
                <w:szCs w:val="22"/>
              </w:rPr>
              <w:fldChar w:fldCharType="end"/>
            </w:r>
          </w:hyperlink>
        </w:p>
        <w:p w14:paraId="44C962DC" w14:textId="3CBAC75E" w:rsidR="00DA08AF" w:rsidRPr="001E6459" w:rsidRDefault="00DA08AF" w:rsidP="001E6459">
          <w:pPr>
            <w:pStyle w:val="TOC1"/>
            <w:rPr>
              <w:rFonts w:ascii="Arial" w:hAnsi="Arial" w:cs="Arial"/>
              <w:noProof/>
              <w:sz w:val="22"/>
              <w:szCs w:val="22"/>
            </w:rPr>
          </w:pPr>
          <w:hyperlink w:anchor="_Toc234251797" w:history="1">
            <w:r w:rsidRPr="001E6459">
              <w:rPr>
                <w:rStyle w:val="Hyperlink"/>
                <w:rFonts w:ascii="Arial" w:hAnsi="Arial" w:cs="Arial"/>
                <w:b w:val="0"/>
                <w:bCs w:val="0"/>
                <w:noProof/>
                <w:sz w:val="22"/>
                <w:szCs w:val="22"/>
              </w:rPr>
              <w:t>Recovery Model Theory</w:t>
            </w:r>
            <w:r w:rsidRPr="001E6459">
              <w:rPr>
                <w:rFonts w:ascii="Arial" w:hAnsi="Arial" w:cs="Arial"/>
                <w:noProof/>
                <w:webHidden/>
                <w:sz w:val="22"/>
                <w:szCs w:val="22"/>
              </w:rPr>
              <w:tab/>
            </w:r>
            <w:r w:rsidRPr="001E6459">
              <w:rPr>
                <w:rFonts w:ascii="Arial" w:hAnsi="Arial" w:cs="Arial"/>
                <w:noProof/>
                <w:webHidden/>
                <w:sz w:val="22"/>
                <w:szCs w:val="22"/>
              </w:rPr>
              <w:fldChar w:fldCharType="begin"/>
            </w:r>
            <w:r w:rsidRPr="001E6459">
              <w:rPr>
                <w:rFonts w:ascii="Arial" w:hAnsi="Arial" w:cs="Arial"/>
                <w:noProof/>
                <w:webHidden/>
                <w:sz w:val="22"/>
                <w:szCs w:val="22"/>
              </w:rPr>
              <w:instrText xml:space="preserve"> PAGEREF _Toc234251797 \h </w:instrText>
            </w:r>
            <w:r w:rsidRPr="001E6459">
              <w:rPr>
                <w:rFonts w:ascii="Arial" w:hAnsi="Arial" w:cs="Arial"/>
                <w:noProof/>
                <w:webHidden/>
                <w:sz w:val="22"/>
                <w:szCs w:val="22"/>
              </w:rPr>
            </w:r>
            <w:r w:rsidRPr="001E6459">
              <w:rPr>
                <w:rFonts w:ascii="Arial" w:hAnsi="Arial" w:cs="Arial"/>
                <w:noProof/>
                <w:webHidden/>
                <w:sz w:val="22"/>
                <w:szCs w:val="22"/>
              </w:rPr>
              <w:fldChar w:fldCharType="separate"/>
            </w:r>
            <w:r w:rsidR="00656C02" w:rsidRPr="001E6459">
              <w:rPr>
                <w:rFonts w:ascii="Arial" w:hAnsi="Arial" w:cs="Arial"/>
                <w:noProof/>
                <w:webHidden/>
                <w:sz w:val="22"/>
                <w:szCs w:val="22"/>
              </w:rPr>
              <w:t>5</w:t>
            </w:r>
            <w:r w:rsidRPr="001E6459">
              <w:rPr>
                <w:rFonts w:ascii="Arial" w:hAnsi="Arial" w:cs="Arial"/>
                <w:noProof/>
                <w:webHidden/>
                <w:sz w:val="22"/>
                <w:szCs w:val="22"/>
              </w:rPr>
              <w:fldChar w:fldCharType="end"/>
            </w:r>
          </w:hyperlink>
        </w:p>
        <w:p w14:paraId="7CE25AF9" w14:textId="7E072499" w:rsidR="00DA08AF" w:rsidRPr="001E6459" w:rsidRDefault="00DA08AF" w:rsidP="001E6459">
          <w:pPr>
            <w:pStyle w:val="TOC1"/>
            <w:rPr>
              <w:rFonts w:ascii="Arial" w:hAnsi="Arial" w:cs="Arial"/>
              <w:noProof/>
              <w:sz w:val="22"/>
              <w:szCs w:val="22"/>
            </w:rPr>
          </w:pPr>
          <w:hyperlink w:anchor="_Toc234251798" w:history="1">
            <w:r w:rsidRPr="001E6459">
              <w:rPr>
                <w:rStyle w:val="Hyperlink"/>
                <w:rFonts w:ascii="Arial" w:hAnsi="Arial" w:cs="Arial"/>
                <w:b w:val="0"/>
                <w:bCs w:val="0"/>
                <w:noProof/>
                <w:sz w:val="22"/>
                <w:szCs w:val="22"/>
              </w:rPr>
              <w:t>Ethical fundamentals</w:t>
            </w:r>
            <w:r w:rsidRPr="001E6459">
              <w:rPr>
                <w:rFonts w:ascii="Arial" w:hAnsi="Arial" w:cs="Arial"/>
                <w:noProof/>
                <w:webHidden/>
                <w:sz w:val="22"/>
                <w:szCs w:val="22"/>
              </w:rPr>
              <w:tab/>
            </w:r>
            <w:r w:rsidRPr="001E6459">
              <w:rPr>
                <w:rFonts w:ascii="Arial" w:hAnsi="Arial" w:cs="Arial"/>
                <w:noProof/>
                <w:webHidden/>
                <w:sz w:val="22"/>
                <w:szCs w:val="22"/>
              </w:rPr>
              <w:fldChar w:fldCharType="begin"/>
            </w:r>
            <w:r w:rsidRPr="001E6459">
              <w:rPr>
                <w:rFonts w:ascii="Arial" w:hAnsi="Arial" w:cs="Arial"/>
                <w:noProof/>
                <w:webHidden/>
                <w:sz w:val="22"/>
                <w:szCs w:val="22"/>
              </w:rPr>
              <w:instrText xml:space="preserve"> PAGEREF _Toc234251798 \h </w:instrText>
            </w:r>
            <w:r w:rsidRPr="001E6459">
              <w:rPr>
                <w:rFonts w:ascii="Arial" w:hAnsi="Arial" w:cs="Arial"/>
                <w:noProof/>
                <w:webHidden/>
                <w:sz w:val="22"/>
                <w:szCs w:val="22"/>
              </w:rPr>
            </w:r>
            <w:r w:rsidRPr="001E6459">
              <w:rPr>
                <w:rFonts w:ascii="Arial" w:hAnsi="Arial" w:cs="Arial"/>
                <w:noProof/>
                <w:webHidden/>
                <w:sz w:val="22"/>
                <w:szCs w:val="22"/>
              </w:rPr>
              <w:fldChar w:fldCharType="separate"/>
            </w:r>
            <w:r w:rsidR="00656C02" w:rsidRPr="001E6459">
              <w:rPr>
                <w:rFonts w:ascii="Arial" w:hAnsi="Arial" w:cs="Arial"/>
                <w:noProof/>
                <w:webHidden/>
                <w:sz w:val="22"/>
                <w:szCs w:val="22"/>
              </w:rPr>
              <w:t>5</w:t>
            </w:r>
            <w:r w:rsidRPr="001E6459">
              <w:rPr>
                <w:rFonts w:ascii="Arial" w:hAnsi="Arial" w:cs="Arial"/>
                <w:noProof/>
                <w:webHidden/>
                <w:sz w:val="22"/>
                <w:szCs w:val="22"/>
              </w:rPr>
              <w:fldChar w:fldCharType="end"/>
            </w:r>
          </w:hyperlink>
        </w:p>
        <w:p w14:paraId="12C9067C" w14:textId="62364686" w:rsidR="00DA08AF" w:rsidRPr="001E6459" w:rsidRDefault="00DA08AF" w:rsidP="001E6459">
          <w:pPr>
            <w:pStyle w:val="TOC1"/>
            <w:rPr>
              <w:rFonts w:ascii="Arial" w:hAnsi="Arial" w:cs="Arial"/>
              <w:noProof/>
              <w:sz w:val="22"/>
              <w:szCs w:val="22"/>
            </w:rPr>
          </w:pPr>
          <w:hyperlink w:anchor="_Toc234251799" w:history="1">
            <w:r w:rsidRPr="001E6459">
              <w:rPr>
                <w:rStyle w:val="Hyperlink"/>
                <w:rFonts w:ascii="Arial" w:hAnsi="Arial" w:cs="Arial"/>
                <w:b w:val="0"/>
                <w:bCs w:val="0"/>
                <w:noProof/>
                <w:sz w:val="22"/>
                <w:szCs w:val="22"/>
              </w:rPr>
              <w:t>Evaluation of partnership working</w:t>
            </w:r>
            <w:r w:rsidRPr="001E6459">
              <w:rPr>
                <w:rFonts w:ascii="Arial" w:hAnsi="Arial" w:cs="Arial"/>
                <w:noProof/>
                <w:webHidden/>
                <w:sz w:val="22"/>
                <w:szCs w:val="22"/>
              </w:rPr>
              <w:tab/>
            </w:r>
            <w:r w:rsidRPr="001E6459">
              <w:rPr>
                <w:rFonts w:ascii="Arial" w:hAnsi="Arial" w:cs="Arial"/>
                <w:noProof/>
                <w:webHidden/>
                <w:sz w:val="22"/>
                <w:szCs w:val="22"/>
              </w:rPr>
              <w:fldChar w:fldCharType="begin"/>
            </w:r>
            <w:r w:rsidRPr="001E6459">
              <w:rPr>
                <w:rFonts w:ascii="Arial" w:hAnsi="Arial" w:cs="Arial"/>
                <w:noProof/>
                <w:webHidden/>
                <w:sz w:val="22"/>
                <w:szCs w:val="22"/>
              </w:rPr>
              <w:instrText xml:space="preserve"> PAGEREF _Toc234251799 \h </w:instrText>
            </w:r>
            <w:r w:rsidRPr="001E6459">
              <w:rPr>
                <w:rFonts w:ascii="Arial" w:hAnsi="Arial" w:cs="Arial"/>
                <w:noProof/>
                <w:webHidden/>
                <w:sz w:val="22"/>
                <w:szCs w:val="22"/>
              </w:rPr>
            </w:r>
            <w:r w:rsidRPr="001E6459">
              <w:rPr>
                <w:rFonts w:ascii="Arial" w:hAnsi="Arial" w:cs="Arial"/>
                <w:noProof/>
                <w:webHidden/>
                <w:sz w:val="22"/>
                <w:szCs w:val="22"/>
              </w:rPr>
              <w:fldChar w:fldCharType="separate"/>
            </w:r>
            <w:r w:rsidR="00656C02" w:rsidRPr="001E6459">
              <w:rPr>
                <w:rFonts w:ascii="Arial" w:hAnsi="Arial" w:cs="Arial"/>
                <w:noProof/>
                <w:webHidden/>
                <w:sz w:val="22"/>
                <w:szCs w:val="22"/>
              </w:rPr>
              <w:t>6</w:t>
            </w:r>
            <w:r w:rsidRPr="001E6459">
              <w:rPr>
                <w:rFonts w:ascii="Arial" w:hAnsi="Arial" w:cs="Arial"/>
                <w:noProof/>
                <w:webHidden/>
                <w:sz w:val="22"/>
                <w:szCs w:val="22"/>
              </w:rPr>
              <w:fldChar w:fldCharType="end"/>
            </w:r>
          </w:hyperlink>
        </w:p>
        <w:p w14:paraId="450A7879" w14:textId="429C21A4" w:rsidR="00DA08AF" w:rsidRPr="001E6459" w:rsidRDefault="00DA08AF" w:rsidP="001E6459">
          <w:pPr>
            <w:pStyle w:val="TOC1"/>
            <w:rPr>
              <w:rFonts w:ascii="Arial" w:hAnsi="Arial" w:cs="Arial"/>
              <w:noProof/>
              <w:sz w:val="22"/>
              <w:szCs w:val="22"/>
            </w:rPr>
          </w:pPr>
          <w:hyperlink w:anchor="_Toc234251800" w:history="1">
            <w:r w:rsidRPr="001E6459">
              <w:rPr>
                <w:rStyle w:val="Hyperlink"/>
                <w:rFonts w:ascii="Arial" w:hAnsi="Arial" w:cs="Arial"/>
                <w:b w:val="0"/>
                <w:bCs w:val="0"/>
                <w:noProof/>
                <w:sz w:val="22"/>
                <w:szCs w:val="22"/>
              </w:rPr>
              <w:t>Policy and legislation</w:t>
            </w:r>
            <w:r w:rsidRPr="001E6459">
              <w:rPr>
                <w:rFonts w:ascii="Arial" w:hAnsi="Arial" w:cs="Arial"/>
                <w:noProof/>
                <w:webHidden/>
                <w:sz w:val="22"/>
                <w:szCs w:val="22"/>
              </w:rPr>
              <w:tab/>
            </w:r>
            <w:r w:rsidRPr="001E6459">
              <w:rPr>
                <w:rFonts w:ascii="Arial" w:hAnsi="Arial" w:cs="Arial"/>
                <w:noProof/>
                <w:webHidden/>
                <w:sz w:val="22"/>
                <w:szCs w:val="22"/>
              </w:rPr>
              <w:fldChar w:fldCharType="begin"/>
            </w:r>
            <w:r w:rsidRPr="001E6459">
              <w:rPr>
                <w:rFonts w:ascii="Arial" w:hAnsi="Arial" w:cs="Arial"/>
                <w:noProof/>
                <w:webHidden/>
                <w:sz w:val="22"/>
                <w:szCs w:val="22"/>
              </w:rPr>
              <w:instrText xml:space="preserve"> PAGEREF _Toc234251800 \h </w:instrText>
            </w:r>
            <w:r w:rsidRPr="001E6459">
              <w:rPr>
                <w:rFonts w:ascii="Arial" w:hAnsi="Arial" w:cs="Arial"/>
                <w:noProof/>
                <w:webHidden/>
                <w:sz w:val="22"/>
                <w:szCs w:val="22"/>
              </w:rPr>
            </w:r>
            <w:r w:rsidRPr="001E6459">
              <w:rPr>
                <w:rFonts w:ascii="Arial" w:hAnsi="Arial" w:cs="Arial"/>
                <w:noProof/>
                <w:webHidden/>
                <w:sz w:val="22"/>
                <w:szCs w:val="22"/>
              </w:rPr>
              <w:fldChar w:fldCharType="separate"/>
            </w:r>
            <w:r w:rsidR="00656C02" w:rsidRPr="001E6459">
              <w:rPr>
                <w:rFonts w:ascii="Arial" w:hAnsi="Arial" w:cs="Arial"/>
                <w:noProof/>
                <w:webHidden/>
                <w:sz w:val="22"/>
                <w:szCs w:val="22"/>
              </w:rPr>
              <w:t>7</w:t>
            </w:r>
            <w:r w:rsidRPr="001E6459">
              <w:rPr>
                <w:rFonts w:ascii="Arial" w:hAnsi="Arial" w:cs="Arial"/>
                <w:noProof/>
                <w:webHidden/>
                <w:sz w:val="22"/>
                <w:szCs w:val="22"/>
              </w:rPr>
              <w:fldChar w:fldCharType="end"/>
            </w:r>
          </w:hyperlink>
        </w:p>
        <w:p w14:paraId="3DBC80FD" w14:textId="381B026B" w:rsidR="00DA08AF" w:rsidRPr="001E6459" w:rsidRDefault="00DA08AF" w:rsidP="001E6459">
          <w:pPr>
            <w:pStyle w:val="TOC1"/>
            <w:rPr>
              <w:rFonts w:ascii="Arial" w:hAnsi="Arial" w:cs="Arial"/>
              <w:noProof/>
              <w:sz w:val="22"/>
              <w:szCs w:val="22"/>
            </w:rPr>
          </w:pPr>
          <w:hyperlink w:anchor="_Toc234251801" w:history="1">
            <w:r w:rsidRPr="001E6459">
              <w:rPr>
                <w:rStyle w:val="Hyperlink"/>
                <w:rFonts w:ascii="Arial" w:hAnsi="Arial" w:cs="Arial"/>
                <w:b w:val="0"/>
                <w:bCs w:val="0"/>
                <w:noProof/>
                <w:sz w:val="22"/>
                <w:szCs w:val="22"/>
              </w:rPr>
              <w:t>Recommendations</w:t>
            </w:r>
            <w:r w:rsidRPr="001E6459">
              <w:rPr>
                <w:rFonts w:ascii="Arial" w:hAnsi="Arial" w:cs="Arial"/>
                <w:noProof/>
                <w:webHidden/>
                <w:sz w:val="22"/>
                <w:szCs w:val="22"/>
              </w:rPr>
              <w:tab/>
            </w:r>
            <w:r w:rsidRPr="001E6459">
              <w:rPr>
                <w:rFonts w:ascii="Arial" w:hAnsi="Arial" w:cs="Arial"/>
                <w:noProof/>
                <w:webHidden/>
                <w:sz w:val="22"/>
                <w:szCs w:val="22"/>
              </w:rPr>
              <w:fldChar w:fldCharType="begin"/>
            </w:r>
            <w:r w:rsidRPr="001E6459">
              <w:rPr>
                <w:rFonts w:ascii="Arial" w:hAnsi="Arial" w:cs="Arial"/>
                <w:noProof/>
                <w:webHidden/>
                <w:sz w:val="22"/>
                <w:szCs w:val="22"/>
              </w:rPr>
              <w:instrText xml:space="preserve"> PAGEREF _Toc234251801 \h </w:instrText>
            </w:r>
            <w:r w:rsidRPr="001E6459">
              <w:rPr>
                <w:rFonts w:ascii="Arial" w:hAnsi="Arial" w:cs="Arial"/>
                <w:noProof/>
                <w:webHidden/>
                <w:sz w:val="22"/>
                <w:szCs w:val="22"/>
              </w:rPr>
            </w:r>
            <w:r w:rsidRPr="001E6459">
              <w:rPr>
                <w:rFonts w:ascii="Arial" w:hAnsi="Arial" w:cs="Arial"/>
                <w:noProof/>
                <w:webHidden/>
                <w:sz w:val="22"/>
                <w:szCs w:val="22"/>
              </w:rPr>
              <w:fldChar w:fldCharType="separate"/>
            </w:r>
            <w:r w:rsidR="00656C02" w:rsidRPr="001E6459">
              <w:rPr>
                <w:rFonts w:ascii="Arial" w:hAnsi="Arial" w:cs="Arial"/>
                <w:noProof/>
                <w:webHidden/>
                <w:sz w:val="22"/>
                <w:szCs w:val="22"/>
              </w:rPr>
              <w:t>8</w:t>
            </w:r>
            <w:r w:rsidRPr="001E6459">
              <w:rPr>
                <w:rFonts w:ascii="Arial" w:hAnsi="Arial" w:cs="Arial"/>
                <w:noProof/>
                <w:webHidden/>
                <w:sz w:val="22"/>
                <w:szCs w:val="22"/>
              </w:rPr>
              <w:fldChar w:fldCharType="end"/>
            </w:r>
          </w:hyperlink>
        </w:p>
        <w:p w14:paraId="03AD4B3F" w14:textId="3B8A30A6" w:rsidR="00DA08AF" w:rsidRPr="001E6459" w:rsidRDefault="00DA08AF" w:rsidP="001E6459">
          <w:pPr>
            <w:pStyle w:val="TOC1"/>
            <w:rPr>
              <w:rFonts w:ascii="Arial" w:hAnsi="Arial" w:cs="Arial"/>
              <w:noProof/>
              <w:sz w:val="22"/>
              <w:szCs w:val="22"/>
            </w:rPr>
          </w:pPr>
          <w:hyperlink w:anchor="_Toc234251802" w:history="1">
            <w:r w:rsidRPr="001E6459">
              <w:rPr>
                <w:rStyle w:val="Hyperlink"/>
                <w:rFonts w:ascii="Arial" w:hAnsi="Arial" w:cs="Arial"/>
                <w:b w:val="0"/>
                <w:bCs w:val="0"/>
                <w:noProof/>
                <w:sz w:val="22"/>
                <w:szCs w:val="22"/>
              </w:rPr>
              <w:t>Conclusion</w:t>
            </w:r>
            <w:r w:rsidRPr="001E6459">
              <w:rPr>
                <w:rFonts w:ascii="Arial" w:hAnsi="Arial" w:cs="Arial"/>
                <w:noProof/>
                <w:webHidden/>
                <w:sz w:val="22"/>
                <w:szCs w:val="22"/>
              </w:rPr>
              <w:tab/>
            </w:r>
            <w:r w:rsidRPr="001E6459">
              <w:rPr>
                <w:rFonts w:ascii="Arial" w:hAnsi="Arial" w:cs="Arial"/>
                <w:noProof/>
                <w:webHidden/>
                <w:sz w:val="22"/>
                <w:szCs w:val="22"/>
              </w:rPr>
              <w:fldChar w:fldCharType="begin"/>
            </w:r>
            <w:r w:rsidRPr="001E6459">
              <w:rPr>
                <w:rFonts w:ascii="Arial" w:hAnsi="Arial" w:cs="Arial"/>
                <w:noProof/>
                <w:webHidden/>
                <w:sz w:val="22"/>
                <w:szCs w:val="22"/>
              </w:rPr>
              <w:instrText xml:space="preserve"> PAGEREF _Toc234251802 \h </w:instrText>
            </w:r>
            <w:r w:rsidRPr="001E6459">
              <w:rPr>
                <w:rFonts w:ascii="Arial" w:hAnsi="Arial" w:cs="Arial"/>
                <w:noProof/>
                <w:webHidden/>
                <w:sz w:val="22"/>
                <w:szCs w:val="22"/>
              </w:rPr>
            </w:r>
            <w:r w:rsidRPr="001E6459">
              <w:rPr>
                <w:rFonts w:ascii="Arial" w:hAnsi="Arial" w:cs="Arial"/>
                <w:noProof/>
                <w:webHidden/>
                <w:sz w:val="22"/>
                <w:szCs w:val="22"/>
              </w:rPr>
              <w:fldChar w:fldCharType="separate"/>
            </w:r>
            <w:r w:rsidR="00656C02" w:rsidRPr="001E6459">
              <w:rPr>
                <w:rFonts w:ascii="Arial" w:hAnsi="Arial" w:cs="Arial"/>
                <w:noProof/>
                <w:webHidden/>
                <w:sz w:val="22"/>
                <w:szCs w:val="22"/>
              </w:rPr>
              <w:t>8</w:t>
            </w:r>
            <w:r w:rsidRPr="001E6459">
              <w:rPr>
                <w:rFonts w:ascii="Arial" w:hAnsi="Arial" w:cs="Arial"/>
                <w:noProof/>
                <w:webHidden/>
                <w:sz w:val="22"/>
                <w:szCs w:val="22"/>
              </w:rPr>
              <w:fldChar w:fldCharType="end"/>
            </w:r>
          </w:hyperlink>
        </w:p>
        <w:p w14:paraId="2A2C617E" w14:textId="26D6D92B" w:rsidR="00DA08AF" w:rsidRPr="001E6459" w:rsidRDefault="00DA08AF" w:rsidP="001E6459">
          <w:pPr>
            <w:pStyle w:val="TOC1"/>
            <w:rPr>
              <w:rFonts w:ascii="Arial" w:hAnsi="Arial" w:cs="Arial"/>
              <w:noProof/>
              <w:sz w:val="22"/>
              <w:szCs w:val="22"/>
            </w:rPr>
          </w:pPr>
          <w:hyperlink w:anchor="_Toc234251803" w:history="1">
            <w:r w:rsidRPr="001E6459">
              <w:rPr>
                <w:rStyle w:val="Hyperlink"/>
                <w:rFonts w:ascii="Arial" w:hAnsi="Arial" w:cs="Arial"/>
                <w:b w:val="0"/>
                <w:bCs w:val="0"/>
                <w:noProof/>
                <w:sz w:val="22"/>
                <w:szCs w:val="22"/>
              </w:rPr>
              <w:t>References</w:t>
            </w:r>
            <w:r w:rsidRPr="001E6459">
              <w:rPr>
                <w:rFonts w:ascii="Arial" w:hAnsi="Arial" w:cs="Arial"/>
                <w:noProof/>
                <w:webHidden/>
                <w:sz w:val="22"/>
                <w:szCs w:val="22"/>
              </w:rPr>
              <w:tab/>
            </w:r>
            <w:r w:rsidRPr="001E6459">
              <w:rPr>
                <w:rFonts w:ascii="Arial" w:hAnsi="Arial" w:cs="Arial"/>
                <w:noProof/>
                <w:webHidden/>
                <w:sz w:val="22"/>
                <w:szCs w:val="22"/>
              </w:rPr>
              <w:fldChar w:fldCharType="begin"/>
            </w:r>
            <w:r w:rsidRPr="001E6459">
              <w:rPr>
                <w:rFonts w:ascii="Arial" w:hAnsi="Arial" w:cs="Arial"/>
                <w:noProof/>
                <w:webHidden/>
                <w:sz w:val="22"/>
                <w:szCs w:val="22"/>
              </w:rPr>
              <w:instrText xml:space="preserve"> PAGEREF _Toc234251803 \h </w:instrText>
            </w:r>
            <w:r w:rsidRPr="001E6459">
              <w:rPr>
                <w:rFonts w:ascii="Arial" w:hAnsi="Arial" w:cs="Arial"/>
                <w:noProof/>
                <w:webHidden/>
                <w:sz w:val="22"/>
                <w:szCs w:val="22"/>
              </w:rPr>
            </w:r>
            <w:r w:rsidRPr="001E6459">
              <w:rPr>
                <w:rFonts w:ascii="Arial" w:hAnsi="Arial" w:cs="Arial"/>
                <w:noProof/>
                <w:webHidden/>
                <w:sz w:val="22"/>
                <w:szCs w:val="22"/>
              </w:rPr>
              <w:fldChar w:fldCharType="separate"/>
            </w:r>
            <w:r w:rsidR="00656C02" w:rsidRPr="001E6459">
              <w:rPr>
                <w:rFonts w:ascii="Arial" w:hAnsi="Arial" w:cs="Arial"/>
                <w:noProof/>
                <w:webHidden/>
                <w:sz w:val="22"/>
                <w:szCs w:val="22"/>
              </w:rPr>
              <w:t>10</w:t>
            </w:r>
            <w:r w:rsidRPr="001E6459">
              <w:rPr>
                <w:rFonts w:ascii="Arial" w:hAnsi="Arial" w:cs="Arial"/>
                <w:noProof/>
                <w:webHidden/>
                <w:sz w:val="22"/>
                <w:szCs w:val="22"/>
              </w:rPr>
              <w:fldChar w:fldCharType="end"/>
            </w:r>
          </w:hyperlink>
        </w:p>
        <w:p w14:paraId="783B3A01" w14:textId="79AC3CA7" w:rsidR="00DA08AF" w:rsidRPr="001E6459" w:rsidRDefault="00DA08AF" w:rsidP="001E6459">
          <w:pPr>
            <w:jc w:val="both"/>
            <w:rPr>
              <w:rFonts w:ascii="Arial" w:hAnsi="Arial" w:cs="Arial"/>
              <w:szCs w:val="22"/>
            </w:rPr>
          </w:pPr>
          <w:r w:rsidRPr="001E6459">
            <w:rPr>
              <w:rFonts w:ascii="Arial" w:hAnsi="Arial" w:cs="Arial"/>
              <w:noProof/>
              <w:szCs w:val="22"/>
            </w:rPr>
            <w:fldChar w:fldCharType="end"/>
          </w:r>
        </w:p>
      </w:sdtContent>
    </w:sdt>
    <w:p w14:paraId="30B556B2" w14:textId="77777777" w:rsidR="00DA08AF" w:rsidRPr="001E6459" w:rsidRDefault="00DA08AF" w:rsidP="00BF7815">
      <w:pPr>
        <w:jc w:val="both"/>
        <w:rPr>
          <w:rFonts w:ascii="Arial" w:hAnsi="Arial" w:cs="Arial"/>
          <w:szCs w:val="22"/>
        </w:rPr>
      </w:pPr>
    </w:p>
    <w:p w14:paraId="667A12C4" w14:textId="77777777" w:rsidR="00DA08AF" w:rsidRPr="001E6459" w:rsidRDefault="00DA08AF" w:rsidP="00BF7815">
      <w:pPr>
        <w:jc w:val="both"/>
        <w:rPr>
          <w:rFonts w:ascii="Arial" w:hAnsi="Arial" w:cs="Arial"/>
          <w:szCs w:val="22"/>
        </w:rPr>
      </w:pPr>
    </w:p>
    <w:p w14:paraId="44E88189" w14:textId="77777777" w:rsidR="00DA08AF" w:rsidRPr="001E6459" w:rsidRDefault="00DA08AF" w:rsidP="00BF7815">
      <w:pPr>
        <w:jc w:val="both"/>
        <w:rPr>
          <w:rFonts w:ascii="Arial" w:hAnsi="Arial" w:cs="Arial"/>
          <w:szCs w:val="22"/>
        </w:rPr>
      </w:pPr>
    </w:p>
    <w:p w14:paraId="6894D973" w14:textId="77777777" w:rsidR="00DA08AF" w:rsidRPr="001E6459" w:rsidRDefault="00DA08AF" w:rsidP="00BF7815">
      <w:pPr>
        <w:jc w:val="both"/>
        <w:rPr>
          <w:rFonts w:ascii="Arial" w:hAnsi="Arial" w:cs="Arial"/>
          <w:szCs w:val="22"/>
        </w:rPr>
      </w:pPr>
    </w:p>
    <w:p w14:paraId="571220BD" w14:textId="77777777" w:rsidR="00DA08AF" w:rsidRPr="001E6459" w:rsidRDefault="00DA08AF" w:rsidP="00BF7815">
      <w:pPr>
        <w:jc w:val="both"/>
        <w:rPr>
          <w:rFonts w:ascii="Arial" w:hAnsi="Arial" w:cs="Arial"/>
          <w:szCs w:val="22"/>
        </w:rPr>
      </w:pPr>
    </w:p>
    <w:p w14:paraId="353B9361" w14:textId="77777777" w:rsidR="00DA08AF" w:rsidRPr="001E6459" w:rsidRDefault="00DA08AF" w:rsidP="00BF7815">
      <w:pPr>
        <w:jc w:val="both"/>
        <w:rPr>
          <w:rFonts w:ascii="Arial" w:hAnsi="Arial" w:cs="Arial"/>
          <w:szCs w:val="22"/>
        </w:rPr>
      </w:pPr>
    </w:p>
    <w:p w14:paraId="773087E3" w14:textId="77777777" w:rsidR="00DA08AF" w:rsidRPr="001E6459" w:rsidRDefault="00DA08AF" w:rsidP="00BF7815">
      <w:pPr>
        <w:jc w:val="both"/>
        <w:rPr>
          <w:rFonts w:ascii="Arial" w:hAnsi="Arial" w:cs="Arial"/>
          <w:szCs w:val="22"/>
        </w:rPr>
      </w:pPr>
    </w:p>
    <w:p w14:paraId="14170D38" w14:textId="77777777" w:rsidR="00DA08AF" w:rsidRPr="001E6459" w:rsidRDefault="00DA08AF" w:rsidP="00BF7815">
      <w:pPr>
        <w:jc w:val="both"/>
        <w:rPr>
          <w:rFonts w:ascii="Arial" w:hAnsi="Arial" w:cs="Arial"/>
          <w:szCs w:val="22"/>
        </w:rPr>
      </w:pPr>
    </w:p>
    <w:p w14:paraId="1C13BF02" w14:textId="77777777" w:rsidR="00DA08AF" w:rsidRPr="001E6459" w:rsidRDefault="00DA08AF" w:rsidP="00BF7815">
      <w:pPr>
        <w:jc w:val="both"/>
        <w:rPr>
          <w:rFonts w:ascii="Arial" w:hAnsi="Arial" w:cs="Arial"/>
          <w:szCs w:val="22"/>
        </w:rPr>
      </w:pPr>
    </w:p>
    <w:p w14:paraId="7EEF80F0" w14:textId="77777777" w:rsidR="00DA08AF" w:rsidRPr="001E6459" w:rsidRDefault="00DA08AF" w:rsidP="00BF7815">
      <w:pPr>
        <w:jc w:val="both"/>
        <w:rPr>
          <w:rFonts w:ascii="Arial" w:hAnsi="Arial" w:cs="Arial"/>
          <w:szCs w:val="22"/>
        </w:rPr>
      </w:pPr>
    </w:p>
    <w:p w14:paraId="55265784" w14:textId="77777777" w:rsidR="001E6459" w:rsidRDefault="001E6459" w:rsidP="00BF7815">
      <w:pPr>
        <w:jc w:val="both"/>
        <w:rPr>
          <w:rFonts w:ascii="Arial" w:hAnsi="Arial" w:cs="Arial"/>
          <w:szCs w:val="22"/>
        </w:rPr>
      </w:pPr>
    </w:p>
    <w:p w14:paraId="7BD7D30B" w14:textId="77777777" w:rsidR="001E6459" w:rsidRPr="001E6459" w:rsidRDefault="001E6459" w:rsidP="00BF7815">
      <w:pPr>
        <w:jc w:val="both"/>
        <w:rPr>
          <w:rFonts w:ascii="Arial" w:hAnsi="Arial" w:cs="Arial"/>
          <w:szCs w:val="22"/>
        </w:rPr>
      </w:pPr>
    </w:p>
    <w:p w14:paraId="224DD6BB" w14:textId="77777777" w:rsidR="00A3124E" w:rsidRPr="001E6459" w:rsidRDefault="00A3124E" w:rsidP="001E6459">
      <w:pPr>
        <w:pStyle w:val="Heading1"/>
        <w:jc w:val="both"/>
        <w:rPr>
          <w:rFonts w:ascii="Arial" w:hAnsi="Arial" w:cs="Arial"/>
          <w:sz w:val="22"/>
          <w:szCs w:val="22"/>
        </w:rPr>
      </w:pPr>
      <w:bookmarkStart w:id="0" w:name="_Toc234251795"/>
      <w:r w:rsidRPr="001E6459">
        <w:rPr>
          <w:rFonts w:ascii="Arial" w:hAnsi="Arial" w:cs="Arial"/>
          <w:sz w:val="22"/>
          <w:szCs w:val="22"/>
        </w:rPr>
        <w:lastRenderedPageBreak/>
        <w:t>Introduction</w:t>
      </w:r>
      <w:bookmarkEnd w:id="0"/>
    </w:p>
    <w:p w14:paraId="019C0E4A" w14:textId="36216C8D" w:rsidR="005F0011" w:rsidRPr="001E6459" w:rsidRDefault="005F0011" w:rsidP="001E6459">
      <w:pPr>
        <w:pStyle w:val="NormalWeb"/>
        <w:spacing w:line="360" w:lineRule="auto"/>
        <w:jc w:val="both"/>
        <w:rPr>
          <w:rFonts w:ascii="Arial" w:hAnsi="Arial" w:cs="Arial"/>
          <w:sz w:val="22"/>
          <w:szCs w:val="22"/>
        </w:rPr>
      </w:pPr>
      <w:r w:rsidRPr="001E6459">
        <w:rPr>
          <w:rFonts w:ascii="Arial" w:hAnsi="Arial" w:cs="Arial"/>
          <w:sz w:val="22"/>
          <w:szCs w:val="22"/>
        </w:rPr>
        <w:t>The report will examine PCC and PW within the context</w:t>
      </w:r>
      <w:r w:rsidR="00E00C41" w:rsidRPr="001E6459">
        <w:rPr>
          <w:rFonts w:ascii="Arial" w:hAnsi="Arial" w:cs="Arial"/>
          <w:sz w:val="22"/>
          <w:szCs w:val="22"/>
        </w:rPr>
        <w:t xml:space="preserve"> of Health and Social Care policy and practice in the UK</w:t>
      </w:r>
      <w:r w:rsidRPr="001E6459">
        <w:rPr>
          <w:rFonts w:ascii="Arial" w:hAnsi="Arial" w:cs="Arial"/>
          <w:sz w:val="22"/>
          <w:szCs w:val="22"/>
        </w:rPr>
        <w:t>.</w:t>
      </w:r>
      <w:r w:rsidR="00E00C41" w:rsidRPr="001E6459">
        <w:rPr>
          <w:rFonts w:ascii="Arial" w:hAnsi="Arial" w:cs="Arial"/>
          <w:sz w:val="22"/>
          <w:szCs w:val="22"/>
        </w:rPr>
        <w:t xml:space="preserve"> The chosen practical health and social care setting that will be referred to throughout this report is community mental health services</w:t>
      </w:r>
      <w:r w:rsidRPr="001E6459">
        <w:rPr>
          <w:rFonts w:ascii="Arial" w:hAnsi="Arial" w:cs="Arial"/>
          <w:sz w:val="22"/>
          <w:szCs w:val="22"/>
        </w:rPr>
        <w:t>.</w:t>
      </w:r>
      <w:r w:rsidR="00E00C41" w:rsidRPr="001E6459">
        <w:rPr>
          <w:rFonts w:ascii="Arial" w:hAnsi="Arial" w:cs="Arial"/>
          <w:sz w:val="22"/>
          <w:szCs w:val="22"/>
        </w:rPr>
        <w:t xml:space="preserve"> This report will include multiple components such as; definition of PCC, advantages and disadvantages of PCC, application to relevant theories for example the Recovery model, ethical principles, an evaluation of PW with reference to relevant policy and legislation</w:t>
      </w:r>
      <w:r w:rsidR="00840E9F" w:rsidRPr="001E6459">
        <w:rPr>
          <w:rFonts w:ascii="Arial" w:hAnsi="Arial" w:cs="Arial"/>
          <w:sz w:val="22"/>
          <w:szCs w:val="22"/>
        </w:rPr>
        <w:t xml:space="preserve"> and</w:t>
      </w:r>
      <w:r w:rsidR="00E00C41" w:rsidRPr="001E6459">
        <w:rPr>
          <w:rFonts w:ascii="Arial" w:hAnsi="Arial" w:cs="Arial"/>
          <w:sz w:val="22"/>
          <w:szCs w:val="22"/>
        </w:rPr>
        <w:t xml:space="preserve"> lastly recommendations for</w:t>
      </w:r>
      <w:r w:rsidR="00840E9F" w:rsidRPr="001E6459">
        <w:rPr>
          <w:rFonts w:ascii="Arial" w:hAnsi="Arial" w:cs="Arial"/>
          <w:sz w:val="22"/>
          <w:szCs w:val="22"/>
        </w:rPr>
        <w:t xml:space="preserve"> the</w:t>
      </w:r>
      <w:r w:rsidR="00E00C41" w:rsidRPr="001E6459">
        <w:rPr>
          <w:rFonts w:ascii="Arial" w:hAnsi="Arial" w:cs="Arial"/>
          <w:sz w:val="22"/>
          <w:szCs w:val="22"/>
        </w:rPr>
        <w:t xml:space="preserve"> future development of PCC and PW</w:t>
      </w:r>
      <w:r w:rsidR="00B27C21" w:rsidRPr="001E6459">
        <w:rPr>
          <w:rFonts w:ascii="Arial" w:hAnsi="Arial" w:cs="Arial"/>
          <w:sz w:val="22"/>
          <w:szCs w:val="22"/>
        </w:rPr>
        <w:t>.</w:t>
      </w:r>
    </w:p>
    <w:p w14:paraId="6DF64528" w14:textId="77777777" w:rsidR="00EC79B6" w:rsidRPr="001E6459" w:rsidRDefault="00EC79B6" w:rsidP="001E6459">
      <w:pPr>
        <w:pStyle w:val="NormalWeb"/>
        <w:spacing w:line="360" w:lineRule="auto"/>
        <w:jc w:val="both"/>
        <w:rPr>
          <w:rFonts w:ascii="Arial" w:hAnsi="Arial" w:cs="Arial"/>
          <w:sz w:val="22"/>
          <w:szCs w:val="22"/>
        </w:rPr>
      </w:pPr>
    </w:p>
    <w:p w14:paraId="1489AC12" w14:textId="6F3550A2" w:rsidR="00A3124E" w:rsidRPr="001E6459" w:rsidRDefault="00A3124E" w:rsidP="001E6459">
      <w:pPr>
        <w:pStyle w:val="Heading1"/>
        <w:jc w:val="both"/>
        <w:rPr>
          <w:rFonts w:ascii="Arial" w:hAnsi="Arial" w:cs="Arial"/>
          <w:sz w:val="22"/>
          <w:szCs w:val="22"/>
        </w:rPr>
      </w:pPr>
      <w:bookmarkStart w:id="1" w:name="_Toc234251796"/>
      <w:r w:rsidRPr="001E6459">
        <w:rPr>
          <w:rFonts w:ascii="Arial" w:hAnsi="Arial" w:cs="Arial"/>
          <w:sz w:val="22"/>
          <w:szCs w:val="22"/>
        </w:rPr>
        <w:t>Definition of person-centred care</w:t>
      </w:r>
      <w:bookmarkEnd w:id="1"/>
      <w:r w:rsidR="007F0254" w:rsidRPr="001E6459">
        <w:rPr>
          <w:rFonts w:ascii="Arial" w:hAnsi="Arial" w:cs="Arial"/>
          <w:sz w:val="22"/>
          <w:szCs w:val="22"/>
        </w:rPr>
        <w:t xml:space="preserve"> </w:t>
      </w:r>
    </w:p>
    <w:p w14:paraId="518D1954" w14:textId="38DFE01D" w:rsidR="001F0B67" w:rsidRPr="001E6459" w:rsidRDefault="00E00C41" w:rsidP="001E6459">
      <w:pPr>
        <w:pStyle w:val="NormalWeb"/>
        <w:spacing w:line="360" w:lineRule="auto"/>
        <w:jc w:val="both"/>
        <w:rPr>
          <w:rFonts w:ascii="Arial" w:hAnsi="Arial" w:cs="Arial"/>
          <w:sz w:val="22"/>
          <w:szCs w:val="22"/>
        </w:rPr>
      </w:pPr>
      <w:r w:rsidRPr="001E6459">
        <w:rPr>
          <w:rFonts w:ascii="Arial" w:hAnsi="Arial" w:cs="Arial"/>
          <w:sz w:val="22"/>
          <w:szCs w:val="22"/>
        </w:rPr>
        <w:t xml:space="preserve">Person centred care is a shared approach in providing care tailored to individuals’ </w:t>
      </w:r>
      <w:r w:rsidR="005F0011" w:rsidRPr="001E6459">
        <w:rPr>
          <w:rFonts w:ascii="Arial" w:hAnsi="Arial" w:cs="Arial"/>
          <w:sz w:val="22"/>
          <w:szCs w:val="22"/>
        </w:rPr>
        <w:t xml:space="preserve">(Coulter and Oldham, 2016). </w:t>
      </w:r>
      <w:r w:rsidR="00B27C21" w:rsidRPr="001E6459">
        <w:rPr>
          <w:rFonts w:ascii="Arial" w:hAnsi="Arial" w:cs="Arial"/>
          <w:sz w:val="22"/>
          <w:szCs w:val="22"/>
        </w:rPr>
        <w:t xml:space="preserve">PCC </w:t>
      </w:r>
      <w:r w:rsidR="00EC79B6" w:rsidRPr="001E6459">
        <w:rPr>
          <w:rFonts w:ascii="Arial" w:hAnsi="Arial" w:cs="Arial"/>
          <w:sz w:val="22"/>
          <w:szCs w:val="22"/>
        </w:rPr>
        <w:t xml:space="preserve">promotes trust and engagement, which can be valuable in mental health services. </w:t>
      </w:r>
      <w:r w:rsidR="00C9149A" w:rsidRPr="001E6459">
        <w:rPr>
          <w:rFonts w:ascii="Arial" w:hAnsi="Arial" w:cs="Arial"/>
          <w:sz w:val="22"/>
          <w:szCs w:val="22"/>
        </w:rPr>
        <w:t xml:space="preserve">It is important to adopt these approaches as most individuals receiving treatment </w:t>
      </w:r>
      <w:r w:rsidR="00B27C21" w:rsidRPr="001E6459">
        <w:rPr>
          <w:rFonts w:ascii="Arial" w:hAnsi="Arial" w:cs="Arial"/>
          <w:sz w:val="22"/>
          <w:szCs w:val="22"/>
        </w:rPr>
        <w:t>may have</w:t>
      </w:r>
      <w:r w:rsidR="00C9149A" w:rsidRPr="001E6459">
        <w:rPr>
          <w:rFonts w:ascii="Arial" w:hAnsi="Arial" w:cs="Arial"/>
          <w:sz w:val="22"/>
          <w:szCs w:val="22"/>
        </w:rPr>
        <w:t xml:space="preserve"> experienced abuse in multiple forms</w:t>
      </w:r>
      <w:r w:rsidR="00840E9F" w:rsidRPr="001E6459">
        <w:rPr>
          <w:rFonts w:ascii="Arial" w:hAnsi="Arial" w:cs="Arial"/>
          <w:sz w:val="22"/>
          <w:szCs w:val="22"/>
        </w:rPr>
        <w:t xml:space="preserve">. </w:t>
      </w:r>
      <w:r w:rsidR="00FC196C" w:rsidRPr="001E6459">
        <w:rPr>
          <w:rFonts w:ascii="Arial" w:hAnsi="Arial" w:cs="Arial"/>
          <w:sz w:val="22"/>
          <w:szCs w:val="22"/>
        </w:rPr>
        <w:t xml:space="preserve">Professionals could implement a PCC approach by </w:t>
      </w:r>
      <w:r w:rsidR="00840E9F" w:rsidRPr="001E6459">
        <w:rPr>
          <w:rFonts w:ascii="Arial" w:hAnsi="Arial" w:cs="Arial"/>
          <w:sz w:val="22"/>
          <w:szCs w:val="22"/>
        </w:rPr>
        <w:t xml:space="preserve">actively </w:t>
      </w:r>
      <w:r w:rsidR="00FC196C" w:rsidRPr="001E6459">
        <w:rPr>
          <w:rFonts w:ascii="Arial" w:hAnsi="Arial" w:cs="Arial"/>
          <w:sz w:val="22"/>
          <w:szCs w:val="22"/>
        </w:rPr>
        <w:t>listening (Robinson et al, 2008). This will encourage individuals to participate, to identify risk factors and meet the aims of their care plan</w:t>
      </w:r>
      <w:r w:rsidR="001F0B67" w:rsidRPr="001E6459">
        <w:rPr>
          <w:rFonts w:ascii="Arial" w:hAnsi="Arial" w:cs="Arial"/>
          <w:sz w:val="22"/>
          <w:szCs w:val="22"/>
        </w:rPr>
        <w:t xml:space="preserve"> (Robinson et al., 2008). </w:t>
      </w:r>
      <w:r w:rsidR="00EC79B6" w:rsidRPr="001E6459">
        <w:rPr>
          <w:rFonts w:ascii="Arial" w:hAnsi="Arial" w:cs="Arial"/>
          <w:sz w:val="22"/>
          <w:szCs w:val="22"/>
        </w:rPr>
        <w:t xml:space="preserve">Noushin Mousazadeh et al. (2025) argue that PCC is beneficial </w:t>
      </w:r>
      <w:r w:rsidR="00B27C21" w:rsidRPr="001E6459">
        <w:rPr>
          <w:rFonts w:ascii="Arial" w:hAnsi="Arial" w:cs="Arial"/>
          <w:sz w:val="22"/>
          <w:szCs w:val="22"/>
        </w:rPr>
        <w:t>in providing</w:t>
      </w:r>
      <w:r w:rsidR="00EC79B6" w:rsidRPr="001E6459">
        <w:rPr>
          <w:rFonts w:ascii="Arial" w:hAnsi="Arial" w:cs="Arial"/>
          <w:sz w:val="22"/>
          <w:szCs w:val="22"/>
        </w:rPr>
        <w:t xml:space="preserve"> a holistic approach when developing an individual’s care plan, </w:t>
      </w:r>
      <w:r w:rsidR="00B27C21" w:rsidRPr="001E6459">
        <w:rPr>
          <w:rFonts w:ascii="Arial" w:hAnsi="Arial" w:cs="Arial"/>
          <w:sz w:val="22"/>
          <w:szCs w:val="22"/>
        </w:rPr>
        <w:t>the</w:t>
      </w:r>
      <w:r w:rsidR="00EC79B6" w:rsidRPr="001E6459">
        <w:rPr>
          <w:rFonts w:ascii="Arial" w:hAnsi="Arial" w:cs="Arial"/>
          <w:sz w:val="22"/>
          <w:szCs w:val="22"/>
        </w:rPr>
        <w:t xml:space="preserve"> focus</w:t>
      </w:r>
      <w:r w:rsidR="00B27C21" w:rsidRPr="001E6459">
        <w:rPr>
          <w:rFonts w:ascii="Arial" w:hAnsi="Arial" w:cs="Arial"/>
          <w:sz w:val="22"/>
          <w:szCs w:val="22"/>
        </w:rPr>
        <w:t xml:space="preserve"> is</w:t>
      </w:r>
      <w:r w:rsidR="00EC79B6" w:rsidRPr="001E6459">
        <w:rPr>
          <w:rFonts w:ascii="Arial" w:hAnsi="Arial" w:cs="Arial"/>
          <w:sz w:val="22"/>
          <w:szCs w:val="22"/>
        </w:rPr>
        <w:t xml:space="preserve"> on understanding the individual beyond their diagnosis. In mental health services, an effective and comprehensive care plan may include consideration of communication needs, language barriers, childcare or other caring responsibilities</w:t>
      </w:r>
      <w:r w:rsidR="00B27C21" w:rsidRPr="001E6459">
        <w:rPr>
          <w:rFonts w:ascii="Arial" w:hAnsi="Arial" w:cs="Arial"/>
          <w:sz w:val="22"/>
          <w:szCs w:val="22"/>
        </w:rPr>
        <w:t xml:space="preserve"> and</w:t>
      </w:r>
      <w:r w:rsidR="00EC79B6" w:rsidRPr="001E6459">
        <w:rPr>
          <w:rFonts w:ascii="Arial" w:hAnsi="Arial" w:cs="Arial"/>
          <w:sz w:val="22"/>
          <w:szCs w:val="22"/>
        </w:rPr>
        <w:t xml:space="preserve"> religious beliefs</w:t>
      </w:r>
      <w:r w:rsidR="00B27C21" w:rsidRPr="001E6459">
        <w:rPr>
          <w:rFonts w:ascii="Arial" w:hAnsi="Arial" w:cs="Arial"/>
          <w:sz w:val="22"/>
          <w:szCs w:val="22"/>
        </w:rPr>
        <w:t xml:space="preserve"> </w:t>
      </w:r>
      <w:r w:rsidR="00EC79B6" w:rsidRPr="001E6459">
        <w:rPr>
          <w:rFonts w:ascii="Arial" w:hAnsi="Arial" w:cs="Arial"/>
          <w:sz w:val="22"/>
          <w:szCs w:val="22"/>
        </w:rPr>
        <w:t>(NICE, 2021). PCC promotes the dignity, autonomy, and empowerment of individuals by considering their preferences</w:t>
      </w:r>
      <w:r w:rsidR="00840E9F" w:rsidRPr="001E6459">
        <w:rPr>
          <w:rFonts w:ascii="Arial" w:hAnsi="Arial" w:cs="Arial"/>
          <w:sz w:val="22"/>
          <w:szCs w:val="22"/>
        </w:rPr>
        <w:t xml:space="preserve"> and</w:t>
      </w:r>
      <w:r w:rsidR="00EC79B6" w:rsidRPr="001E6459">
        <w:rPr>
          <w:rFonts w:ascii="Arial" w:hAnsi="Arial" w:cs="Arial"/>
          <w:sz w:val="22"/>
          <w:szCs w:val="22"/>
        </w:rPr>
        <w:t xml:space="preserve"> involving them in decision-making (NICE, 2021).</w:t>
      </w:r>
    </w:p>
    <w:p w14:paraId="1BACD84D" w14:textId="77777777" w:rsidR="00DE0724" w:rsidRPr="001E6459" w:rsidRDefault="00DE0724" w:rsidP="001E6459">
      <w:pPr>
        <w:pStyle w:val="NormalWeb"/>
        <w:spacing w:line="360" w:lineRule="auto"/>
        <w:jc w:val="both"/>
        <w:rPr>
          <w:rFonts w:ascii="Arial" w:hAnsi="Arial" w:cs="Arial"/>
          <w:sz w:val="22"/>
          <w:szCs w:val="22"/>
        </w:rPr>
      </w:pPr>
    </w:p>
    <w:p w14:paraId="128059A0" w14:textId="478AE1AF" w:rsidR="00714AE1" w:rsidRPr="001E6459" w:rsidRDefault="000D0246" w:rsidP="001E6459">
      <w:pPr>
        <w:pStyle w:val="NormalWeb"/>
        <w:spacing w:line="360" w:lineRule="auto"/>
        <w:jc w:val="both"/>
        <w:rPr>
          <w:rFonts w:ascii="Arial" w:hAnsi="Arial" w:cs="Arial"/>
          <w:sz w:val="22"/>
          <w:szCs w:val="22"/>
        </w:rPr>
      </w:pPr>
      <w:r w:rsidRPr="001E6459">
        <w:rPr>
          <w:rFonts w:ascii="Arial" w:hAnsi="Arial" w:cs="Arial"/>
          <w:sz w:val="22"/>
          <w:szCs w:val="22"/>
        </w:rPr>
        <w:t xml:space="preserve">The increasing pressure on mental health services presents a key challenge to PCC. High staff caseloads, increasing demand, and long waiting lists can impact resources available to professionals to provide </w:t>
      </w:r>
      <w:r w:rsidR="00B27C21" w:rsidRPr="001E6459">
        <w:rPr>
          <w:rFonts w:ascii="Arial" w:hAnsi="Arial" w:cs="Arial"/>
          <w:sz w:val="22"/>
          <w:szCs w:val="22"/>
        </w:rPr>
        <w:t>PCC</w:t>
      </w:r>
      <w:r w:rsidRPr="001E6459">
        <w:rPr>
          <w:rFonts w:ascii="Arial" w:hAnsi="Arial" w:cs="Arial"/>
          <w:sz w:val="22"/>
          <w:szCs w:val="22"/>
        </w:rPr>
        <w:t xml:space="preserve"> (NHS England, 2024).</w:t>
      </w:r>
      <w:r w:rsidRPr="001E6459">
        <w:rPr>
          <w:rFonts w:ascii="Arial" w:hAnsi="Arial" w:cs="Arial"/>
          <w:sz w:val="22"/>
          <w:szCs w:val="22"/>
        </w:rPr>
        <w:t xml:space="preserve"> </w:t>
      </w:r>
      <w:r w:rsidR="00714AE1" w:rsidRPr="001E6459">
        <w:rPr>
          <w:rFonts w:ascii="Arial" w:hAnsi="Arial" w:cs="Arial"/>
          <w:sz w:val="22"/>
          <w:szCs w:val="22"/>
        </w:rPr>
        <w:t xml:space="preserve">Furthermore, the conflict between respecting an individual’s autonomy and duty of care can become a challenge for PCC. For example, an individual may decline medication or support despite professionals identifying that this decision could place their wellbeing at a greater risk. PCC promotes the importance of respecting individual’s choices (Coulter and Oldham, 2016). </w:t>
      </w:r>
      <w:r w:rsidR="00B27C21" w:rsidRPr="001E6459">
        <w:rPr>
          <w:rFonts w:ascii="Arial" w:hAnsi="Arial" w:cs="Arial"/>
          <w:sz w:val="22"/>
          <w:szCs w:val="22"/>
        </w:rPr>
        <w:t>This</w:t>
      </w:r>
      <w:r w:rsidR="00C864F5" w:rsidRPr="001E6459">
        <w:rPr>
          <w:rFonts w:ascii="Arial" w:hAnsi="Arial" w:cs="Arial"/>
          <w:sz w:val="22"/>
          <w:szCs w:val="22"/>
        </w:rPr>
        <w:t xml:space="preserve"> </w:t>
      </w:r>
      <w:r w:rsidR="00714AE1" w:rsidRPr="001E6459">
        <w:rPr>
          <w:rFonts w:ascii="Arial" w:hAnsi="Arial" w:cs="Arial"/>
          <w:sz w:val="22"/>
          <w:szCs w:val="22"/>
        </w:rPr>
        <w:t xml:space="preserve">can be addressed with a positive risk-taking approach, where professionals collaborate with individuals to understand </w:t>
      </w:r>
      <w:r w:rsidR="00714AE1" w:rsidRPr="001E6459">
        <w:rPr>
          <w:rFonts w:ascii="Arial" w:hAnsi="Arial" w:cs="Arial"/>
          <w:sz w:val="22"/>
          <w:szCs w:val="22"/>
        </w:rPr>
        <w:lastRenderedPageBreak/>
        <w:t xml:space="preserve">their choices, identify risks or potential risks and use this information to inform safety plans that promote autonomy (Morgan, 2008). </w:t>
      </w:r>
      <w:r w:rsidR="00C864F5" w:rsidRPr="001E6459">
        <w:rPr>
          <w:rFonts w:ascii="Arial" w:hAnsi="Arial" w:cs="Arial"/>
          <w:sz w:val="22"/>
          <w:szCs w:val="22"/>
        </w:rPr>
        <w:t>This approach is reflected in</w:t>
      </w:r>
      <w:r w:rsidR="00C864F5" w:rsidRPr="001E6459">
        <w:rPr>
          <w:rFonts w:ascii="Arial" w:hAnsi="Arial" w:cs="Arial"/>
          <w:sz w:val="22"/>
          <w:szCs w:val="22"/>
        </w:rPr>
        <w:t xml:space="preserve"> the</w:t>
      </w:r>
      <w:r w:rsidR="00C864F5" w:rsidRPr="001E6459">
        <w:rPr>
          <w:rFonts w:ascii="Arial" w:hAnsi="Arial" w:cs="Arial"/>
          <w:sz w:val="22"/>
          <w:szCs w:val="22"/>
        </w:rPr>
        <w:t xml:space="preserve"> Social Care Institute for Excellence (2021) guidance</w:t>
      </w:r>
      <w:r w:rsidR="00C864F5" w:rsidRPr="001E6459">
        <w:rPr>
          <w:rFonts w:ascii="Arial" w:hAnsi="Arial" w:cs="Arial"/>
          <w:sz w:val="22"/>
          <w:szCs w:val="22"/>
        </w:rPr>
        <w:t xml:space="preserve"> that</w:t>
      </w:r>
      <w:r w:rsidR="00714AE1" w:rsidRPr="001E6459">
        <w:rPr>
          <w:rFonts w:ascii="Arial" w:hAnsi="Arial" w:cs="Arial"/>
          <w:sz w:val="22"/>
          <w:szCs w:val="22"/>
        </w:rPr>
        <w:t xml:space="preserve"> promotes the principle of exercising choice and control alongside managing risks. Therefore, positive risk-taking enables mental health services to maintain PCC by promoting decision making rather than restricting an individual’s independence.  </w:t>
      </w:r>
    </w:p>
    <w:p w14:paraId="688C655A" w14:textId="77777777" w:rsidR="00DE0724" w:rsidRPr="001E6459" w:rsidRDefault="00DE0724" w:rsidP="001E6459">
      <w:pPr>
        <w:pStyle w:val="NormalWeb"/>
        <w:spacing w:line="360" w:lineRule="auto"/>
        <w:jc w:val="both"/>
        <w:rPr>
          <w:rFonts w:ascii="Arial" w:hAnsi="Arial" w:cs="Arial"/>
          <w:sz w:val="22"/>
          <w:szCs w:val="22"/>
        </w:rPr>
      </w:pPr>
    </w:p>
    <w:p w14:paraId="483D8CB6" w14:textId="7F0AFD76" w:rsidR="00A3124E" w:rsidRPr="001E6459" w:rsidRDefault="00A3124E" w:rsidP="001E6459">
      <w:pPr>
        <w:pStyle w:val="Heading1"/>
        <w:jc w:val="both"/>
        <w:rPr>
          <w:rFonts w:ascii="Arial" w:hAnsi="Arial" w:cs="Arial"/>
          <w:sz w:val="22"/>
          <w:szCs w:val="22"/>
        </w:rPr>
      </w:pPr>
      <w:bookmarkStart w:id="2" w:name="_Toc234251797"/>
      <w:r w:rsidRPr="001E6459">
        <w:rPr>
          <w:rFonts w:ascii="Arial" w:hAnsi="Arial" w:cs="Arial"/>
          <w:sz w:val="22"/>
          <w:szCs w:val="22"/>
        </w:rPr>
        <w:t>Recovery Model</w:t>
      </w:r>
      <w:r w:rsidR="00B50FA9" w:rsidRPr="001E6459">
        <w:rPr>
          <w:rFonts w:ascii="Arial" w:hAnsi="Arial" w:cs="Arial"/>
          <w:sz w:val="22"/>
          <w:szCs w:val="22"/>
        </w:rPr>
        <w:t xml:space="preserve"> Theory</w:t>
      </w:r>
      <w:bookmarkEnd w:id="2"/>
    </w:p>
    <w:p w14:paraId="7C4BEEEA" w14:textId="09561194" w:rsidR="00A3124E" w:rsidRPr="001E6459" w:rsidRDefault="00714AE1" w:rsidP="001E6459">
      <w:pPr>
        <w:pStyle w:val="NormalWeb"/>
        <w:spacing w:line="360" w:lineRule="auto"/>
        <w:jc w:val="both"/>
        <w:rPr>
          <w:rFonts w:ascii="Arial" w:hAnsi="Arial" w:cs="Arial"/>
          <w:sz w:val="22"/>
          <w:szCs w:val="22"/>
        </w:rPr>
      </w:pPr>
      <w:r w:rsidRPr="001E6459">
        <w:rPr>
          <w:rFonts w:ascii="Arial" w:hAnsi="Arial" w:cs="Arial"/>
          <w:sz w:val="22"/>
          <w:szCs w:val="22"/>
        </w:rPr>
        <w:t xml:space="preserve">Theoretical frameworks underpin PCC. </w:t>
      </w:r>
      <w:r w:rsidR="003D0EEF" w:rsidRPr="001E6459">
        <w:rPr>
          <w:rFonts w:ascii="Arial" w:hAnsi="Arial" w:cs="Arial"/>
          <w:sz w:val="22"/>
          <w:szCs w:val="22"/>
        </w:rPr>
        <w:t>The Recovery Model is pertinent to the practice of PCC in community mental health. The Recovery Model does not define recovery in terms of the elimination of symptoms alone. Rather, it emphasi</w:t>
      </w:r>
      <w:r w:rsidR="003A267C" w:rsidRPr="001E6459">
        <w:rPr>
          <w:rFonts w:ascii="Arial" w:hAnsi="Arial" w:cs="Arial"/>
          <w:sz w:val="22"/>
          <w:szCs w:val="22"/>
        </w:rPr>
        <w:t>s</w:t>
      </w:r>
      <w:r w:rsidR="003D0EEF" w:rsidRPr="001E6459">
        <w:rPr>
          <w:rFonts w:ascii="Arial" w:hAnsi="Arial" w:cs="Arial"/>
          <w:sz w:val="22"/>
          <w:szCs w:val="22"/>
        </w:rPr>
        <w:t xml:space="preserve">es living a meaningful life, retaining one’s sense of self, </w:t>
      </w:r>
      <w:r w:rsidR="00C9149A" w:rsidRPr="001E6459">
        <w:rPr>
          <w:rFonts w:ascii="Arial" w:hAnsi="Arial" w:cs="Arial"/>
          <w:sz w:val="22"/>
          <w:szCs w:val="22"/>
        </w:rPr>
        <w:t>exercising</w:t>
      </w:r>
      <w:r w:rsidR="00FC196C" w:rsidRPr="001E6459">
        <w:rPr>
          <w:rFonts w:ascii="Arial" w:hAnsi="Arial" w:cs="Arial"/>
          <w:sz w:val="22"/>
          <w:szCs w:val="22"/>
        </w:rPr>
        <w:t xml:space="preserve"> control</w:t>
      </w:r>
      <w:r w:rsidR="004E1181" w:rsidRPr="001E6459">
        <w:rPr>
          <w:rFonts w:ascii="Arial" w:hAnsi="Arial" w:cs="Arial"/>
          <w:sz w:val="22"/>
          <w:szCs w:val="22"/>
        </w:rPr>
        <w:t xml:space="preserve">, </w:t>
      </w:r>
      <w:r w:rsidR="003D0EEF" w:rsidRPr="001E6459">
        <w:rPr>
          <w:rFonts w:ascii="Arial" w:hAnsi="Arial" w:cs="Arial"/>
          <w:sz w:val="22"/>
          <w:szCs w:val="22"/>
        </w:rPr>
        <w:t>and supportive relationships.</w:t>
      </w:r>
      <w:r w:rsidR="00FC196C" w:rsidRPr="001E6459">
        <w:rPr>
          <w:rFonts w:ascii="Arial" w:hAnsi="Arial" w:cs="Arial"/>
          <w:sz w:val="22"/>
          <w:szCs w:val="22"/>
        </w:rPr>
        <w:t xml:space="preserve"> </w:t>
      </w:r>
    </w:p>
    <w:p w14:paraId="76CF6715" w14:textId="77777777" w:rsidR="00DE0724" w:rsidRPr="001E6459" w:rsidRDefault="00DE0724" w:rsidP="001E6459">
      <w:pPr>
        <w:pStyle w:val="NormalWeb"/>
        <w:spacing w:line="360" w:lineRule="auto"/>
        <w:jc w:val="both"/>
        <w:rPr>
          <w:rFonts w:ascii="Arial" w:hAnsi="Arial" w:cs="Arial"/>
          <w:sz w:val="22"/>
          <w:szCs w:val="22"/>
        </w:rPr>
      </w:pPr>
    </w:p>
    <w:p w14:paraId="04A02CFB" w14:textId="2844E5B2" w:rsidR="004E1181" w:rsidRPr="001E6459" w:rsidRDefault="00FC196C" w:rsidP="001E6459">
      <w:pPr>
        <w:pStyle w:val="NormalWeb"/>
        <w:spacing w:line="360" w:lineRule="auto"/>
        <w:jc w:val="both"/>
        <w:rPr>
          <w:rFonts w:ascii="Arial" w:hAnsi="Arial" w:cs="Arial"/>
          <w:sz w:val="22"/>
          <w:szCs w:val="22"/>
        </w:rPr>
      </w:pPr>
      <w:r w:rsidRPr="001E6459">
        <w:rPr>
          <w:rFonts w:ascii="Arial" w:hAnsi="Arial" w:cs="Arial"/>
          <w:sz w:val="22"/>
          <w:szCs w:val="22"/>
        </w:rPr>
        <w:t xml:space="preserve">In mental health practice the Recovery model can be applied to take into consideration what is important to the person. </w:t>
      </w:r>
      <w:r w:rsidR="00D560CC" w:rsidRPr="001E6459">
        <w:rPr>
          <w:rFonts w:ascii="Arial" w:hAnsi="Arial" w:cs="Arial"/>
          <w:sz w:val="22"/>
          <w:szCs w:val="22"/>
        </w:rPr>
        <w:t xml:space="preserve">The Recovery Model promotes shared decision making, goal setting, </w:t>
      </w:r>
      <w:r w:rsidRPr="001E6459">
        <w:rPr>
          <w:rFonts w:ascii="Arial" w:hAnsi="Arial" w:cs="Arial"/>
          <w:sz w:val="22"/>
          <w:szCs w:val="22"/>
        </w:rPr>
        <w:t>strengths-based</w:t>
      </w:r>
      <w:r w:rsidR="00D560CC" w:rsidRPr="001E6459">
        <w:rPr>
          <w:rFonts w:ascii="Arial" w:hAnsi="Arial" w:cs="Arial"/>
          <w:sz w:val="22"/>
          <w:szCs w:val="22"/>
        </w:rPr>
        <w:t xml:space="preserve"> assessment, and self-management.</w:t>
      </w:r>
      <w:r w:rsidRPr="001E6459">
        <w:rPr>
          <w:rFonts w:ascii="Arial" w:hAnsi="Arial" w:cs="Arial"/>
          <w:sz w:val="22"/>
          <w:szCs w:val="22"/>
        </w:rPr>
        <w:t xml:space="preserve"> This model can be collaborated with PW with the view that recovery can be enhanced with involvement from health, housing, social care and other partnership agencies </w:t>
      </w:r>
      <w:r w:rsidR="004B47C5" w:rsidRPr="001E6459">
        <w:rPr>
          <w:rFonts w:ascii="Arial" w:hAnsi="Arial" w:cs="Arial"/>
          <w:sz w:val="22"/>
          <w:szCs w:val="22"/>
        </w:rPr>
        <w:t>(Ragins and Sunkel, 2024)</w:t>
      </w:r>
      <w:r w:rsidR="00A3124E" w:rsidRPr="001E6459">
        <w:rPr>
          <w:rFonts w:ascii="Arial" w:hAnsi="Arial" w:cs="Arial"/>
          <w:sz w:val="22"/>
          <w:szCs w:val="22"/>
        </w:rPr>
        <w:t>.</w:t>
      </w:r>
      <w:bookmarkStart w:id="3" w:name="_Toc234251798"/>
      <w:r w:rsidR="006A41D8" w:rsidRPr="001E6459">
        <w:rPr>
          <w:rFonts w:ascii="Arial" w:hAnsi="Arial" w:cs="Arial"/>
          <w:sz w:val="22"/>
          <w:szCs w:val="22"/>
        </w:rPr>
        <w:t xml:space="preserve"> </w:t>
      </w:r>
      <w:r w:rsidR="004E1181" w:rsidRPr="001E6459">
        <w:rPr>
          <w:rFonts w:ascii="Arial" w:hAnsi="Arial" w:cs="Arial"/>
          <w:sz w:val="22"/>
          <w:szCs w:val="22"/>
        </w:rPr>
        <w:t xml:space="preserve">However, Inta et al. (2026) argue that the recovery approach may not be empowering for all,  as the approach can burden individuals without offering effective help. For example, encouraging an individual with mental health to maximise their independence may be beneficial when collaborated with support. </w:t>
      </w:r>
      <w:r w:rsidR="006A41D8" w:rsidRPr="001E6459">
        <w:rPr>
          <w:rFonts w:ascii="Arial" w:hAnsi="Arial" w:cs="Arial"/>
          <w:sz w:val="22"/>
          <w:szCs w:val="22"/>
        </w:rPr>
        <w:t xml:space="preserve">Professionals can use the recovery approach to balance between promoting autonomy and providing support through positive affirmations, setting goals collaboratively, and strengths-based working  (Leamy et al., 2011). </w:t>
      </w:r>
      <w:r w:rsidR="004E1181" w:rsidRPr="001E6459">
        <w:rPr>
          <w:rFonts w:ascii="Arial" w:hAnsi="Arial" w:cs="Arial"/>
          <w:sz w:val="22"/>
          <w:szCs w:val="22"/>
        </w:rPr>
        <w:t xml:space="preserve">However, if this is promoted without providing appropriate interventions this can </w:t>
      </w:r>
      <w:r w:rsidR="006A41D8" w:rsidRPr="001E6459">
        <w:rPr>
          <w:rFonts w:ascii="Arial" w:hAnsi="Arial" w:cs="Arial"/>
          <w:sz w:val="22"/>
          <w:szCs w:val="22"/>
        </w:rPr>
        <w:t>be ineffective</w:t>
      </w:r>
      <w:r w:rsidR="004E1181" w:rsidRPr="001E6459">
        <w:rPr>
          <w:rFonts w:ascii="Arial" w:hAnsi="Arial" w:cs="Arial"/>
          <w:sz w:val="22"/>
          <w:szCs w:val="22"/>
        </w:rPr>
        <w:t xml:space="preserve">. This highlights a limitation of the recovery approach, as empowerment can be misinterpreted. </w:t>
      </w:r>
      <w:r w:rsidR="006A41D8" w:rsidRPr="001E6459">
        <w:rPr>
          <w:rFonts w:ascii="Arial" w:hAnsi="Arial" w:cs="Arial"/>
          <w:sz w:val="22"/>
          <w:szCs w:val="22"/>
        </w:rPr>
        <w:t xml:space="preserve"> </w:t>
      </w:r>
    </w:p>
    <w:p w14:paraId="4CDB3309" w14:textId="77777777" w:rsidR="00DE0724" w:rsidRPr="001E6459" w:rsidRDefault="00DE0724" w:rsidP="001E6459">
      <w:pPr>
        <w:jc w:val="both"/>
        <w:rPr>
          <w:rFonts w:ascii="Arial" w:hAnsi="Arial" w:cs="Arial"/>
          <w:szCs w:val="22"/>
        </w:rPr>
      </w:pPr>
    </w:p>
    <w:p w14:paraId="09910C1C" w14:textId="77777777" w:rsidR="00A3124E" w:rsidRPr="001E6459" w:rsidRDefault="00A3124E" w:rsidP="001E6459">
      <w:pPr>
        <w:pStyle w:val="Heading1"/>
        <w:jc w:val="both"/>
        <w:rPr>
          <w:rFonts w:ascii="Arial" w:hAnsi="Arial" w:cs="Arial"/>
          <w:sz w:val="22"/>
          <w:szCs w:val="22"/>
        </w:rPr>
      </w:pPr>
      <w:r w:rsidRPr="001E6459">
        <w:rPr>
          <w:rFonts w:ascii="Arial" w:hAnsi="Arial" w:cs="Arial"/>
          <w:sz w:val="22"/>
          <w:szCs w:val="22"/>
        </w:rPr>
        <w:t>Ethical fundamentals</w:t>
      </w:r>
      <w:bookmarkEnd w:id="3"/>
    </w:p>
    <w:p w14:paraId="65360749" w14:textId="2C8B8168" w:rsidR="009D3D3C" w:rsidRPr="001E6459" w:rsidRDefault="009D3D3C" w:rsidP="001E6459">
      <w:pPr>
        <w:pStyle w:val="NormalWeb"/>
        <w:spacing w:line="360" w:lineRule="auto"/>
        <w:jc w:val="both"/>
        <w:rPr>
          <w:rFonts w:ascii="Arial" w:hAnsi="Arial" w:cs="Arial"/>
          <w:sz w:val="22"/>
          <w:szCs w:val="22"/>
        </w:rPr>
      </w:pPr>
      <w:r w:rsidRPr="001E6459">
        <w:rPr>
          <w:rFonts w:ascii="Arial" w:hAnsi="Arial" w:cs="Arial"/>
          <w:sz w:val="22"/>
          <w:szCs w:val="22"/>
        </w:rPr>
        <w:t>Health and Social Care</w:t>
      </w:r>
      <w:r w:rsidR="00F80FFF" w:rsidRPr="001E6459">
        <w:rPr>
          <w:rFonts w:ascii="Arial" w:hAnsi="Arial" w:cs="Arial"/>
          <w:sz w:val="22"/>
          <w:szCs w:val="22"/>
        </w:rPr>
        <w:t xml:space="preserve"> practice</w:t>
      </w:r>
      <w:r w:rsidRPr="001E6459">
        <w:rPr>
          <w:rFonts w:ascii="Arial" w:hAnsi="Arial" w:cs="Arial"/>
          <w:sz w:val="22"/>
          <w:szCs w:val="22"/>
        </w:rPr>
        <w:t xml:space="preserve"> is underpinned by ethical principles (Nursing and Midwifery Council, 2023). Ethical principles such as autonomy, beneficence, non-maleficence and </w:t>
      </w:r>
      <w:r w:rsidRPr="001E6459">
        <w:rPr>
          <w:rFonts w:ascii="Arial" w:hAnsi="Arial" w:cs="Arial"/>
          <w:sz w:val="22"/>
          <w:szCs w:val="22"/>
        </w:rPr>
        <w:lastRenderedPageBreak/>
        <w:t xml:space="preserve">justice are important within community mental health services. Respect for autonomy recognises an individual’s freedom to make their own decisions (Varkey, 2021). Within PCC, this includes providing </w:t>
      </w:r>
      <w:r w:rsidR="00F80FFF" w:rsidRPr="001E6459">
        <w:rPr>
          <w:rFonts w:ascii="Arial" w:hAnsi="Arial" w:cs="Arial"/>
          <w:sz w:val="22"/>
          <w:szCs w:val="22"/>
        </w:rPr>
        <w:t>individuals</w:t>
      </w:r>
      <w:r w:rsidRPr="001E6459">
        <w:rPr>
          <w:rFonts w:ascii="Arial" w:hAnsi="Arial" w:cs="Arial"/>
          <w:sz w:val="22"/>
          <w:szCs w:val="22"/>
        </w:rPr>
        <w:t xml:space="preserve"> with information and involving them in the decision-making process</w:t>
      </w:r>
      <w:r w:rsidR="00D706D1" w:rsidRPr="001E6459">
        <w:rPr>
          <w:rFonts w:ascii="Arial" w:hAnsi="Arial" w:cs="Arial"/>
          <w:sz w:val="22"/>
          <w:szCs w:val="22"/>
        </w:rPr>
        <w:t xml:space="preserve"> (NICE, 2021)</w:t>
      </w:r>
      <w:r w:rsidRPr="001E6459">
        <w:rPr>
          <w:rFonts w:ascii="Arial" w:hAnsi="Arial" w:cs="Arial"/>
          <w:sz w:val="22"/>
          <w:szCs w:val="22"/>
        </w:rPr>
        <w:t xml:space="preserve">. </w:t>
      </w:r>
      <w:r w:rsidR="00E44CF4" w:rsidRPr="001E6459">
        <w:rPr>
          <w:rFonts w:ascii="Arial" w:hAnsi="Arial" w:cs="Arial"/>
          <w:sz w:val="22"/>
          <w:szCs w:val="22"/>
        </w:rPr>
        <w:t xml:space="preserve">Non-maleficence is important to inform interventions, </w:t>
      </w:r>
      <w:r w:rsidR="00F80FFF" w:rsidRPr="001E6459">
        <w:rPr>
          <w:rFonts w:ascii="Arial" w:hAnsi="Arial" w:cs="Arial"/>
          <w:sz w:val="22"/>
          <w:szCs w:val="22"/>
        </w:rPr>
        <w:t>medication</w:t>
      </w:r>
      <w:r w:rsidR="00E44CF4" w:rsidRPr="001E6459">
        <w:rPr>
          <w:rFonts w:ascii="Arial" w:hAnsi="Arial" w:cs="Arial"/>
          <w:sz w:val="22"/>
          <w:szCs w:val="22"/>
        </w:rPr>
        <w:t xml:space="preserve"> decisions and risk management plans. Whilst</w:t>
      </w:r>
      <w:r w:rsidR="00E44CF4" w:rsidRPr="001E6459">
        <w:rPr>
          <w:rFonts w:ascii="Arial" w:hAnsi="Arial" w:cs="Arial"/>
          <w:sz w:val="22"/>
          <w:szCs w:val="22"/>
        </w:rPr>
        <w:t xml:space="preserve"> justice supports the ideology of equal access in care and support as socioeconomic issues, culture and communication barriers are recognised as barriers to the provision of mental health support (Varkey, 2021).</w:t>
      </w:r>
    </w:p>
    <w:p w14:paraId="108AA27E" w14:textId="77777777" w:rsidR="009D3D3C" w:rsidRPr="001E6459" w:rsidRDefault="009D3D3C" w:rsidP="001E6459">
      <w:pPr>
        <w:pStyle w:val="NormalWeb"/>
        <w:spacing w:line="360" w:lineRule="auto"/>
        <w:jc w:val="both"/>
        <w:rPr>
          <w:rFonts w:ascii="Arial" w:hAnsi="Arial" w:cs="Arial"/>
          <w:sz w:val="22"/>
          <w:szCs w:val="22"/>
        </w:rPr>
      </w:pPr>
    </w:p>
    <w:p w14:paraId="32334F8B" w14:textId="0707E00F" w:rsidR="00E44CF4" w:rsidRPr="001E6459" w:rsidRDefault="000D1B86" w:rsidP="001E6459">
      <w:pPr>
        <w:pStyle w:val="NormalWeb"/>
        <w:spacing w:line="360" w:lineRule="auto"/>
        <w:jc w:val="both"/>
        <w:rPr>
          <w:rFonts w:ascii="Arial" w:hAnsi="Arial" w:cs="Arial"/>
          <w:sz w:val="22"/>
          <w:szCs w:val="22"/>
        </w:rPr>
      </w:pPr>
      <w:r w:rsidRPr="001E6459">
        <w:rPr>
          <w:rFonts w:ascii="Arial" w:hAnsi="Arial" w:cs="Arial"/>
          <w:sz w:val="22"/>
          <w:szCs w:val="22"/>
        </w:rPr>
        <w:t xml:space="preserve">Beneficence is the ethical responsibility to act in the best interests of individuals (Varkey, 2021). Beneficence can become an ethical dilemma within mental health services. </w:t>
      </w:r>
      <w:r w:rsidR="00E44CF4" w:rsidRPr="001E6459">
        <w:rPr>
          <w:rFonts w:ascii="Arial" w:hAnsi="Arial" w:cs="Arial"/>
          <w:sz w:val="22"/>
          <w:szCs w:val="22"/>
        </w:rPr>
        <w:t xml:space="preserve">For example, an individual with depression may decline support with their care needs or medication despite </w:t>
      </w:r>
      <w:r w:rsidR="00F80FFF" w:rsidRPr="001E6459">
        <w:rPr>
          <w:rFonts w:ascii="Arial" w:hAnsi="Arial" w:cs="Arial"/>
          <w:sz w:val="22"/>
          <w:szCs w:val="22"/>
        </w:rPr>
        <w:t xml:space="preserve">potential risks of self-neglect. However, </w:t>
      </w:r>
      <w:r w:rsidR="00C864F5" w:rsidRPr="001E6459">
        <w:rPr>
          <w:rFonts w:ascii="Arial" w:hAnsi="Arial" w:cs="Arial"/>
          <w:sz w:val="22"/>
          <w:szCs w:val="22"/>
        </w:rPr>
        <w:t>from the</w:t>
      </w:r>
      <w:r w:rsidR="00F80FFF" w:rsidRPr="001E6459">
        <w:rPr>
          <w:rFonts w:ascii="Arial" w:hAnsi="Arial" w:cs="Arial"/>
          <w:sz w:val="22"/>
          <w:szCs w:val="22"/>
        </w:rPr>
        <w:t xml:space="preserve"> individuals</w:t>
      </w:r>
      <w:r w:rsidR="00C864F5" w:rsidRPr="001E6459">
        <w:rPr>
          <w:rFonts w:ascii="Arial" w:hAnsi="Arial" w:cs="Arial"/>
          <w:sz w:val="22"/>
          <w:szCs w:val="22"/>
        </w:rPr>
        <w:t xml:space="preserve"> point of view they</w:t>
      </w:r>
      <w:r w:rsidR="00F80FFF" w:rsidRPr="001E6459">
        <w:rPr>
          <w:rFonts w:ascii="Arial" w:hAnsi="Arial" w:cs="Arial"/>
          <w:sz w:val="22"/>
          <w:szCs w:val="22"/>
        </w:rPr>
        <w:t xml:space="preserve"> may refuse support if they had a negative experience with services in the past. </w:t>
      </w:r>
      <w:r w:rsidRPr="001E6459">
        <w:rPr>
          <w:rFonts w:ascii="Arial" w:hAnsi="Arial" w:cs="Arial"/>
          <w:sz w:val="22"/>
          <w:szCs w:val="22"/>
        </w:rPr>
        <w:t xml:space="preserve">It is important beneficence is balanced with autonomy and the individual’s right to make decisions about their own care. </w:t>
      </w:r>
      <w:r w:rsidR="00C864F5" w:rsidRPr="001E6459">
        <w:rPr>
          <w:rFonts w:ascii="Arial" w:hAnsi="Arial" w:cs="Arial"/>
          <w:sz w:val="22"/>
          <w:szCs w:val="22"/>
        </w:rPr>
        <w:t>PW</w:t>
      </w:r>
      <w:r w:rsidR="00E44CF4" w:rsidRPr="001E6459">
        <w:rPr>
          <w:rFonts w:ascii="Arial" w:hAnsi="Arial" w:cs="Arial"/>
          <w:sz w:val="22"/>
          <w:szCs w:val="22"/>
        </w:rPr>
        <w:t xml:space="preserve"> supports professionals and individuals to make decisions collaboratively </w:t>
      </w:r>
      <w:r w:rsidRPr="001E6459">
        <w:rPr>
          <w:rFonts w:ascii="Arial" w:hAnsi="Arial" w:cs="Arial"/>
          <w:sz w:val="22"/>
          <w:szCs w:val="22"/>
        </w:rPr>
        <w:t xml:space="preserve">(Coulter and Collins, 2011). Therefore, this reduces the risk of professionals making decisions for individual’s instead this promotes PCC and PW. </w:t>
      </w:r>
      <w:r w:rsidR="00F80FFF" w:rsidRPr="001E6459">
        <w:rPr>
          <w:rFonts w:ascii="Arial" w:hAnsi="Arial" w:cs="Arial"/>
          <w:sz w:val="22"/>
          <w:szCs w:val="22"/>
        </w:rPr>
        <w:t xml:space="preserve"> </w:t>
      </w:r>
    </w:p>
    <w:p w14:paraId="106CCE42" w14:textId="77777777" w:rsidR="00E44CF4" w:rsidRPr="001E6459" w:rsidRDefault="00E44CF4" w:rsidP="001E6459">
      <w:pPr>
        <w:pStyle w:val="NormalWeb"/>
        <w:spacing w:line="360" w:lineRule="auto"/>
        <w:jc w:val="both"/>
        <w:rPr>
          <w:rFonts w:ascii="Arial" w:hAnsi="Arial" w:cs="Arial"/>
          <w:sz w:val="22"/>
          <w:szCs w:val="22"/>
        </w:rPr>
      </w:pPr>
    </w:p>
    <w:p w14:paraId="31C4EAF6" w14:textId="493596CE" w:rsidR="00A3124E" w:rsidRPr="001E6459" w:rsidRDefault="00A3124E" w:rsidP="001E6459">
      <w:pPr>
        <w:pStyle w:val="Heading1"/>
        <w:jc w:val="both"/>
        <w:rPr>
          <w:rFonts w:ascii="Arial" w:hAnsi="Arial" w:cs="Arial"/>
          <w:sz w:val="22"/>
          <w:szCs w:val="22"/>
        </w:rPr>
      </w:pPr>
      <w:bookmarkStart w:id="4" w:name="_Toc234251799"/>
      <w:r w:rsidRPr="001E6459">
        <w:rPr>
          <w:rFonts w:ascii="Arial" w:hAnsi="Arial" w:cs="Arial"/>
          <w:sz w:val="22"/>
          <w:szCs w:val="22"/>
        </w:rPr>
        <w:t>Evaluation of partnership working</w:t>
      </w:r>
      <w:bookmarkEnd w:id="4"/>
      <w:r w:rsidR="007F0254" w:rsidRPr="001E6459">
        <w:rPr>
          <w:rFonts w:ascii="Arial" w:hAnsi="Arial" w:cs="Arial"/>
          <w:sz w:val="22"/>
          <w:szCs w:val="22"/>
        </w:rPr>
        <w:t xml:space="preserve"> </w:t>
      </w:r>
    </w:p>
    <w:p w14:paraId="59778F0A" w14:textId="6D271D2A" w:rsidR="00F26CF7" w:rsidRPr="001E6459" w:rsidRDefault="007F0254" w:rsidP="001E6459">
      <w:pPr>
        <w:pStyle w:val="NormalWeb"/>
        <w:spacing w:line="360" w:lineRule="auto"/>
        <w:jc w:val="both"/>
        <w:rPr>
          <w:rFonts w:ascii="Arial" w:hAnsi="Arial" w:cs="Arial"/>
          <w:sz w:val="22"/>
          <w:szCs w:val="22"/>
        </w:rPr>
      </w:pPr>
      <w:r w:rsidRPr="001E6459">
        <w:rPr>
          <w:rFonts w:ascii="Arial" w:hAnsi="Arial" w:cs="Arial"/>
          <w:sz w:val="22"/>
          <w:szCs w:val="22"/>
        </w:rPr>
        <w:t>PW</w:t>
      </w:r>
      <w:r w:rsidR="00ED5E86" w:rsidRPr="001E6459">
        <w:rPr>
          <w:rFonts w:ascii="Arial" w:hAnsi="Arial" w:cs="Arial"/>
          <w:sz w:val="22"/>
          <w:szCs w:val="22"/>
        </w:rPr>
        <w:t xml:space="preserve"> is the collaboration between professionals, partner agencies, community services and individuals to achieve shared goals to improve their health and wellbeing</w:t>
      </w:r>
      <w:r w:rsidR="006C25B2" w:rsidRPr="001E6459">
        <w:rPr>
          <w:rFonts w:ascii="Arial" w:hAnsi="Arial" w:cs="Arial"/>
          <w:sz w:val="22"/>
          <w:szCs w:val="22"/>
        </w:rPr>
        <w:t>.</w:t>
      </w:r>
      <w:r w:rsidR="004C693E" w:rsidRPr="001E6459">
        <w:rPr>
          <w:rFonts w:ascii="Arial" w:hAnsi="Arial" w:cs="Arial"/>
          <w:sz w:val="22"/>
          <w:szCs w:val="22"/>
        </w:rPr>
        <w:t xml:space="preserve"> This approach is essential in health and social care as the needs of individuals cannot be met by one service alone. </w:t>
      </w:r>
      <w:r w:rsidR="00F26CF7" w:rsidRPr="001E6459">
        <w:rPr>
          <w:rFonts w:ascii="Arial" w:hAnsi="Arial" w:cs="Arial"/>
          <w:sz w:val="22"/>
          <w:szCs w:val="22"/>
        </w:rPr>
        <w:t xml:space="preserve">Integrated Care Systems in England reflect the shift in policy towards PW </w:t>
      </w:r>
      <w:r w:rsidRPr="001E6459">
        <w:rPr>
          <w:rFonts w:ascii="Arial" w:hAnsi="Arial" w:cs="Arial"/>
          <w:sz w:val="22"/>
          <w:szCs w:val="22"/>
        </w:rPr>
        <w:t>in</w:t>
      </w:r>
      <w:r w:rsidR="00F26CF7" w:rsidRPr="001E6459">
        <w:rPr>
          <w:rFonts w:ascii="Arial" w:hAnsi="Arial" w:cs="Arial"/>
          <w:sz w:val="22"/>
          <w:szCs w:val="22"/>
        </w:rPr>
        <w:t xml:space="preserve"> health and social care. Good PW within community mental health services can reduce fragmented care by improving communication between professionals, reducing duplication, ensuring the support provide is coordinated. For example, an individual with mental health may need collaborative support </w:t>
      </w:r>
      <w:r w:rsidRPr="001E6459">
        <w:rPr>
          <w:rFonts w:ascii="Arial" w:hAnsi="Arial" w:cs="Arial"/>
          <w:sz w:val="22"/>
          <w:szCs w:val="22"/>
        </w:rPr>
        <w:t>if they need support with their wellbeing whilst also experiencing housing instability.</w:t>
      </w:r>
      <w:r w:rsidR="00F26CF7" w:rsidRPr="001E6459">
        <w:rPr>
          <w:rFonts w:ascii="Arial" w:hAnsi="Arial" w:cs="Arial"/>
          <w:sz w:val="22"/>
          <w:szCs w:val="22"/>
        </w:rPr>
        <w:t xml:space="preserve"> If agencies and professionals collaborated to create a holistic care plan reflecting the individual’s needs, promoting recovery</w:t>
      </w:r>
      <w:r w:rsidRPr="001E6459">
        <w:rPr>
          <w:rFonts w:ascii="Arial" w:hAnsi="Arial" w:cs="Arial"/>
          <w:sz w:val="22"/>
          <w:szCs w:val="22"/>
        </w:rPr>
        <w:t>,</w:t>
      </w:r>
      <w:r w:rsidR="00F26CF7" w:rsidRPr="001E6459">
        <w:rPr>
          <w:rFonts w:ascii="Arial" w:hAnsi="Arial" w:cs="Arial"/>
          <w:sz w:val="22"/>
          <w:szCs w:val="22"/>
        </w:rPr>
        <w:t xml:space="preserve"> the likelihood of crisis worsening or hospital readmissions would reduce (NHS England, 2023). </w:t>
      </w:r>
    </w:p>
    <w:p w14:paraId="6B2E674F" w14:textId="77777777" w:rsidR="00F26CF7" w:rsidRPr="001E6459" w:rsidRDefault="00F26CF7" w:rsidP="001E6459">
      <w:pPr>
        <w:pStyle w:val="NormalWeb"/>
        <w:spacing w:line="360" w:lineRule="auto"/>
        <w:jc w:val="both"/>
        <w:rPr>
          <w:rFonts w:ascii="Arial" w:hAnsi="Arial" w:cs="Arial"/>
          <w:sz w:val="22"/>
          <w:szCs w:val="22"/>
        </w:rPr>
      </w:pPr>
    </w:p>
    <w:p w14:paraId="1F0778F9" w14:textId="436803E1" w:rsidR="00E736F8" w:rsidRPr="001E6459" w:rsidRDefault="00112FCF" w:rsidP="001E6459">
      <w:pPr>
        <w:pStyle w:val="NormalWeb"/>
        <w:spacing w:line="360" w:lineRule="auto"/>
        <w:jc w:val="both"/>
        <w:rPr>
          <w:rFonts w:ascii="Arial" w:hAnsi="Arial" w:cs="Arial"/>
          <w:sz w:val="22"/>
          <w:szCs w:val="22"/>
        </w:rPr>
      </w:pPr>
      <w:r w:rsidRPr="001E6459">
        <w:rPr>
          <w:rFonts w:ascii="Arial" w:hAnsi="Arial" w:cs="Arial"/>
          <w:sz w:val="22"/>
          <w:szCs w:val="22"/>
        </w:rPr>
        <w:lastRenderedPageBreak/>
        <w:t xml:space="preserve">PW can also have its limitations. One challenge is the lack of communication between agencies. For example, information may not be shared consistently. This could be due to differing policies or concerns regarding confidentiality (Department of Health and Social Care, 2022). Subsequently, poor information sharing can lead to delays in accessing appropriate support, duplicate assessments, fragmented carer and missed opportunities </w:t>
      </w:r>
      <w:r w:rsidR="007F0254" w:rsidRPr="001E6459">
        <w:rPr>
          <w:rFonts w:ascii="Arial" w:hAnsi="Arial" w:cs="Arial"/>
          <w:sz w:val="22"/>
          <w:szCs w:val="22"/>
        </w:rPr>
        <w:t>(</w:t>
      </w:r>
      <w:r w:rsidRPr="001E6459">
        <w:rPr>
          <w:rFonts w:ascii="Arial" w:hAnsi="Arial" w:cs="Arial"/>
          <w:sz w:val="22"/>
          <w:szCs w:val="22"/>
        </w:rPr>
        <w:t>Thomson, et al., 2024). These challenges can be resolved with clear information sharing politie</w:t>
      </w:r>
      <w:r w:rsidR="007F0254" w:rsidRPr="001E6459">
        <w:rPr>
          <w:rFonts w:ascii="Arial" w:hAnsi="Arial" w:cs="Arial"/>
          <w:sz w:val="22"/>
          <w:szCs w:val="22"/>
        </w:rPr>
        <w:t>s</w:t>
      </w:r>
      <w:r w:rsidRPr="001E6459">
        <w:rPr>
          <w:rFonts w:ascii="Arial" w:hAnsi="Arial" w:cs="Arial"/>
          <w:sz w:val="22"/>
          <w:szCs w:val="22"/>
        </w:rPr>
        <w:t xml:space="preserve"> and integrated care systems promoting PW whilst maintaining confidentiality. </w:t>
      </w:r>
    </w:p>
    <w:p w14:paraId="217D622E" w14:textId="77777777" w:rsidR="00DE0724" w:rsidRPr="001E6459" w:rsidRDefault="00DE0724" w:rsidP="001E6459">
      <w:pPr>
        <w:pStyle w:val="NormalWeb"/>
        <w:spacing w:line="360" w:lineRule="auto"/>
        <w:jc w:val="both"/>
        <w:rPr>
          <w:rFonts w:ascii="Arial" w:hAnsi="Arial" w:cs="Arial"/>
          <w:sz w:val="22"/>
          <w:szCs w:val="22"/>
        </w:rPr>
      </w:pPr>
    </w:p>
    <w:p w14:paraId="40F1DFD8" w14:textId="68633085" w:rsidR="002B19B5" w:rsidRPr="001E6459" w:rsidRDefault="004B3D85" w:rsidP="001E6459">
      <w:pPr>
        <w:pStyle w:val="NormalWeb"/>
        <w:spacing w:line="360" w:lineRule="auto"/>
        <w:jc w:val="both"/>
        <w:rPr>
          <w:rFonts w:ascii="Arial" w:hAnsi="Arial" w:cs="Arial"/>
          <w:sz w:val="22"/>
          <w:szCs w:val="22"/>
        </w:rPr>
      </w:pPr>
      <w:r w:rsidRPr="001E6459">
        <w:rPr>
          <w:rFonts w:ascii="Arial" w:hAnsi="Arial" w:cs="Arial"/>
          <w:sz w:val="22"/>
          <w:szCs w:val="22"/>
        </w:rPr>
        <w:t xml:space="preserve">Another challenge of PW is effective coordination. Integrated care systems provide coordinated </w:t>
      </w:r>
      <w:r w:rsidR="007F0254" w:rsidRPr="001E6459">
        <w:rPr>
          <w:rFonts w:ascii="Arial" w:hAnsi="Arial" w:cs="Arial"/>
          <w:sz w:val="22"/>
          <w:szCs w:val="22"/>
        </w:rPr>
        <w:t>PCC</w:t>
      </w:r>
      <w:r w:rsidRPr="001E6459">
        <w:rPr>
          <w:rFonts w:ascii="Arial" w:hAnsi="Arial" w:cs="Arial"/>
          <w:sz w:val="22"/>
          <w:szCs w:val="22"/>
        </w:rPr>
        <w:t>, however agencies and professionals can have differing priorities</w:t>
      </w:r>
      <w:r w:rsidR="007F0254" w:rsidRPr="001E6459">
        <w:rPr>
          <w:rFonts w:ascii="Arial" w:hAnsi="Arial" w:cs="Arial"/>
          <w:sz w:val="22"/>
          <w:szCs w:val="22"/>
        </w:rPr>
        <w:t xml:space="preserve"> or</w:t>
      </w:r>
      <w:r w:rsidRPr="001E6459">
        <w:rPr>
          <w:rFonts w:ascii="Arial" w:hAnsi="Arial" w:cs="Arial"/>
          <w:sz w:val="22"/>
          <w:szCs w:val="22"/>
        </w:rPr>
        <w:t xml:space="preserve"> way</w:t>
      </w:r>
      <w:r w:rsidR="007F0254" w:rsidRPr="001E6459">
        <w:rPr>
          <w:rFonts w:ascii="Arial" w:hAnsi="Arial" w:cs="Arial"/>
          <w:sz w:val="22"/>
          <w:szCs w:val="22"/>
        </w:rPr>
        <w:t xml:space="preserve">s </w:t>
      </w:r>
      <w:r w:rsidRPr="001E6459">
        <w:rPr>
          <w:rFonts w:ascii="Arial" w:hAnsi="Arial" w:cs="Arial"/>
          <w:sz w:val="22"/>
          <w:szCs w:val="22"/>
        </w:rPr>
        <w:t xml:space="preserve">of working. This can impact the effectiveness of care and delay support for individuals in community mental health services </w:t>
      </w:r>
      <w:r w:rsidR="00D23A9C" w:rsidRPr="001E6459">
        <w:rPr>
          <w:rFonts w:ascii="Arial" w:hAnsi="Arial" w:cs="Arial"/>
          <w:sz w:val="22"/>
          <w:szCs w:val="22"/>
        </w:rPr>
        <w:t>(Thomson, Waterson and Chatterjee, 2024)</w:t>
      </w:r>
      <w:r w:rsidR="002B19B5" w:rsidRPr="001E6459">
        <w:rPr>
          <w:rFonts w:ascii="Arial" w:hAnsi="Arial" w:cs="Arial"/>
          <w:sz w:val="22"/>
          <w:szCs w:val="22"/>
        </w:rPr>
        <w:t>.</w:t>
      </w:r>
    </w:p>
    <w:p w14:paraId="59B8719E" w14:textId="77777777" w:rsidR="00DE0724" w:rsidRPr="001E6459" w:rsidRDefault="00DE0724" w:rsidP="001E6459">
      <w:pPr>
        <w:pStyle w:val="NormalWeb"/>
        <w:spacing w:line="360" w:lineRule="auto"/>
        <w:jc w:val="both"/>
        <w:rPr>
          <w:rFonts w:ascii="Arial" w:hAnsi="Arial" w:cs="Arial"/>
          <w:sz w:val="22"/>
          <w:szCs w:val="22"/>
        </w:rPr>
      </w:pPr>
    </w:p>
    <w:p w14:paraId="68E25ADA" w14:textId="77777777" w:rsidR="00A3124E" w:rsidRPr="001E6459" w:rsidRDefault="00A3124E" w:rsidP="001E6459">
      <w:pPr>
        <w:pStyle w:val="Heading1"/>
        <w:jc w:val="both"/>
        <w:rPr>
          <w:rFonts w:ascii="Arial" w:hAnsi="Arial" w:cs="Arial"/>
          <w:sz w:val="22"/>
          <w:szCs w:val="22"/>
        </w:rPr>
      </w:pPr>
      <w:bookmarkStart w:id="5" w:name="_Toc234251800"/>
      <w:r w:rsidRPr="001E6459">
        <w:rPr>
          <w:rFonts w:ascii="Arial" w:hAnsi="Arial" w:cs="Arial"/>
          <w:sz w:val="22"/>
          <w:szCs w:val="22"/>
        </w:rPr>
        <w:t>Policy and legislation</w:t>
      </w:r>
      <w:bookmarkEnd w:id="5"/>
    </w:p>
    <w:p w14:paraId="6A07E8DA" w14:textId="77BA74D2" w:rsidR="00E736F8" w:rsidRPr="001E6459" w:rsidRDefault="00E736F8" w:rsidP="001E6459">
      <w:pPr>
        <w:pStyle w:val="NormalWeb"/>
        <w:spacing w:line="360" w:lineRule="auto"/>
        <w:jc w:val="both"/>
        <w:rPr>
          <w:rFonts w:ascii="Arial" w:hAnsi="Arial" w:cs="Arial"/>
          <w:sz w:val="22"/>
          <w:szCs w:val="22"/>
        </w:rPr>
      </w:pPr>
      <w:r w:rsidRPr="001E6459">
        <w:rPr>
          <w:rFonts w:ascii="Arial" w:hAnsi="Arial" w:cs="Arial"/>
          <w:sz w:val="22"/>
          <w:szCs w:val="22"/>
        </w:rPr>
        <w:t>The Health and Social Care Act 2012 initiated NHS commissioning reformations with an increased focus on quality, engagement, and improvement (UK Government, 2012).</w:t>
      </w:r>
      <w:r w:rsidR="003A267C" w:rsidRPr="001E6459">
        <w:rPr>
          <w:rFonts w:ascii="Arial" w:hAnsi="Arial" w:cs="Arial"/>
          <w:sz w:val="22"/>
          <w:szCs w:val="22"/>
        </w:rPr>
        <w:t xml:space="preserve"> </w:t>
      </w:r>
      <w:r w:rsidR="007F0254" w:rsidRPr="001E6459">
        <w:rPr>
          <w:rFonts w:ascii="Arial" w:hAnsi="Arial" w:cs="Arial"/>
          <w:sz w:val="22"/>
          <w:szCs w:val="22"/>
        </w:rPr>
        <w:t>This</w:t>
      </w:r>
      <w:r w:rsidRPr="001E6459">
        <w:rPr>
          <w:rFonts w:ascii="Arial" w:hAnsi="Arial" w:cs="Arial"/>
          <w:sz w:val="22"/>
          <w:szCs w:val="22"/>
        </w:rPr>
        <w:t xml:space="preserve"> promotes </w:t>
      </w:r>
      <w:r w:rsidR="007F0254" w:rsidRPr="001E6459">
        <w:rPr>
          <w:rFonts w:ascii="Arial" w:hAnsi="Arial" w:cs="Arial"/>
          <w:sz w:val="22"/>
          <w:szCs w:val="22"/>
        </w:rPr>
        <w:t>PCC</w:t>
      </w:r>
      <w:r w:rsidRPr="001E6459">
        <w:rPr>
          <w:rFonts w:ascii="Arial" w:hAnsi="Arial" w:cs="Arial"/>
          <w:sz w:val="22"/>
          <w:szCs w:val="22"/>
        </w:rPr>
        <w:t>, as services take into account the needs of patients and improve their outcomes.</w:t>
      </w:r>
      <w:r w:rsidR="004B3D85" w:rsidRPr="001E6459">
        <w:rPr>
          <w:rFonts w:ascii="Arial" w:hAnsi="Arial" w:cs="Arial"/>
          <w:sz w:val="22"/>
          <w:szCs w:val="22"/>
        </w:rPr>
        <w:t xml:space="preserve"> A criticism of the Health and Social Care Act 2012 is</w:t>
      </w:r>
      <w:r w:rsidRPr="001E6459">
        <w:rPr>
          <w:rFonts w:ascii="Arial" w:hAnsi="Arial" w:cs="Arial"/>
          <w:sz w:val="22"/>
          <w:szCs w:val="22"/>
        </w:rPr>
        <w:t xml:space="preserve"> its tendency to create fragmentation, which means that organi</w:t>
      </w:r>
      <w:r w:rsidR="003A267C" w:rsidRPr="001E6459">
        <w:rPr>
          <w:rFonts w:ascii="Arial" w:hAnsi="Arial" w:cs="Arial"/>
          <w:sz w:val="22"/>
          <w:szCs w:val="22"/>
        </w:rPr>
        <w:t>s</w:t>
      </w:r>
      <w:r w:rsidRPr="001E6459">
        <w:rPr>
          <w:rFonts w:ascii="Arial" w:hAnsi="Arial" w:cs="Arial"/>
          <w:sz w:val="22"/>
          <w:szCs w:val="22"/>
        </w:rPr>
        <w:t>ations do not function as one entity but independently from each other.</w:t>
      </w:r>
      <w:r w:rsidR="004B3D85" w:rsidRPr="001E6459">
        <w:rPr>
          <w:rFonts w:ascii="Arial" w:hAnsi="Arial" w:cs="Arial"/>
          <w:sz w:val="22"/>
          <w:szCs w:val="22"/>
        </w:rPr>
        <w:t xml:space="preserve"> Within community mental health services this can hinder the partnership working between health and social care services, thus delaying essential help and support for </w:t>
      </w:r>
      <w:r w:rsidR="007F0254" w:rsidRPr="001E6459">
        <w:rPr>
          <w:rFonts w:ascii="Arial" w:hAnsi="Arial" w:cs="Arial"/>
          <w:sz w:val="22"/>
          <w:szCs w:val="22"/>
        </w:rPr>
        <w:t xml:space="preserve">individuals. </w:t>
      </w:r>
      <w:r w:rsidRPr="001E6459">
        <w:rPr>
          <w:rFonts w:ascii="Arial" w:hAnsi="Arial" w:cs="Arial"/>
          <w:sz w:val="22"/>
          <w:szCs w:val="22"/>
        </w:rPr>
        <w:t xml:space="preserve">The Health and Care Act 2022 attempted to resolve the issue and introduce collaboration through Integrated Care Systems. </w:t>
      </w:r>
      <w:r w:rsidR="007F0254" w:rsidRPr="001E6459">
        <w:rPr>
          <w:rFonts w:ascii="Arial" w:hAnsi="Arial" w:cs="Arial"/>
          <w:sz w:val="22"/>
          <w:szCs w:val="22"/>
        </w:rPr>
        <w:t>This</w:t>
      </w:r>
      <w:r w:rsidRPr="001E6459">
        <w:rPr>
          <w:rFonts w:ascii="Arial" w:hAnsi="Arial" w:cs="Arial"/>
          <w:sz w:val="22"/>
          <w:szCs w:val="22"/>
        </w:rPr>
        <w:t xml:space="preserve"> is in accordance with </w:t>
      </w:r>
      <w:r w:rsidR="007F0254" w:rsidRPr="001E6459">
        <w:rPr>
          <w:rFonts w:ascii="Arial" w:hAnsi="Arial" w:cs="Arial"/>
          <w:sz w:val="22"/>
          <w:szCs w:val="22"/>
        </w:rPr>
        <w:t>PW</w:t>
      </w:r>
      <w:r w:rsidRPr="001E6459">
        <w:rPr>
          <w:rFonts w:ascii="Arial" w:hAnsi="Arial" w:cs="Arial"/>
          <w:sz w:val="22"/>
          <w:szCs w:val="22"/>
        </w:rPr>
        <w:t xml:space="preserve">, as mental health, social care, housing, and voluntary services collaborate in </w:t>
      </w:r>
      <w:r w:rsidR="007F0254" w:rsidRPr="001E6459">
        <w:rPr>
          <w:rFonts w:ascii="Arial" w:hAnsi="Arial" w:cs="Arial"/>
          <w:sz w:val="22"/>
          <w:szCs w:val="22"/>
        </w:rPr>
        <w:t>care planning</w:t>
      </w:r>
      <w:r w:rsidRPr="001E6459">
        <w:rPr>
          <w:rFonts w:ascii="Arial" w:hAnsi="Arial" w:cs="Arial"/>
          <w:sz w:val="22"/>
          <w:szCs w:val="22"/>
        </w:rPr>
        <w:t xml:space="preserve">. However, legislation alone is unable to promote integration without joint funding, </w:t>
      </w:r>
      <w:r w:rsidR="007F0254" w:rsidRPr="001E6459">
        <w:rPr>
          <w:rFonts w:ascii="Arial" w:hAnsi="Arial" w:cs="Arial"/>
          <w:sz w:val="22"/>
          <w:szCs w:val="22"/>
        </w:rPr>
        <w:t>workforce</w:t>
      </w:r>
      <w:r w:rsidRPr="001E6459">
        <w:rPr>
          <w:rFonts w:ascii="Arial" w:hAnsi="Arial" w:cs="Arial"/>
          <w:sz w:val="22"/>
          <w:szCs w:val="22"/>
        </w:rPr>
        <w:t>, and</w:t>
      </w:r>
      <w:r w:rsidR="009B47B2" w:rsidRPr="001E6459">
        <w:rPr>
          <w:rFonts w:ascii="Arial" w:hAnsi="Arial" w:cs="Arial"/>
          <w:sz w:val="22"/>
          <w:szCs w:val="22"/>
        </w:rPr>
        <w:t xml:space="preserve"> shared information recording systems</w:t>
      </w:r>
      <w:r w:rsidRPr="001E6459">
        <w:rPr>
          <w:rFonts w:ascii="Arial" w:hAnsi="Arial" w:cs="Arial"/>
          <w:sz w:val="22"/>
          <w:szCs w:val="22"/>
        </w:rPr>
        <w:t xml:space="preserve"> (Tritter and Koivusalo, 2013).</w:t>
      </w:r>
    </w:p>
    <w:p w14:paraId="52EFD3CF" w14:textId="77777777" w:rsidR="00DE0724" w:rsidRPr="001E6459" w:rsidRDefault="00DE0724" w:rsidP="001E6459">
      <w:pPr>
        <w:pStyle w:val="NormalWeb"/>
        <w:spacing w:line="360" w:lineRule="auto"/>
        <w:jc w:val="both"/>
        <w:rPr>
          <w:rFonts w:ascii="Arial" w:hAnsi="Arial" w:cs="Arial"/>
          <w:sz w:val="22"/>
          <w:szCs w:val="22"/>
        </w:rPr>
      </w:pPr>
    </w:p>
    <w:p w14:paraId="2F6CFC4A" w14:textId="57D4C12C" w:rsidR="00E64C06" w:rsidRPr="001E6459" w:rsidRDefault="009B47B2" w:rsidP="001E6459">
      <w:pPr>
        <w:pStyle w:val="NormalWeb"/>
        <w:spacing w:line="360" w:lineRule="auto"/>
        <w:jc w:val="both"/>
        <w:rPr>
          <w:rFonts w:ascii="Arial" w:hAnsi="Arial" w:cs="Arial"/>
          <w:sz w:val="22"/>
          <w:szCs w:val="22"/>
        </w:rPr>
      </w:pPr>
      <w:r w:rsidRPr="001E6459">
        <w:rPr>
          <w:rFonts w:ascii="Arial" w:hAnsi="Arial" w:cs="Arial"/>
          <w:sz w:val="22"/>
          <w:szCs w:val="22"/>
        </w:rPr>
        <w:t xml:space="preserve">The </w:t>
      </w:r>
      <w:r w:rsidR="00B27C21" w:rsidRPr="001E6459">
        <w:rPr>
          <w:rFonts w:ascii="Arial" w:hAnsi="Arial" w:cs="Arial"/>
          <w:sz w:val="22"/>
          <w:szCs w:val="22"/>
        </w:rPr>
        <w:t>C</w:t>
      </w:r>
      <w:r w:rsidRPr="001E6459">
        <w:rPr>
          <w:rFonts w:ascii="Arial" w:hAnsi="Arial" w:cs="Arial"/>
          <w:sz w:val="22"/>
          <w:szCs w:val="22"/>
        </w:rPr>
        <w:t>are Act 2014 emphasises wellbeing principles, prevention, assessment of needs, and integration with health services</w:t>
      </w:r>
      <w:r w:rsidR="00E736F8" w:rsidRPr="001E6459">
        <w:rPr>
          <w:rFonts w:ascii="Arial" w:hAnsi="Arial" w:cs="Arial"/>
          <w:sz w:val="22"/>
          <w:szCs w:val="22"/>
        </w:rPr>
        <w:t>. This is key for PCC because the individual's independence, safety, relationship, and aspirations inform the care planning process.</w:t>
      </w:r>
      <w:r w:rsidRPr="001E6459">
        <w:rPr>
          <w:rFonts w:ascii="Arial" w:hAnsi="Arial" w:cs="Arial"/>
          <w:sz w:val="22"/>
          <w:szCs w:val="22"/>
        </w:rPr>
        <w:t xml:space="preserve"> The Care Act 2014 is important in influencing community mental health services as it promotes PCC by ensuring </w:t>
      </w:r>
      <w:r w:rsidRPr="001E6459">
        <w:rPr>
          <w:rFonts w:ascii="Arial" w:hAnsi="Arial" w:cs="Arial"/>
          <w:sz w:val="22"/>
          <w:szCs w:val="22"/>
        </w:rPr>
        <w:lastRenderedPageBreak/>
        <w:t>individuals with anxiety or depression receive support through social care and not solely through clinical teams</w:t>
      </w:r>
      <w:r w:rsidR="00D541C4" w:rsidRPr="001E6459">
        <w:rPr>
          <w:rFonts w:ascii="Arial" w:hAnsi="Arial" w:cs="Arial"/>
          <w:sz w:val="22"/>
          <w:szCs w:val="22"/>
        </w:rPr>
        <w:t>.</w:t>
      </w:r>
      <w:r w:rsidRPr="001E6459">
        <w:rPr>
          <w:rFonts w:ascii="Arial" w:hAnsi="Arial" w:cs="Arial"/>
          <w:sz w:val="22"/>
          <w:szCs w:val="22"/>
        </w:rPr>
        <w:t xml:space="preserve"> Collaborative support emphasised in the Care Act 2014 improves the wellbeing, independence and overall quality of life for individuals. However, emphasis on eligibility and availability can impact the effectiveness of delivering PCC</w:t>
      </w:r>
      <w:r w:rsidR="00E736F8" w:rsidRPr="001E6459">
        <w:rPr>
          <w:rFonts w:ascii="Arial" w:hAnsi="Arial" w:cs="Arial"/>
          <w:sz w:val="22"/>
          <w:szCs w:val="22"/>
        </w:rPr>
        <w:t xml:space="preserve"> </w:t>
      </w:r>
      <w:r w:rsidR="00E64C06" w:rsidRPr="001E6459">
        <w:rPr>
          <w:rFonts w:ascii="Arial" w:hAnsi="Arial" w:cs="Arial"/>
          <w:sz w:val="22"/>
          <w:szCs w:val="22"/>
        </w:rPr>
        <w:t>(Barnes et al., 2017).</w:t>
      </w:r>
    </w:p>
    <w:p w14:paraId="656DE506" w14:textId="77777777" w:rsidR="00DE0724" w:rsidRPr="001E6459" w:rsidRDefault="00DE0724" w:rsidP="001E6459">
      <w:pPr>
        <w:pStyle w:val="NormalWeb"/>
        <w:spacing w:line="360" w:lineRule="auto"/>
        <w:jc w:val="both"/>
        <w:rPr>
          <w:rFonts w:ascii="Arial" w:hAnsi="Arial" w:cs="Arial"/>
          <w:sz w:val="22"/>
          <w:szCs w:val="22"/>
        </w:rPr>
      </w:pPr>
    </w:p>
    <w:p w14:paraId="38C08420" w14:textId="2F0D34AF" w:rsidR="00B23D2E" w:rsidRPr="001E6459" w:rsidRDefault="00B23D2E" w:rsidP="001E6459">
      <w:pPr>
        <w:pStyle w:val="NormalWeb"/>
        <w:spacing w:line="360" w:lineRule="auto"/>
        <w:jc w:val="both"/>
        <w:rPr>
          <w:rFonts w:ascii="Arial" w:hAnsi="Arial" w:cs="Arial"/>
          <w:sz w:val="22"/>
          <w:szCs w:val="22"/>
        </w:rPr>
      </w:pPr>
      <w:bookmarkStart w:id="6" w:name="_Toc234251801"/>
      <w:r w:rsidRPr="001E6459">
        <w:rPr>
          <w:rFonts w:ascii="Arial" w:hAnsi="Arial" w:cs="Arial"/>
          <w:sz w:val="22"/>
          <w:szCs w:val="22"/>
        </w:rPr>
        <w:t xml:space="preserve">In conjunction with legislation, national policy has further enhanced PCC and PW within community mental health services. The Community Mental Health Framework for Adults and Older Adults (2019) has improved principles established in legislation. This policy promotes integrated care rather than focusing on clinical treatment alone. The aim is to develop personalised care plans that adopt a holistic approach considering an individual’s strengths, wishes and social circumstances. This recognises that mental health recovery </w:t>
      </w:r>
      <w:r w:rsidR="00D541C4" w:rsidRPr="001E6459">
        <w:rPr>
          <w:rFonts w:ascii="Arial" w:hAnsi="Arial" w:cs="Arial"/>
          <w:sz w:val="22"/>
          <w:szCs w:val="22"/>
        </w:rPr>
        <w:t>cannot</w:t>
      </w:r>
      <w:r w:rsidRPr="001E6459">
        <w:rPr>
          <w:rFonts w:ascii="Arial" w:hAnsi="Arial" w:cs="Arial"/>
          <w:sz w:val="22"/>
          <w:szCs w:val="22"/>
        </w:rPr>
        <w:t xml:space="preserve"> be successful without the incorporation of social, economic and environmental factors, thus reinforcing PCC and PW. However, despite the aims highlighted in the framework the reality of implementing such integrated service may not always be effective as this is reliant on funding, </w:t>
      </w:r>
      <w:r w:rsidR="00D541C4" w:rsidRPr="001E6459">
        <w:rPr>
          <w:rFonts w:ascii="Arial" w:hAnsi="Arial" w:cs="Arial"/>
          <w:sz w:val="22"/>
          <w:szCs w:val="22"/>
        </w:rPr>
        <w:t>workforce</w:t>
      </w:r>
      <w:r w:rsidRPr="001E6459">
        <w:rPr>
          <w:rFonts w:ascii="Arial" w:hAnsi="Arial" w:cs="Arial"/>
          <w:sz w:val="22"/>
          <w:szCs w:val="22"/>
        </w:rPr>
        <w:t xml:space="preserve"> and information sharing systems. Therefore, this would hinder PCC and PW within community mental health services. </w:t>
      </w:r>
    </w:p>
    <w:p w14:paraId="1CA37EEF" w14:textId="77777777" w:rsidR="00DE0724" w:rsidRPr="001E6459" w:rsidRDefault="00DE0724" w:rsidP="001E6459">
      <w:pPr>
        <w:pStyle w:val="NormalWeb"/>
        <w:spacing w:line="360" w:lineRule="auto"/>
        <w:jc w:val="both"/>
        <w:rPr>
          <w:rFonts w:ascii="Arial" w:hAnsi="Arial" w:cs="Arial"/>
          <w:sz w:val="22"/>
          <w:szCs w:val="22"/>
        </w:rPr>
      </w:pPr>
    </w:p>
    <w:p w14:paraId="329D2D8E" w14:textId="6B1FD98F" w:rsidR="00A3124E" w:rsidRPr="001E6459" w:rsidRDefault="00A3124E" w:rsidP="001E6459">
      <w:pPr>
        <w:pStyle w:val="Heading1"/>
        <w:jc w:val="both"/>
        <w:rPr>
          <w:rFonts w:ascii="Arial" w:hAnsi="Arial" w:cs="Arial"/>
          <w:sz w:val="22"/>
          <w:szCs w:val="22"/>
        </w:rPr>
      </w:pPr>
      <w:r w:rsidRPr="001E6459">
        <w:rPr>
          <w:rFonts w:ascii="Arial" w:hAnsi="Arial" w:cs="Arial"/>
          <w:sz w:val="22"/>
          <w:szCs w:val="22"/>
        </w:rPr>
        <w:t>Recommendations</w:t>
      </w:r>
      <w:bookmarkEnd w:id="6"/>
    </w:p>
    <w:p w14:paraId="49DCAA39" w14:textId="0A7F7FD3" w:rsidR="00DE0724" w:rsidRPr="001E6459" w:rsidRDefault="00DE0724" w:rsidP="001E6459">
      <w:pPr>
        <w:pStyle w:val="NormalWeb"/>
        <w:spacing w:line="360" w:lineRule="auto"/>
        <w:jc w:val="both"/>
        <w:rPr>
          <w:rFonts w:ascii="Arial" w:hAnsi="Arial" w:cs="Arial"/>
          <w:sz w:val="22"/>
          <w:szCs w:val="22"/>
        </w:rPr>
      </w:pPr>
      <w:r w:rsidRPr="001E6459">
        <w:rPr>
          <w:rFonts w:ascii="Arial" w:hAnsi="Arial" w:cs="Arial"/>
          <w:sz w:val="22"/>
          <w:szCs w:val="22"/>
        </w:rPr>
        <w:t xml:space="preserve">There are areas that need to be improved for the future development in PCC and PW within Community mental health services. Firstly, </w:t>
      </w:r>
      <w:r w:rsidR="00D541C4" w:rsidRPr="001E6459">
        <w:rPr>
          <w:rFonts w:ascii="Arial" w:hAnsi="Arial" w:cs="Arial"/>
          <w:sz w:val="22"/>
          <w:szCs w:val="22"/>
        </w:rPr>
        <w:t>for</w:t>
      </w:r>
      <w:r w:rsidRPr="001E6459">
        <w:rPr>
          <w:rFonts w:ascii="Arial" w:hAnsi="Arial" w:cs="Arial"/>
          <w:sz w:val="22"/>
          <w:szCs w:val="22"/>
        </w:rPr>
        <w:t xml:space="preserve"> better implementation of personalised digital care plans </w:t>
      </w:r>
      <w:r w:rsidR="00D9586C" w:rsidRPr="001E6459">
        <w:rPr>
          <w:rFonts w:ascii="Arial" w:hAnsi="Arial" w:cs="Arial"/>
          <w:sz w:val="22"/>
          <w:szCs w:val="22"/>
        </w:rPr>
        <w:t>that</w:t>
      </w:r>
      <w:r w:rsidRPr="001E6459">
        <w:rPr>
          <w:rFonts w:ascii="Arial" w:hAnsi="Arial" w:cs="Arial"/>
          <w:sz w:val="22"/>
          <w:szCs w:val="22"/>
        </w:rPr>
        <w:t xml:space="preserve"> can be accessed by individuals and professionals, professionals and individuals </w:t>
      </w:r>
      <w:r w:rsidR="00D541C4" w:rsidRPr="001E6459">
        <w:rPr>
          <w:rFonts w:ascii="Arial" w:hAnsi="Arial" w:cs="Arial"/>
          <w:sz w:val="22"/>
          <w:szCs w:val="22"/>
        </w:rPr>
        <w:t>could</w:t>
      </w:r>
      <w:r w:rsidRPr="001E6459">
        <w:rPr>
          <w:rFonts w:ascii="Arial" w:hAnsi="Arial" w:cs="Arial"/>
          <w:sz w:val="22"/>
          <w:szCs w:val="22"/>
        </w:rPr>
        <w:t xml:space="preserve"> collaboratively review and update these care plans. It is important that care plans include crisis plans, medication regimes, identified triggers, carer involvement, cultural or religious considerations and recovery goals. </w:t>
      </w:r>
      <w:r w:rsidR="00D541C4" w:rsidRPr="001E6459">
        <w:rPr>
          <w:rFonts w:ascii="Arial" w:hAnsi="Arial" w:cs="Arial"/>
          <w:sz w:val="22"/>
          <w:szCs w:val="22"/>
        </w:rPr>
        <w:t>This</w:t>
      </w:r>
      <w:r w:rsidRPr="001E6459">
        <w:rPr>
          <w:rFonts w:ascii="Arial" w:hAnsi="Arial" w:cs="Arial"/>
          <w:sz w:val="22"/>
          <w:szCs w:val="22"/>
        </w:rPr>
        <w:t xml:space="preserve"> would improve the continuity of care as professionals would be able to access consistent and updated information, this would reduce duplication of assessments and increase PCC in practice (Pithara et al., 2020). However, a limitation is digital exclusion, specifically for those whose first language is not English (Money et al., 2023). To minimise the risk of digital exclusion, interpretation services could be offered or digital education for those that need it. </w:t>
      </w:r>
    </w:p>
    <w:p w14:paraId="5D2C32E6" w14:textId="77777777" w:rsidR="00DE0724" w:rsidRPr="001E6459" w:rsidRDefault="00DE0724" w:rsidP="001E6459">
      <w:pPr>
        <w:pStyle w:val="NormalWeb"/>
        <w:spacing w:line="360" w:lineRule="auto"/>
        <w:jc w:val="both"/>
        <w:rPr>
          <w:rFonts w:ascii="Arial" w:hAnsi="Arial" w:cs="Arial"/>
          <w:sz w:val="22"/>
          <w:szCs w:val="22"/>
        </w:rPr>
      </w:pPr>
    </w:p>
    <w:p w14:paraId="576FF0CD" w14:textId="4B950073" w:rsidR="00DE0724" w:rsidRPr="001E6459" w:rsidRDefault="00F156A3" w:rsidP="001E6459">
      <w:pPr>
        <w:pStyle w:val="NormalWeb"/>
        <w:spacing w:line="360" w:lineRule="auto"/>
        <w:jc w:val="both"/>
        <w:rPr>
          <w:rFonts w:ascii="Arial" w:hAnsi="Arial" w:cs="Arial"/>
          <w:sz w:val="22"/>
          <w:szCs w:val="22"/>
        </w:rPr>
      </w:pPr>
      <w:r w:rsidRPr="001E6459">
        <w:rPr>
          <w:rFonts w:ascii="Arial" w:hAnsi="Arial" w:cs="Arial"/>
          <w:sz w:val="22"/>
          <w:szCs w:val="22"/>
        </w:rPr>
        <w:lastRenderedPageBreak/>
        <w:t>Secondly, joint interprofessional training should be implemented across health and social care services in the UK, this would strengthen the future development of PCC and PW. If professionals learnt collaboratively this would develop a shared understanding of roles, responsibilities, and help networking between professionals this would improve</w:t>
      </w:r>
      <w:r w:rsidR="00D541C4" w:rsidRPr="001E6459">
        <w:rPr>
          <w:rFonts w:ascii="Arial" w:hAnsi="Arial" w:cs="Arial"/>
          <w:sz w:val="22"/>
          <w:szCs w:val="22"/>
        </w:rPr>
        <w:t xml:space="preserve"> </w:t>
      </w:r>
      <w:r w:rsidRPr="001E6459">
        <w:rPr>
          <w:rFonts w:ascii="Arial" w:hAnsi="Arial" w:cs="Arial"/>
          <w:sz w:val="22"/>
          <w:szCs w:val="22"/>
        </w:rPr>
        <w:t xml:space="preserve">communication across services. Strong interprofessional networks would help to inform PCC as professionals would collaborate to make decisions. The World Health Organisation (2010) found that professionals coming together to learn can improve teamwork, communication and collaborative practice. However, implementing </w:t>
      </w:r>
      <w:r w:rsidR="00D541C4" w:rsidRPr="001E6459">
        <w:rPr>
          <w:rFonts w:ascii="Arial" w:hAnsi="Arial" w:cs="Arial"/>
          <w:sz w:val="22"/>
          <w:szCs w:val="22"/>
        </w:rPr>
        <w:t>this</w:t>
      </w:r>
      <w:r w:rsidRPr="001E6459">
        <w:rPr>
          <w:rFonts w:ascii="Arial" w:hAnsi="Arial" w:cs="Arial"/>
          <w:sz w:val="22"/>
          <w:szCs w:val="22"/>
        </w:rPr>
        <w:t xml:space="preserve"> requires time, sustainable funding and organisational commitment to allow staff to attend without impacting the needs of the service (Robinson et al., 2008).</w:t>
      </w:r>
    </w:p>
    <w:p w14:paraId="110A4FC4" w14:textId="77777777" w:rsidR="000878AC" w:rsidRPr="001E6459" w:rsidRDefault="000878AC" w:rsidP="001E6459">
      <w:pPr>
        <w:pStyle w:val="NormalWeb"/>
        <w:spacing w:line="360" w:lineRule="auto"/>
        <w:jc w:val="both"/>
        <w:rPr>
          <w:rFonts w:ascii="Arial" w:hAnsi="Arial" w:cs="Arial"/>
          <w:sz w:val="22"/>
          <w:szCs w:val="22"/>
        </w:rPr>
      </w:pPr>
    </w:p>
    <w:p w14:paraId="4D9ADE00" w14:textId="3BA48D5D" w:rsidR="00DE0724" w:rsidRPr="001E6459" w:rsidRDefault="000878AC" w:rsidP="001E6459">
      <w:pPr>
        <w:pStyle w:val="NormalWeb"/>
        <w:spacing w:line="360" w:lineRule="auto"/>
        <w:jc w:val="both"/>
        <w:rPr>
          <w:rFonts w:ascii="Arial" w:hAnsi="Arial" w:cs="Arial"/>
          <w:sz w:val="22"/>
          <w:szCs w:val="22"/>
        </w:rPr>
      </w:pPr>
      <w:r w:rsidRPr="001E6459">
        <w:rPr>
          <w:rFonts w:ascii="Arial" w:hAnsi="Arial" w:cs="Arial"/>
          <w:sz w:val="22"/>
          <w:szCs w:val="22"/>
        </w:rPr>
        <w:t xml:space="preserve">Thirdly, Integrated Care Systems should increase investment in improving mental health partnership hubs within areas of high socioeconomic deprivation. The future development of PCC and PW in the UK would strengthen if hubs brought </w:t>
      </w:r>
      <w:r w:rsidR="00D541C4" w:rsidRPr="001E6459">
        <w:rPr>
          <w:rFonts w:ascii="Arial" w:hAnsi="Arial" w:cs="Arial"/>
          <w:sz w:val="22"/>
          <w:szCs w:val="22"/>
        </w:rPr>
        <w:t>professionals together</w:t>
      </w:r>
      <w:r w:rsidRPr="001E6459">
        <w:rPr>
          <w:rFonts w:ascii="Arial" w:hAnsi="Arial" w:cs="Arial"/>
          <w:sz w:val="22"/>
          <w:szCs w:val="22"/>
        </w:rPr>
        <w:t>. Such collaborative partnerships are beneficial in providing a holistic approach when supporting individuals in crisis. However, in order to achieve this successfully this requires clear governance</w:t>
      </w:r>
      <w:r w:rsidR="00840E9F" w:rsidRPr="001E6459">
        <w:rPr>
          <w:rFonts w:ascii="Arial" w:hAnsi="Arial" w:cs="Arial"/>
          <w:sz w:val="22"/>
          <w:szCs w:val="22"/>
        </w:rPr>
        <w:t xml:space="preserve"> and</w:t>
      </w:r>
      <w:r w:rsidRPr="001E6459">
        <w:rPr>
          <w:rFonts w:ascii="Arial" w:hAnsi="Arial" w:cs="Arial"/>
          <w:sz w:val="22"/>
          <w:szCs w:val="22"/>
        </w:rPr>
        <w:t xml:space="preserve"> effective coordination. </w:t>
      </w:r>
      <w:r w:rsidR="00840E9F" w:rsidRPr="001E6459">
        <w:rPr>
          <w:rFonts w:ascii="Arial" w:hAnsi="Arial" w:cs="Arial"/>
          <w:sz w:val="22"/>
          <w:szCs w:val="22"/>
        </w:rPr>
        <w:t>T</w:t>
      </w:r>
      <w:r w:rsidRPr="001E6459">
        <w:rPr>
          <w:rFonts w:ascii="Arial" w:hAnsi="Arial" w:cs="Arial"/>
          <w:sz w:val="22"/>
          <w:szCs w:val="22"/>
        </w:rPr>
        <w:t xml:space="preserve">hese differential priorities in organisations, leadership and practice may reduce the effectiveness of integrated partnership hubs despite their benefits (Van Der Feltz-Cornelis et al., 2023).  </w:t>
      </w:r>
    </w:p>
    <w:p w14:paraId="34B51643" w14:textId="77777777" w:rsidR="00840E9F" w:rsidRPr="001E6459" w:rsidRDefault="00840E9F" w:rsidP="001E6459">
      <w:pPr>
        <w:pStyle w:val="NormalWeb"/>
        <w:spacing w:line="360" w:lineRule="auto"/>
        <w:jc w:val="both"/>
        <w:rPr>
          <w:rFonts w:ascii="Arial" w:hAnsi="Arial" w:cs="Arial"/>
          <w:sz w:val="22"/>
          <w:szCs w:val="22"/>
        </w:rPr>
      </w:pPr>
    </w:p>
    <w:p w14:paraId="0D24BAC1" w14:textId="77777777" w:rsidR="00A3124E" w:rsidRPr="001E6459" w:rsidRDefault="00A3124E" w:rsidP="001E6459">
      <w:pPr>
        <w:pStyle w:val="Heading1"/>
        <w:jc w:val="both"/>
        <w:rPr>
          <w:rFonts w:ascii="Arial" w:hAnsi="Arial" w:cs="Arial"/>
          <w:sz w:val="22"/>
          <w:szCs w:val="22"/>
        </w:rPr>
      </w:pPr>
      <w:bookmarkStart w:id="7" w:name="_Toc234251802"/>
      <w:r w:rsidRPr="001E6459">
        <w:rPr>
          <w:rFonts w:ascii="Arial" w:hAnsi="Arial" w:cs="Arial"/>
          <w:sz w:val="22"/>
          <w:szCs w:val="22"/>
        </w:rPr>
        <w:t>Conclusion</w:t>
      </w:r>
      <w:bookmarkEnd w:id="7"/>
    </w:p>
    <w:p w14:paraId="76A63A9B" w14:textId="09784285" w:rsidR="00A55D4C" w:rsidRPr="001E6459" w:rsidRDefault="00B27C21" w:rsidP="001E6459">
      <w:pPr>
        <w:jc w:val="both"/>
        <w:rPr>
          <w:rFonts w:ascii="Arial" w:hAnsi="Arial" w:cs="Arial"/>
          <w:szCs w:val="22"/>
        </w:rPr>
      </w:pPr>
      <w:r w:rsidRPr="001E6459">
        <w:rPr>
          <w:rFonts w:ascii="Arial" w:eastAsia="Times New Roman" w:hAnsi="Arial" w:cs="Arial"/>
          <w:kern w:val="0"/>
          <w:szCs w:val="22"/>
          <w:lang w:eastAsia="en-GB"/>
          <w14:ligatures w14:val="none"/>
        </w:rPr>
        <w:t xml:space="preserve">In conclusion, the report has highlighted the relevance of </w:t>
      </w:r>
      <w:r w:rsidR="00840E9F" w:rsidRPr="001E6459">
        <w:rPr>
          <w:rFonts w:ascii="Arial" w:eastAsia="Times New Roman" w:hAnsi="Arial" w:cs="Arial"/>
          <w:kern w:val="0"/>
          <w:szCs w:val="22"/>
          <w:lang w:eastAsia="en-GB"/>
          <w14:ligatures w14:val="none"/>
        </w:rPr>
        <w:t>PCC</w:t>
      </w:r>
      <w:r w:rsidRPr="001E6459">
        <w:rPr>
          <w:rFonts w:ascii="Arial" w:eastAsia="Times New Roman" w:hAnsi="Arial" w:cs="Arial"/>
          <w:kern w:val="0"/>
          <w:szCs w:val="22"/>
          <w:lang w:eastAsia="en-GB"/>
          <w14:ligatures w14:val="none"/>
        </w:rPr>
        <w:t xml:space="preserve"> and </w:t>
      </w:r>
      <w:r w:rsidR="00840E9F" w:rsidRPr="001E6459">
        <w:rPr>
          <w:rFonts w:ascii="Arial" w:eastAsia="Times New Roman" w:hAnsi="Arial" w:cs="Arial"/>
          <w:kern w:val="0"/>
          <w:szCs w:val="22"/>
          <w:lang w:eastAsia="en-GB"/>
          <w14:ligatures w14:val="none"/>
        </w:rPr>
        <w:t>PW</w:t>
      </w:r>
      <w:r w:rsidRPr="001E6459">
        <w:rPr>
          <w:rFonts w:ascii="Arial" w:eastAsia="Times New Roman" w:hAnsi="Arial" w:cs="Arial"/>
          <w:kern w:val="0"/>
          <w:szCs w:val="22"/>
          <w:lang w:eastAsia="en-GB"/>
          <w14:ligatures w14:val="none"/>
        </w:rPr>
        <w:t xml:space="preserve"> in health and social care, with a focus on community mental health services. PCC supports fundamental ethics: autonomy, beneficence, non-maleficence and justice by tailoring care to individuals’ needs and goals. However, there are noticeable challenges due to service pressures, workforce shortages and ethical dilemmas. The recovery model adopts an empowering approach underpinned by PCC however the effectiveness of this is impacted by professional and practical support. PW is important to coordinate through fragmentation and communication issues. Relevant legislation and policy </w:t>
      </w:r>
      <w:r w:rsidR="00840E9F" w:rsidRPr="001E6459">
        <w:rPr>
          <w:rFonts w:ascii="Arial" w:eastAsia="Times New Roman" w:hAnsi="Arial" w:cs="Arial"/>
          <w:kern w:val="0"/>
          <w:szCs w:val="22"/>
          <w:lang w:eastAsia="en-GB"/>
          <w14:ligatures w14:val="none"/>
        </w:rPr>
        <w:t>have</w:t>
      </w:r>
      <w:r w:rsidRPr="001E6459">
        <w:rPr>
          <w:rFonts w:ascii="Arial" w:eastAsia="Times New Roman" w:hAnsi="Arial" w:cs="Arial"/>
          <w:kern w:val="0"/>
          <w:szCs w:val="22"/>
          <w:lang w:eastAsia="en-GB"/>
          <w14:ligatures w14:val="none"/>
        </w:rPr>
        <w:t xml:space="preserve"> enhanced PCC and PW within community mental health services. </w:t>
      </w:r>
      <w:r w:rsidR="00840E9F" w:rsidRPr="001E6459">
        <w:rPr>
          <w:rFonts w:ascii="Arial" w:eastAsia="Times New Roman" w:hAnsi="Arial" w:cs="Arial"/>
          <w:kern w:val="0"/>
          <w:szCs w:val="22"/>
          <w:lang w:eastAsia="en-GB"/>
          <w14:ligatures w14:val="none"/>
        </w:rPr>
        <w:t>H</w:t>
      </w:r>
      <w:r w:rsidRPr="001E6459">
        <w:rPr>
          <w:rFonts w:ascii="Arial" w:eastAsia="Times New Roman" w:hAnsi="Arial" w:cs="Arial"/>
          <w:kern w:val="0"/>
          <w:szCs w:val="22"/>
          <w:lang w:eastAsia="en-GB"/>
          <w14:ligatures w14:val="none"/>
        </w:rPr>
        <w:t>owever</w:t>
      </w:r>
      <w:r w:rsidR="00840E9F" w:rsidRPr="001E6459">
        <w:rPr>
          <w:rFonts w:ascii="Arial" w:eastAsia="Times New Roman" w:hAnsi="Arial" w:cs="Arial"/>
          <w:kern w:val="0"/>
          <w:szCs w:val="22"/>
          <w:lang w:eastAsia="en-GB"/>
          <w14:ligatures w14:val="none"/>
        </w:rPr>
        <w:t>,</w:t>
      </w:r>
      <w:r w:rsidRPr="001E6459">
        <w:rPr>
          <w:rFonts w:ascii="Arial" w:eastAsia="Times New Roman" w:hAnsi="Arial" w:cs="Arial"/>
          <w:kern w:val="0"/>
          <w:szCs w:val="22"/>
          <w:lang w:eastAsia="en-GB"/>
          <w14:ligatures w14:val="none"/>
        </w:rPr>
        <w:t xml:space="preserve"> the success of this is dependent on funding, workforce and collaboration. Specific areas of improvement in PCC and PW have been identified in this assignment with a rationale informed by literature to improve </w:t>
      </w:r>
      <w:r w:rsidR="00B31489">
        <w:rPr>
          <w:rFonts w:ascii="Arial" w:eastAsia="Times New Roman" w:hAnsi="Arial" w:cs="Arial"/>
          <w:kern w:val="0"/>
          <w:szCs w:val="22"/>
          <w:lang w:eastAsia="en-GB"/>
          <w14:ligatures w14:val="none"/>
        </w:rPr>
        <w:t>c</w:t>
      </w:r>
      <w:r w:rsidRPr="001E6459">
        <w:rPr>
          <w:rFonts w:ascii="Arial" w:eastAsia="Times New Roman" w:hAnsi="Arial" w:cs="Arial"/>
          <w:kern w:val="0"/>
          <w:szCs w:val="22"/>
          <w:lang w:eastAsia="en-GB"/>
          <w14:ligatures w14:val="none"/>
        </w:rPr>
        <w:t xml:space="preserve">ommunity mental health </w:t>
      </w:r>
      <w:r w:rsidRPr="001E6459">
        <w:rPr>
          <w:rFonts w:ascii="Arial" w:eastAsia="Times New Roman" w:hAnsi="Arial" w:cs="Arial"/>
          <w:kern w:val="0"/>
          <w:szCs w:val="22"/>
          <w:lang w:eastAsia="en-GB"/>
          <w14:ligatures w14:val="none"/>
        </w:rPr>
        <w:lastRenderedPageBreak/>
        <w:t xml:space="preserve">services. Overall, mental health services are influenced by diverse factors, PCC, PW to promote recovery, independence and improve </w:t>
      </w:r>
      <w:r w:rsidR="00840E9F" w:rsidRPr="001E6459">
        <w:rPr>
          <w:rFonts w:ascii="Arial" w:eastAsia="Times New Roman" w:hAnsi="Arial" w:cs="Arial"/>
          <w:kern w:val="0"/>
          <w:szCs w:val="22"/>
          <w:lang w:eastAsia="en-GB"/>
          <w14:ligatures w14:val="none"/>
        </w:rPr>
        <w:t>individuals’</w:t>
      </w:r>
      <w:r w:rsidRPr="001E6459">
        <w:rPr>
          <w:rFonts w:ascii="Arial" w:eastAsia="Times New Roman" w:hAnsi="Arial" w:cs="Arial"/>
          <w:kern w:val="0"/>
          <w:szCs w:val="22"/>
          <w:lang w:eastAsia="en-GB"/>
          <w14:ligatures w14:val="none"/>
        </w:rPr>
        <w:t xml:space="preserve"> outcomes.</w:t>
      </w:r>
    </w:p>
    <w:p w14:paraId="5FB15C53" w14:textId="77777777" w:rsidR="00656C02" w:rsidRDefault="00656C02" w:rsidP="00BF7815">
      <w:pPr>
        <w:jc w:val="both"/>
        <w:rPr>
          <w:rFonts w:ascii="Arial" w:hAnsi="Arial" w:cs="Arial"/>
          <w:szCs w:val="22"/>
        </w:rPr>
      </w:pPr>
    </w:p>
    <w:p w14:paraId="55C6BFD2" w14:textId="77777777" w:rsidR="00656C02" w:rsidRDefault="00656C02" w:rsidP="00BF7815">
      <w:pPr>
        <w:jc w:val="both"/>
        <w:rPr>
          <w:rFonts w:ascii="Arial" w:hAnsi="Arial" w:cs="Arial"/>
          <w:szCs w:val="22"/>
        </w:rPr>
      </w:pPr>
    </w:p>
    <w:p w14:paraId="39A6ECEC" w14:textId="77777777" w:rsidR="00656C02" w:rsidRDefault="00656C02" w:rsidP="00BF7815">
      <w:pPr>
        <w:jc w:val="both"/>
        <w:rPr>
          <w:rFonts w:ascii="Arial" w:hAnsi="Arial" w:cs="Arial"/>
          <w:szCs w:val="22"/>
        </w:rPr>
      </w:pPr>
    </w:p>
    <w:p w14:paraId="4D7681B7" w14:textId="77777777" w:rsidR="00656C02" w:rsidRDefault="00656C02" w:rsidP="00BF7815">
      <w:pPr>
        <w:jc w:val="both"/>
        <w:rPr>
          <w:rFonts w:ascii="Arial" w:hAnsi="Arial" w:cs="Arial"/>
          <w:szCs w:val="22"/>
        </w:rPr>
      </w:pPr>
    </w:p>
    <w:p w14:paraId="40EF6606" w14:textId="77777777" w:rsidR="00656C02" w:rsidRDefault="00656C02" w:rsidP="00BF7815">
      <w:pPr>
        <w:jc w:val="both"/>
        <w:rPr>
          <w:rFonts w:ascii="Arial" w:hAnsi="Arial" w:cs="Arial"/>
          <w:szCs w:val="22"/>
        </w:rPr>
      </w:pPr>
    </w:p>
    <w:p w14:paraId="15D78273" w14:textId="77777777" w:rsidR="00656C02" w:rsidRDefault="00656C02" w:rsidP="00BF7815">
      <w:pPr>
        <w:jc w:val="both"/>
        <w:rPr>
          <w:rFonts w:ascii="Arial" w:hAnsi="Arial" w:cs="Arial"/>
          <w:szCs w:val="22"/>
        </w:rPr>
      </w:pPr>
    </w:p>
    <w:p w14:paraId="7972FBE7" w14:textId="77777777" w:rsidR="00656C02" w:rsidRDefault="00656C02" w:rsidP="00BF7815">
      <w:pPr>
        <w:jc w:val="both"/>
        <w:rPr>
          <w:rFonts w:ascii="Arial" w:hAnsi="Arial" w:cs="Arial"/>
          <w:szCs w:val="22"/>
        </w:rPr>
      </w:pPr>
    </w:p>
    <w:p w14:paraId="6827248C" w14:textId="77777777" w:rsidR="00656C02" w:rsidRDefault="00656C02" w:rsidP="00BF7815">
      <w:pPr>
        <w:jc w:val="both"/>
        <w:rPr>
          <w:rFonts w:ascii="Arial" w:hAnsi="Arial" w:cs="Arial"/>
          <w:szCs w:val="22"/>
        </w:rPr>
      </w:pPr>
    </w:p>
    <w:p w14:paraId="400A4F5D" w14:textId="77777777" w:rsidR="00656C02" w:rsidRDefault="00656C02" w:rsidP="00BF7815">
      <w:pPr>
        <w:jc w:val="both"/>
        <w:rPr>
          <w:rFonts w:ascii="Arial" w:hAnsi="Arial" w:cs="Arial"/>
          <w:szCs w:val="22"/>
        </w:rPr>
      </w:pPr>
    </w:p>
    <w:p w14:paraId="535699D6" w14:textId="77777777" w:rsidR="00656C02" w:rsidRDefault="00656C02" w:rsidP="00BF7815">
      <w:pPr>
        <w:jc w:val="both"/>
        <w:rPr>
          <w:rFonts w:ascii="Arial" w:hAnsi="Arial" w:cs="Arial"/>
          <w:szCs w:val="22"/>
        </w:rPr>
      </w:pPr>
    </w:p>
    <w:p w14:paraId="6A0AAB27" w14:textId="77777777" w:rsidR="00656C02" w:rsidRDefault="00656C02" w:rsidP="00BF7815">
      <w:pPr>
        <w:jc w:val="both"/>
        <w:rPr>
          <w:rFonts w:ascii="Arial" w:hAnsi="Arial" w:cs="Arial"/>
          <w:szCs w:val="22"/>
        </w:rPr>
      </w:pPr>
    </w:p>
    <w:p w14:paraId="7DB1A922" w14:textId="77777777" w:rsidR="00656C02" w:rsidRDefault="00656C02" w:rsidP="00BF7815">
      <w:pPr>
        <w:jc w:val="both"/>
        <w:rPr>
          <w:rFonts w:ascii="Arial" w:hAnsi="Arial" w:cs="Arial"/>
          <w:szCs w:val="22"/>
        </w:rPr>
      </w:pPr>
    </w:p>
    <w:p w14:paraId="02667CBB" w14:textId="77777777" w:rsidR="00656C02" w:rsidRDefault="00656C02" w:rsidP="00BF7815">
      <w:pPr>
        <w:jc w:val="both"/>
        <w:rPr>
          <w:rFonts w:ascii="Arial" w:hAnsi="Arial" w:cs="Arial"/>
          <w:szCs w:val="22"/>
        </w:rPr>
      </w:pPr>
    </w:p>
    <w:p w14:paraId="76989817" w14:textId="77777777" w:rsidR="00656C02" w:rsidRDefault="00656C02" w:rsidP="00BF7815">
      <w:pPr>
        <w:jc w:val="both"/>
        <w:rPr>
          <w:rFonts w:ascii="Arial" w:hAnsi="Arial" w:cs="Arial"/>
          <w:szCs w:val="22"/>
        </w:rPr>
      </w:pPr>
    </w:p>
    <w:p w14:paraId="630BC931" w14:textId="77777777" w:rsidR="006A41D8" w:rsidRDefault="006A41D8" w:rsidP="00BF7815">
      <w:pPr>
        <w:jc w:val="both"/>
        <w:rPr>
          <w:rFonts w:ascii="Arial" w:hAnsi="Arial" w:cs="Arial"/>
          <w:szCs w:val="22"/>
        </w:rPr>
      </w:pPr>
    </w:p>
    <w:p w14:paraId="61EAE647" w14:textId="77777777" w:rsidR="006A41D8" w:rsidRDefault="006A41D8" w:rsidP="00BF7815">
      <w:pPr>
        <w:jc w:val="both"/>
        <w:rPr>
          <w:rFonts w:ascii="Arial" w:hAnsi="Arial" w:cs="Arial"/>
          <w:szCs w:val="22"/>
        </w:rPr>
      </w:pPr>
    </w:p>
    <w:p w14:paraId="0EAD9FC6" w14:textId="77777777" w:rsidR="00264618" w:rsidRDefault="00264618" w:rsidP="00BF7815">
      <w:pPr>
        <w:jc w:val="both"/>
        <w:rPr>
          <w:rFonts w:ascii="Arial" w:hAnsi="Arial" w:cs="Arial"/>
          <w:szCs w:val="22"/>
        </w:rPr>
      </w:pPr>
    </w:p>
    <w:p w14:paraId="1C2140FF" w14:textId="77777777" w:rsidR="00264618" w:rsidRDefault="00264618" w:rsidP="00BF7815">
      <w:pPr>
        <w:jc w:val="both"/>
        <w:rPr>
          <w:rFonts w:ascii="Arial" w:hAnsi="Arial" w:cs="Arial"/>
          <w:szCs w:val="22"/>
        </w:rPr>
      </w:pPr>
    </w:p>
    <w:p w14:paraId="167F81D9" w14:textId="77777777" w:rsidR="00264618" w:rsidRDefault="00264618" w:rsidP="00BF7815">
      <w:pPr>
        <w:jc w:val="both"/>
        <w:rPr>
          <w:rFonts w:ascii="Arial" w:hAnsi="Arial" w:cs="Arial"/>
          <w:szCs w:val="22"/>
        </w:rPr>
      </w:pPr>
    </w:p>
    <w:p w14:paraId="3E65A28E" w14:textId="77777777" w:rsidR="00264618" w:rsidRDefault="00264618" w:rsidP="00BF7815">
      <w:pPr>
        <w:jc w:val="both"/>
        <w:rPr>
          <w:rFonts w:ascii="Arial" w:hAnsi="Arial" w:cs="Arial"/>
          <w:szCs w:val="22"/>
        </w:rPr>
      </w:pPr>
    </w:p>
    <w:p w14:paraId="1A308DCF" w14:textId="77777777" w:rsidR="00264618" w:rsidRDefault="00264618" w:rsidP="00BF7815">
      <w:pPr>
        <w:jc w:val="both"/>
        <w:rPr>
          <w:rFonts w:ascii="Arial" w:hAnsi="Arial" w:cs="Arial"/>
          <w:szCs w:val="22"/>
        </w:rPr>
      </w:pPr>
    </w:p>
    <w:p w14:paraId="22EF8B06" w14:textId="77777777" w:rsidR="00264618" w:rsidRDefault="00264618" w:rsidP="00BF7815">
      <w:pPr>
        <w:jc w:val="both"/>
        <w:rPr>
          <w:rFonts w:ascii="Arial" w:hAnsi="Arial" w:cs="Arial"/>
          <w:szCs w:val="22"/>
        </w:rPr>
      </w:pPr>
    </w:p>
    <w:p w14:paraId="71B91BB9" w14:textId="77777777" w:rsidR="00264618" w:rsidRDefault="00264618" w:rsidP="00BF7815">
      <w:pPr>
        <w:jc w:val="both"/>
        <w:rPr>
          <w:rFonts w:ascii="Arial" w:hAnsi="Arial" w:cs="Arial"/>
          <w:szCs w:val="22"/>
        </w:rPr>
      </w:pPr>
    </w:p>
    <w:p w14:paraId="002C8FDE" w14:textId="74FF72D1" w:rsidR="00A55D4C" w:rsidRPr="00BF7815" w:rsidRDefault="00A55D4C" w:rsidP="00BF7815">
      <w:pPr>
        <w:pStyle w:val="Heading1"/>
        <w:jc w:val="both"/>
        <w:rPr>
          <w:rFonts w:ascii="Arial" w:hAnsi="Arial" w:cs="Arial"/>
        </w:rPr>
      </w:pPr>
      <w:bookmarkStart w:id="8" w:name="_Toc234251803"/>
      <w:r w:rsidRPr="00BF7815">
        <w:rPr>
          <w:rFonts w:ascii="Arial" w:hAnsi="Arial" w:cs="Arial"/>
        </w:rPr>
        <w:lastRenderedPageBreak/>
        <w:t>References</w:t>
      </w:r>
      <w:bookmarkEnd w:id="8"/>
    </w:p>
    <w:p w14:paraId="23A90256" w14:textId="77777777" w:rsidR="00264618" w:rsidRDefault="00264618" w:rsidP="00BF7815">
      <w:pPr>
        <w:pStyle w:val="NormalWeb"/>
        <w:spacing w:before="0" w:beforeAutospacing="0" w:after="240" w:afterAutospacing="0" w:line="360" w:lineRule="auto"/>
        <w:jc w:val="both"/>
        <w:rPr>
          <w:rFonts w:ascii="Arial" w:hAnsi="Arial" w:cs="Arial"/>
          <w:sz w:val="22"/>
          <w:szCs w:val="22"/>
        </w:rPr>
      </w:pPr>
    </w:p>
    <w:p w14:paraId="75F140F4" w14:textId="665D483C" w:rsidR="00A55D4C" w:rsidRDefault="00A55D4C" w:rsidP="00BF7815">
      <w:pPr>
        <w:pStyle w:val="NormalWeb"/>
        <w:spacing w:before="0" w:beforeAutospacing="0" w:after="240" w:afterAutospacing="0" w:line="360" w:lineRule="auto"/>
        <w:jc w:val="both"/>
        <w:rPr>
          <w:rFonts w:ascii="Arial" w:hAnsi="Arial" w:cs="Arial"/>
          <w:sz w:val="22"/>
          <w:szCs w:val="22"/>
        </w:rPr>
      </w:pPr>
      <w:r w:rsidRPr="00BF7815">
        <w:rPr>
          <w:rFonts w:ascii="Arial" w:hAnsi="Arial" w:cs="Arial"/>
          <w:sz w:val="22"/>
          <w:szCs w:val="22"/>
        </w:rPr>
        <w:t xml:space="preserve">Barnes, D. </w:t>
      </w:r>
      <w:r w:rsidRPr="00BF7815">
        <w:rPr>
          <w:rFonts w:ascii="Arial" w:hAnsi="Arial" w:cs="Arial"/>
          <w:i/>
          <w:iCs/>
          <w:sz w:val="22"/>
          <w:szCs w:val="22"/>
        </w:rPr>
        <w:t>et al.</w:t>
      </w:r>
      <w:r w:rsidRPr="00BF7815">
        <w:rPr>
          <w:rFonts w:ascii="Arial" w:hAnsi="Arial" w:cs="Arial"/>
          <w:sz w:val="22"/>
          <w:szCs w:val="22"/>
        </w:rPr>
        <w:t xml:space="preserve"> (2017) “Personalisation and Social Care Assessment – the Care Act 2014,” </w:t>
      </w:r>
      <w:r w:rsidRPr="00BF7815">
        <w:rPr>
          <w:rFonts w:ascii="Arial" w:hAnsi="Arial" w:cs="Arial"/>
          <w:i/>
          <w:iCs/>
          <w:sz w:val="22"/>
          <w:szCs w:val="22"/>
        </w:rPr>
        <w:t>BJPsych Bulletin</w:t>
      </w:r>
      <w:r w:rsidRPr="00BF7815">
        <w:rPr>
          <w:rFonts w:ascii="Arial" w:hAnsi="Arial" w:cs="Arial"/>
          <w:sz w:val="22"/>
          <w:szCs w:val="22"/>
        </w:rPr>
        <w:t xml:space="preserve">, 41(3), pp. 176–180. Available at: </w:t>
      </w:r>
      <w:hyperlink r:id="rId8" w:history="1">
        <w:r w:rsidR="00B27C21" w:rsidRPr="00E96D03">
          <w:rPr>
            <w:rStyle w:val="Hyperlink"/>
            <w:rFonts w:ascii="Arial" w:hAnsi="Arial" w:cs="Arial"/>
            <w:sz w:val="22"/>
            <w:szCs w:val="22"/>
          </w:rPr>
          <w:t>https://doi.org/10.1192/pb.bp.116.053660</w:t>
        </w:r>
      </w:hyperlink>
      <w:r w:rsidRPr="00BF7815">
        <w:rPr>
          <w:rFonts w:ascii="Arial" w:hAnsi="Arial" w:cs="Arial"/>
          <w:sz w:val="22"/>
          <w:szCs w:val="22"/>
        </w:rPr>
        <w:t>.</w:t>
      </w:r>
    </w:p>
    <w:p w14:paraId="05C47EEC" w14:textId="77777777" w:rsidR="00264618" w:rsidRDefault="00264618" w:rsidP="00BF7815">
      <w:pPr>
        <w:pStyle w:val="NormalWeb"/>
        <w:spacing w:before="0" w:beforeAutospacing="0" w:after="240" w:afterAutospacing="0" w:line="360" w:lineRule="auto"/>
        <w:jc w:val="both"/>
        <w:rPr>
          <w:rFonts w:ascii="Arial" w:hAnsi="Arial" w:cs="Arial"/>
          <w:sz w:val="22"/>
          <w:szCs w:val="22"/>
        </w:rPr>
      </w:pPr>
    </w:p>
    <w:p w14:paraId="4355CB86" w14:textId="25CB5D3C" w:rsidR="00A55D4C" w:rsidRDefault="00A55D4C" w:rsidP="00BF7815">
      <w:pPr>
        <w:pStyle w:val="NormalWeb"/>
        <w:spacing w:before="0" w:beforeAutospacing="0" w:after="240" w:afterAutospacing="0" w:line="360" w:lineRule="auto"/>
        <w:jc w:val="both"/>
        <w:rPr>
          <w:rFonts w:ascii="Arial" w:hAnsi="Arial" w:cs="Arial"/>
          <w:sz w:val="22"/>
          <w:szCs w:val="22"/>
        </w:rPr>
      </w:pPr>
      <w:r w:rsidRPr="00BF7815">
        <w:rPr>
          <w:rFonts w:ascii="Arial" w:hAnsi="Arial" w:cs="Arial"/>
          <w:sz w:val="22"/>
          <w:szCs w:val="22"/>
        </w:rPr>
        <w:t xml:space="preserve">Coulter, A. and Oldham, J. (2016) “Person-centred Care: What Is It and How Do We Get There?,” </w:t>
      </w:r>
      <w:r w:rsidRPr="00BF7815">
        <w:rPr>
          <w:rFonts w:ascii="Arial" w:hAnsi="Arial" w:cs="Arial"/>
          <w:i/>
          <w:iCs/>
          <w:sz w:val="22"/>
          <w:szCs w:val="22"/>
        </w:rPr>
        <w:t>Future Hospital Journal</w:t>
      </w:r>
      <w:r w:rsidRPr="00BF7815">
        <w:rPr>
          <w:rFonts w:ascii="Arial" w:hAnsi="Arial" w:cs="Arial"/>
          <w:sz w:val="22"/>
          <w:szCs w:val="22"/>
        </w:rPr>
        <w:t xml:space="preserve">, 3(2), pp. 114–116. Available at: </w:t>
      </w:r>
      <w:hyperlink r:id="rId9" w:history="1">
        <w:r w:rsidR="00B27C21" w:rsidRPr="00E96D03">
          <w:rPr>
            <w:rStyle w:val="Hyperlink"/>
            <w:rFonts w:ascii="Arial" w:hAnsi="Arial" w:cs="Arial"/>
            <w:sz w:val="22"/>
            <w:szCs w:val="22"/>
          </w:rPr>
          <w:t>https://doi.org/10.7861/futurehosp.3-2-114</w:t>
        </w:r>
      </w:hyperlink>
      <w:r w:rsidRPr="00BF7815">
        <w:rPr>
          <w:rFonts w:ascii="Arial" w:hAnsi="Arial" w:cs="Arial"/>
          <w:sz w:val="22"/>
          <w:szCs w:val="22"/>
        </w:rPr>
        <w:t>.</w:t>
      </w:r>
    </w:p>
    <w:p w14:paraId="2E55925A" w14:textId="77777777" w:rsidR="00B27C21" w:rsidRDefault="00B27C21" w:rsidP="00BF7815">
      <w:pPr>
        <w:pStyle w:val="NormalWeb"/>
        <w:spacing w:before="0" w:beforeAutospacing="0" w:after="240" w:afterAutospacing="0" w:line="360" w:lineRule="auto"/>
        <w:jc w:val="both"/>
        <w:rPr>
          <w:rFonts w:ascii="Arial" w:hAnsi="Arial" w:cs="Arial"/>
          <w:sz w:val="22"/>
          <w:szCs w:val="22"/>
        </w:rPr>
      </w:pPr>
    </w:p>
    <w:p w14:paraId="108D0A47" w14:textId="7F6212B0" w:rsidR="00112FCF" w:rsidRDefault="00112FCF" w:rsidP="00BF7815">
      <w:pPr>
        <w:pStyle w:val="NormalWeb"/>
        <w:spacing w:before="0" w:beforeAutospacing="0" w:after="240" w:afterAutospacing="0" w:line="360" w:lineRule="auto"/>
        <w:jc w:val="both"/>
        <w:rPr>
          <w:rFonts w:ascii="Arial" w:hAnsi="Arial" w:cs="Arial"/>
          <w:sz w:val="22"/>
          <w:szCs w:val="22"/>
        </w:rPr>
      </w:pPr>
      <w:r w:rsidRPr="00112FCF">
        <w:rPr>
          <w:rFonts w:ascii="Arial" w:hAnsi="Arial" w:cs="Arial"/>
          <w:sz w:val="22"/>
          <w:szCs w:val="22"/>
        </w:rPr>
        <w:t>Department of Health and Social Care (2022) Data saves lives: Reshaping health and social care with data. London: Department of Health and Social Care. Available at: https://www.gov.uk/government/publications/data-saves-lives-reshaping-health-and-social-care-with-data (Accessed: 24 July 2026).</w:t>
      </w:r>
    </w:p>
    <w:p w14:paraId="7EE3BD8D" w14:textId="77777777" w:rsidR="00B27C21" w:rsidRDefault="00B27C21" w:rsidP="00BF7815">
      <w:pPr>
        <w:pStyle w:val="NormalWeb"/>
        <w:spacing w:before="0" w:beforeAutospacing="0" w:after="240" w:afterAutospacing="0" w:line="360" w:lineRule="auto"/>
        <w:jc w:val="both"/>
        <w:rPr>
          <w:rFonts w:ascii="Arial" w:hAnsi="Arial" w:cs="Arial"/>
          <w:sz w:val="22"/>
          <w:szCs w:val="22"/>
        </w:rPr>
      </w:pPr>
    </w:p>
    <w:p w14:paraId="6FA0759B" w14:textId="33486FA4" w:rsidR="00A55D4C" w:rsidRDefault="00A55D4C" w:rsidP="00BF7815">
      <w:pPr>
        <w:pStyle w:val="NormalWeb"/>
        <w:spacing w:before="0" w:beforeAutospacing="0" w:after="240" w:afterAutospacing="0" w:line="360" w:lineRule="auto"/>
        <w:jc w:val="both"/>
        <w:rPr>
          <w:rFonts w:ascii="Arial" w:hAnsi="Arial" w:cs="Arial"/>
          <w:sz w:val="22"/>
          <w:szCs w:val="22"/>
        </w:rPr>
      </w:pPr>
      <w:r w:rsidRPr="00BF7815">
        <w:rPr>
          <w:rFonts w:ascii="Arial" w:hAnsi="Arial" w:cs="Arial"/>
          <w:sz w:val="22"/>
          <w:szCs w:val="22"/>
        </w:rPr>
        <w:t xml:space="preserve">Inta, N., Leamy, M. and Grealish, A. (2026) “Recovery-oriented mental health training interventions: An integrative review,” </w:t>
      </w:r>
      <w:r w:rsidRPr="00BF7815">
        <w:rPr>
          <w:rFonts w:ascii="Arial" w:hAnsi="Arial" w:cs="Arial"/>
          <w:i/>
          <w:iCs/>
          <w:sz w:val="22"/>
          <w:szCs w:val="22"/>
        </w:rPr>
        <w:t>International Journal of Nursing Studies Advances</w:t>
      </w:r>
      <w:r w:rsidRPr="00BF7815">
        <w:rPr>
          <w:rFonts w:ascii="Arial" w:hAnsi="Arial" w:cs="Arial"/>
          <w:sz w:val="22"/>
          <w:szCs w:val="22"/>
        </w:rPr>
        <w:t xml:space="preserve">, 10, p. 100510. Available at: </w:t>
      </w:r>
      <w:hyperlink r:id="rId10" w:history="1">
        <w:r w:rsidR="00B27C21" w:rsidRPr="00E96D03">
          <w:rPr>
            <w:rStyle w:val="Hyperlink"/>
            <w:rFonts w:ascii="Arial" w:hAnsi="Arial" w:cs="Arial"/>
            <w:sz w:val="22"/>
            <w:szCs w:val="22"/>
          </w:rPr>
          <w:t>https://doi.org/10.1016/j.ijnsa.2026.100510</w:t>
        </w:r>
      </w:hyperlink>
      <w:r w:rsidRPr="00BF7815">
        <w:rPr>
          <w:rFonts w:ascii="Arial" w:hAnsi="Arial" w:cs="Arial"/>
          <w:sz w:val="22"/>
          <w:szCs w:val="22"/>
        </w:rPr>
        <w:t>.</w:t>
      </w:r>
    </w:p>
    <w:p w14:paraId="09C7A768" w14:textId="77777777" w:rsidR="00B27C21" w:rsidRPr="00BF7815" w:rsidRDefault="00B27C21" w:rsidP="00BF7815">
      <w:pPr>
        <w:pStyle w:val="NormalWeb"/>
        <w:spacing w:before="0" w:beforeAutospacing="0" w:after="240" w:afterAutospacing="0" w:line="360" w:lineRule="auto"/>
        <w:jc w:val="both"/>
        <w:rPr>
          <w:rFonts w:ascii="Arial" w:hAnsi="Arial" w:cs="Arial"/>
          <w:sz w:val="22"/>
          <w:szCs w:val="22"/>
        </w:rPr>
      </w:pPr>
    </w:p>
    <w:p w14:paraId="79CCBEB1" w14:textId="192ACFF9" w:rsidR="00A55D4C" w:rsidRDefault="00A55D4C" w:rsidP="00BF7815">
      <w:pPr>
        <w:pStyle w:val="NormalWeb"/>
        <w:spacing w:before="0" w:beforeAutospacing="0" w:after="240" w:afterAutospacing="0" w:line="360" w:lineRule="auto"/>
        <w:jc w:val="both"/>
        <w:rPr>
          <w:rFonts w:ascii="Arial" w:hAnsi="Arial" w:cs="Arial"/>
          <w:sz w:val="22"/>
          <w:szCs w:val="22"/>
        </w:rPr>
      </w:pPr>
      <w:r w:rsidRPr="00BF7815">
        <w:rPr>
          <w:rFonts w:ascii="Arial" w:hAnsi="Arial" w:cs="Arial"/>
          <w:sz w:val="22"/>
          <w:szCs w:val="22"/>
        </w:rPr>
        <w:t xml:space="preserve">Kariotis, T.C. </w:t>
      </w:r>
      <w:r w:rsidRPr="00BF7815">
        <w:rPr>
          <w:rFonts w:ascii="Arial" w:hAnsi="Arial" w:cs="Arial"/>
          <w:i/>
          <w:iCs/>
          <w:sz w:val="22"/>
          <w:szCs w:val="22"/>
        </w:rPr>
        <w:t>et al.</w:t>
      </w:r>
      <w:r w:rsidRPr="00BF7815">
        <w:rPr>
          <w:rFonts w:ascii="Arial" w:hAnsi="Arial" w:cs="Arial"/>
          <w:sz w:val="22"/>
          <w:szCs w:val="22"/>
        </w:rPr>
        <w:t xml:space="preserve"> (2022) “Impact of Electronic Health Records on Information Practices in Mental Health Contexts: Scoping Review,” </w:t>
      </w:r>
      <w:r w:rsidRPr="00BF7815">
        <w:rPr>
          <w:rFonts w:ascii="Arial" w:hAnsi="Arial" w:cs="Arial"/>
          <w:i/>
          <w:iCs/>
          <w:sz w:val="22"/>
          <w:szCs w:val="22"/>
        </w:rPr>
        <w:t>Journal of Medical Internet Research</w:t>
      </w:r>
      <w:r w:rsidRPr="00BF7815">
        <w:rPr>
          <w:rFonts w:ascii="Arial" w:hAnsi="Arial" w:cs="Arial"/>
          <w:sz w:val="22"/>
          <w:szCs w:val="22"/>
        </w:rPr>
        <w:t xml:space="preserve">, 24(5), p. e30405. Available at: </w:t>
      </w:r>
      <w:hyperlink r:id="rId11" w:history="1">
        <w:r w:rsidR="004E1181" w:rsidRPr="00E96D03">
          <w:rPr>
            <w:rStyle w:val="Hyperlink"/>
            <w:rFonts w:ascii="Arial" w:hAnsi="Arial" w:cs="Arial"/>
            <w:sz w:val="22"/>
            <w:szCs w:val="22"/>
          </w:rPr>
          <w:t>https://doi.org/10.2196/30405</w:t>
        </w:r>
      </w:hyperlink>
      <w:r w:rsidRPr="00BF7815">
        <w:rPr>
          <w:rFonts w:ascii="Arial" w:hAnsi="Arial" w:cs="Arial"/>
          <w:sz w:val="22"/>
          <w:szCs w:val="22"/>
        </w:rPr>
        <w:t>.</w:t>
      </w:r>
    </w:p>
    <w:p w14:paraId="75D3BAE2" w14:textId="77777777" w:rsidR="00B27C21" w:rsidRDefault="00B27C21" w:rsidP="00BF7815">
      <w:pPr>
        <w:pStyle w:val="NormalWeb"/>
        <w:spacing w:before="0" w:beforeAutospacing="0" w:after="240" w:afterAutospacing="0" w:line="360" w:lineRule="auto"/>
        <w:jc w:val="both"/>
        <w:rPr>
          <w:rFonts w:ascii="Arial" w:hAnsi="Arial" w:cs="Arial"/>
          <w:sz w:val="22"/>
          <w:szCs w:val="22"/>
        </w:rPr>
      </w:pPr>
    </w:p>
    <w:p w14:paraId="78B2ED4E" w14:textId="33C8A6E6" w:rsidR="004E1181" w:rsidRDefault="004E1181" w:rsidP="00BF7815">
      <w:pPr>
        <w:pStyle w:val="NormalWeb"/>
        <w:spacing w:before="0" w:beforeAutospacing="0" w:after="240" w:afterAutospacing="0" w:line="360" w:lineRule="auto"/>
        <w:jc w:val="both"/>
        <w:rPr>
          <w:rFonts w:ascii="Arial" w:hAnsi="Arial" w:cs="Arial"/>
          <w:sz w:val="22"/>
          <w:szCs w:val="22"/>
        </w:rPr>
      </w:pPr>
      <w:r w:rsidRPr="004E1181">
        <w:rPr>
          <w:rFonts w:ascii="Arial" w:hAnsi="Arial" w:cs="Arial"/>
          <w:sz w:val="22"/>
          <w:szCs w:val="22"/>
        </w:rPr>
        <w:t>Leamy, M., Bird, V., Le Boutillier, C., Williams, J. and Slade, M. (2011) ‘Conceptual framework for personal recovery in mental health: systematic review and narrative synthesis’, British Journal of Psychiatry, 199(6), pp. 445–452.</w:t>
      </w:r>
    </w:p>
    <w:p w14:paraId="60AA5902" w14:textId="77777777" w:rsidR="00B27C21" w:rsidRPr="00BF7815" w:rsidRDefault="00B27C21" w:rsidP="00BF7815">
      <w:pPr>
        <w:pStyle w:val="NormalWeb"/>
        <w:spacing w:before="0" w:beforeAutospacing="0" w:after="240" w:afterAutospacing="0" w:line="360" w:lineRule="auto"/>
        <w:jc w:val="both"/>
        <w:rPr>
          <w:rFonts w:ascii="Arial" w:hAnsi="Arial" w:cs="Arial"/>
          <w:sz w:val="22"/>
          <w:szCs w:val="22"/>
        </w:rPr>
      </w:pPr>
    </w:p>
    <w:p w14:paraId="3EBC8CCE" w14:textId="74763E7B" w:rsidR="00A55D4C" w:rsidRDefault="00A55D4C" w:rsidP="00BF7815">
      <w:pPr>
        <w:pStyle w:val="NormalWeb"/>
        <w:spacing w:before="0" w:beforeAutospacing="0" w:after="240" w:afterAutospacing="0" w:line="360" w:lineRule="auto"/>
        <w:jc w:val="both"/>
        <w:rPr>
          <w:rFonts w:ascii="Arial" w:hAnsi="Arial" w:cs="Arial"/>
          <w:sz w:val="22"/>
          <w:szCs w:val="22"/>
        </w:rPr>
      </w:pPr>
      <w:r w:rsidRPr="00BF7815">
        <w:rPr>
          <w:rFonts w:ascii="Arial" w:hAnsi="Arial" w:cs="Arial"/>
          <w:sz w:val="22"/>
          <w:szCs w:val="22"/>
        </w:rPr>
        <w:lastRenderedPageBreak/>
        <w:t xml:space="preserve">Molyneux, K. (2021) “Is self-neglect a safeguarding concern? An ethical dilemma,” </w:t>
      </w:r>
      <w:r w:rsidRPr="00BF7815">
        <w:rPr>
          <w:rFonts w:ascii="Arial" w:hAnsi="Arial" w:cs="Arial"/>
          <w:i/>
          <w:iCs/>
          <w:sz w:val="22"/>
          <w:szCs w:val="22"/>
        </w:rPr>
        <w:t>British Journal of Nursing</w:t>
      </w:r>
      <w:r w:rsidRPr="00BF7815">
        <w:rPr>
          <w:rFonts w:ascii="Arial" w:hAnsi="Arial" w:cs="Arial"/>
          <w:sz w:val="22"/>
          <w:szCs w:val="22"/>
        </w:rPr>
        <w:t xml:space="preserve">, 30(16), pp. 948–948. Available at: </w:t>
      </w:r>
      <w:hyperlink r:id="rId12" w:history="1">
        <w:r w:rsidR="00B27C21" w:rsidRPr="00E96D03">
          <w:rPr>
            <w:rStyle w:val="Hyperlink"/>
            <w:rFonts w:ascii="Arial" w:hAnsi="Arial" w:cs="Arial"/>
            <w:sz w:val="22"/>
            <w:szCs w:val="22"/>
          </w:rPr>
          <w:t>https://doi.org/10.12968/bjon.2021.30.16.948</w:t>
        </w:r>
      </w:hyperlink>
      <w:r w:rsidRPr="00BF7815">
        <w:rPr>
          <w:rFonts w:ascii="Arial" w:hAnsi="Arial" w:cs="Arial"/>
          <w:sz w:val="22"/>
          <w:szCs w:val="22"/>
        </w:rPr>
        <w:t>.</w:t>
      </w:r>
    </w:p>
    <w:p w14:paraId="0607E41D" w14:textId="77777777" w:rsidR="00B27C21" w:rsidRPr="00BF7815" w:rsidRDefault="00B27C21" w:rsidP="00BF7815">
      <w:pPr>
        <w:pStyle w:val="NormalWeb"/>
        <w:spacing w:before="0" w:beforeAutospacing="0" w:after="240" w:afterAutospacing="0" w:line="360" w:lineRule="auto"/>
        <w:jc w:val="both"/>
        <w:rPr>
          <w:rFonts w:ascii="Arial" w:hAnsi="Arial" w:cs="Arial"/>
          <w:sz w:val="22"/>
          <w:szCs w:val="22"/>
        </w:rPr>
      </w:pPr>
    </w:p>
    <w:p w14:paraId="62728217" w14:textId="4307F519" w:rsidR="00A55D4C" w:rsidRDefault="00A55D4C" w:rsidP="00BF7815">
      <w:pPr>
        <w:pStyle w:val="NormalWeb"/>
        <w:spacing w:before="0" w:beforeAutospacing="0" w:after="240" w:afterAutospacing="0" w:line="360" w:lineRule="auto"/>
        <w:jc w:val="both"/>
        <w:rPr>
          <w:rFonts w:ascii="Arial" w:hAnsi="Arial" w:cs="Arial"/>
          <w:sz w:val="22"/>
          <w:szCs w:val="22"/>
        </w:rPr>
      </w:pPr>
      <w:r w:rsidRPr="00BF7815">
        <w:rPr>
          <w:rFonts w:ascii="Arial" w:hAnsi="Arial" w:cs="Arial"/>
          <w:sz w:val="22"/>
          <w:szCs w:val="22"/>
        </w:rPr>
        <w:t xml:space="preserve">Money, A. </w:t>
      </w:r>
      <w:r w:rsidRPr="00BF7815">
        <w:rPr>
          <w:rFonts w:ascii="Arial" w:hAnsi="Arial" w:cs="Arial"/>
          <w:i/>
          <w:iCs/>
          <w:sz w:val="22"/>
          <w:szCs w:val="22"/>
        </w:rPr>
        <w:t>et al.</w:t>
      </w:r>
      <w:r w:rsidRPr="00BF7815">
        <w:rPr>
          <w:rFonts w:ascii="Arial" w:hAnsi="Arial" w:cs="Arial"/>
          <w:sz w:val="22"/>
          <w:szCs w:val="22"/>
        </w:rPr>
        <w:t xml:space="preserve"> (2023) “Barriers and facilitators to older people’s engagement with online services: A qualitative study of adults aged 75+ years (Preprint),” </w:t>
      </w:r>
      <w:r w:rsidRPr="00BF7815">
        <w:rPr>
          <w:rFonts w:ascii="Arial" w:hAnsi="Arial" w:cs="Arial"/>
          <w:i/>
          <w:iCs/>
          <w:sz w:val="22"/>
          <w:szCs w:val="22"/>
        </w:rPr>
        <w:t>JMIR aging</w:t>
      </w:r>
      <w:r w:rsidRPr="00BF7815">
        <w:rPr>
          <w:rFonts w:ascii="Arial" w:hAnsi="Arial" w:cs="Arial"/>
          <w:sz w:val="22"/>
          <w:szCs w:val="22"/>
        </w:rPr>
        <w:t xml:space="preserve">, 7. Available at: </w:t>
      </w:r>
      <w:hyperlink r:id="rId13" w:history="1">
        <w:r w:rsidR="00B27C21" w:rsidRPr="00E96D03">
          <w:rPr>
            <w:rStyle w:val="Hyperlink"/>
            <w:rFonts w:ascii="Arial" w:hAnsi="Arial" w:cs="Arial"/>
            <w:sz w:val="22"/>
            <w:szCs w:val="22"/>
          </w:rPr>
          <w:t>https://doi.org/10.2196/46522</w:t>
        </w:r>
      </w:hyperlink>
      <w:r w:rsidRPr="00BF7815">
        <w:rPr>
          <w:rFonts w:ascii="Arial" w:hAnsi="Arial" w:cs="Arial"/>
          <w:sz w:val="22"/>
          <w:szCs w:val="22"/>
        </w:rPr>
        <w:t>.</w:t>
      </w:r>
    </w:p>
    <w:p w14:paraId="0B7F9D88" w14:textId="77777777" w:rsidR="00B27C21" w:rsidRDefault="00B27C21" w:rsidP="00BF7815">
      <w:pPr>
        <w:pStyle w:val="NormalWeb"/>
        <w:spacing w:before="0" w:beforeAutospacing="0" w:after="240" w:afterAutospacing="0" w:line="360" w:lineRule="auto"/>
        <w:jc w:val="both"/>
        <w:rPr>
          <w:rFonts w:ascii="Arial" w:hAnsi="Arial" w:cs="Arial"/>
          <w:sz w:val="22"/>
          <w:szCs w:val="22"/>
        </w:rPr>
      </w:pPr>
    </w:p>
    <w:p w14:paraId="0C7C0FC3" w14:textId="4BE463E5" w:rsidR="00714AE1" w:rsidRDefault="00714AE1" w:rsidP="00BF7815">
      <w:pPr>
        <w:pStyle w:val="NormalWeb"/>
        <w:spacing w:before="0" w:beforeAutospacing="0" w:after="240" w:afterAutospacing="0" w:line="360" w:lineRule="auto"/>
        <w:jc w:val="both"/>
        <w:rPr>
          <w:rFonts w:ascii="Arial" w:hAnsi="Arial" w:cs="Arial"/>
          <w:sz w:val="22"/>
          <w:szCs w:val="22"/>
        </w:rPr>
      </w:pPr>
      <w:r w:rsidRPr="00714AE1">
        <w:rPr>
          <w:rFonts w:ascii="Arial" w:hAnsi="Arial" w:cs="Arial"/>
          <w:sz w:val="22"/>
          <w:szCs w:val="22"/>
        </w:rPr>
        <w:t>Morgan, S. (2008) ‘Risk decision-making: working with risk and uncertainty in mental health practice’, Journal of Psychiatric and Mental Health Nursing, 15(5), pp. 407–412.</w:t>
      </w:r>
    </w:p>
    <w:p w14:paraId="725557C9" w14:textId="77777777" w:rsidR="00B27C21" w:rsidRDefault="00B27C21" w:rsidP="00BF7815">
      <w:pPr>
        <w:pStyle w:val="NormalWeb"/>
        <w:spacing w:before="0" w:beforeAutospacing="0" w:after="240" w:afterAutospacing="0" w:line="360" w:lineRule="auto"/>
        <w:jc w:val="both"/>
        <w:rPr>
          <w:rFonts w:ascii="Arial" w:hAnsi="Arial" w:cs="Arial"/>
          <w:sz w:val="22"/>
          <w:szCs w:val="22"/>
        </w:rPr>
      </w:pPr>
    </w:p>
    <w:p w14:paraId="257C43E2" w14:textId="253496BB" w:rsidR="00EC79B6" w:rsidRDefault="00EC79B6" w:rsidP="00BF7815">
      <w:pPr>
        <w:pStyle w:val="NormalWeb"/>
        <w:spacing w:before="0" w:beforeAutospacing="0" w:after="240" w:afterAutospacing="0" w:line="360" w:lineRule="auto"/>
        <w:jc w:val="both"/>
        <w:rPr>
          <w:rFonts w:ascii="Arial" w:hAnsi="Arial" w:cs="Arial"/>
          <w:sz w:val="22"/>
          <w:szCs w:val="22"/>
        </w:rPr>
      </w:pPr>
      <w:r w:rsidRPr="00EC79B6">
        <w:rPr>
          <w:rFonts w:ascii="Arial" w:hAnsi="Arial" w:cs="Arial"/>
          <w:sz w:val="22"/>
          <w:szCs w:val="22"/>
        </w:rPr>
        <w:t>National Institute for Health and Care Excellence (NICE) (2021) Patient experience in adult NHS services: improving the experience of care for people using adult NHS services (CG138). Updated 17 June 202. Available at: https://www.nice.org.uk/guidance/cg138 (Accessed: 24 July 2026).</w:t>
      </w:r>
    </w:p>
    <w:p w14:paraId="4C6D2312" w14:textId="77777777" w:rsidR="00B27C21" w:rsidRDefault="00B27C21" w:rsidP="00BF7815">
      <w:pPr>
        <w:pStyle w:val="NormalWeb"/>
        <w:spacing w:before="0" w:beforeAutospacing="0" w:after="240" w:afterAutospacing="0" w:line="360" w:lineRule="auto"/>
        <w:jc w:val="both"/>
        <w:rPr>
          <w:rFonts w:ascii="Arial" w:hAnsi="Arial" w:cs="Arial"/>
          <w:sz w:val="22"/>
          <w:szCs w:val="22"/>
        </w:rPr>
      </w:pPr>
    </w:p>
    <w:p w14:paraId="4DBFF8DC" w14:textId="56CB84D3" w:rsidR="00FC6332" w:rsidRDefault="00FC6332" w:rsidP="00BF7815">
      <w:pPr>
        <w:pStyle w:val="NormalWeb"/>
        <w:spacing w:before="0" w:beforeAutospacing="0" w:after="240" w:afterAutospacing="0" w:line="360" w:lineRule="auto"/>
        <w:jc w:val="both"/>
        <w:rPr>
          <w:rFonts w:ascii="Arial" w:hAnsi="Arial" w:cs="Arial"/>
          <w:sz w:val="22"/>
          <w:szCs w:val="22"/>
        </w:rPr>
      </w:pPr>
      <w:r w:rsidRPr="00FC6332">
        <w:rPr>
          <w:rFonts w:ascii="Arial" w:hAnsi="Arial" w:cs="Arial"/>
          <w:sz w:val="22"/>
          <w:szCs w:val="22"/>
        </w:rPr>
        <w:t>NHS England and NHS Improvement (2019) The Community Mental Health Framework for Adults and Older Adults. London: NHS England. Available at: https://www.england.nhs.uk/publication/the-community-mental-health-framework-for-adults-and-older-adults/ (Accessed: 24 July 2026).</w:t>
      </w:r>
    </w:p>
    <w:p w14:paraId="5A7D5B84" w14:textId="77777777" w:rsidR="00B27C21" w:rsidRDefault="00B27C21" w:rsidP="00BF7815">
      <w:pPr>
        <w:pStyle w:val="NormalWeb"/>
        <w:spacing w:before="0" w:beforeAutospacing="0" w:after="240" w:afterAutospacing="0" w:line="360" w:lineRule="auto"/>
        <w:jc w:val="both"/>
        <w:rPr>
          <w:rFonts w:ascii="Arial" w:hAnsi="Arial" w:cs="Arial"/>
          <w:sz w:val="22"/>
          <w:szCs w:val="22"/>
        </w:rPr>
      </w:pPr>
    </w:p>
    <w:p w14:paraId="20245850" w14:textId="187B1A17" w:rsidR="000D0246" w:rsidRDefault="000D0246" w:rsidP="00BF7815">
      <w:pPr>
        <w:pStyle w:val="NormalWeb"/>
        <w:spacing w:before="0" w:beforeAutospacing="0" w:after="240" w:afterAutospacing="0" w:line="360" w:lineRule="auto"/>
        <w:jc w:val="both"/>
        <w:rPr>
          <w:rFonts w:ascii="Arial" w:hAnsi="Arial" w:cs="Arial"/>
          <w:sz w:val="22"/>
          <w:szCs w:val="22"/>
        </w:rPr>
      </w:pPr>
      <w:r w:rsidRPr="000D0246">
        <w:rPr>
          <w:rFonts w:ascii="Arial" w:hAnsi="Arial" w:cs="Arial"/>
          <w:sz w:val="22"/>
          <w:szCs w:val="22"/>
        </w:rPr>
        <w:t>NHS England (2024) Performance report 2023/24. Available at: Performance report 2023/24 (Accessed: 24 July 2026).</w:t>
      </w:r>
    </w:p>
    <w:p w14:paraId="2E53B70E" w14:textId="77777777" w:rsidR="00B27C21" w:rsidRDefault="00B27C21" w:rsidP="00BF7815">
      <w:pPr>
        <w:pStyle w:val="NormalWeb"/>
        <w:spacing w:before="0" w:beforeAutospacing="0" w:after="240" w:afterAutospacing="0" w:line="360" w:lineRule="auto"/>
        <w:jc w:val="both"/>
        <w:rPr>
          <w:rFonts w:ascii="Arial" w:hAnsi="Arial" w:cs="Arial"/>
          <w:sz w:val="22"/>
          <w:szCs w:val="22"/>
        </w:rPr>
      </w:pPr>
    </w:p>
    <w:p w14:paraId="44FC60A5" w14:textId="2B24F0DC" w:rsidR="00F26CF7" w:rsidRDefault="00F26CF7" w:rsidP="00BF7815">
      <w:pPr>
        <w:pStyle w:val="NormalWeb"/>
        <w:spacing w:before="0" w:beforeAutospacing="0" w:after="240" w:afterAutospacing="0" w:line="360" w:lineRule="auto"/>
        <w:jc w:val="both"/>
        <w:rPr>
          <w:rFonts w:ascii="Arial" w:hAnsi="Arial" w:cs="Arial"/>
          <w:sz w:val="22"/>
          <w:szCs w:val="22"/>
        </w:rPr>
      </w:pPr>
      <w:r w:rsidRPr="00F26CF7">
        <w:rPr>
          <w:rFonts w:ascii="Arial" w:hAnsi="Arial" w:cs="Arial"/>
          <w:sz w:val="22"/>
          <w:szCs w:val="22"/>
        </w:rPr>
        <w:t>NHS England (2023) Working together in partnership: Integrated Care Systems guidance. Available at: https://www.england.nhs.uk/integratedcare/ (Accessed: 24 July 2026).</w:t>
      </w:r>
    </w:p>
    <w:p w14:paraId="6762CC86" w14:textId="77777777" w:rsidR="00B27C21" w:rsidRPr="00BF7815" w:rsidRDefault="00B27C21" w:rsidP="00BF7815">
      <w:pPr>
        <w:pStyle w:val="NormalWeb"/>
        <w:spacing w:before="0" w:beforeAutospacing="0" w:after="240" w:afterAutospacing="0" w:line="360" w:lineRule="auto"/>
        <w:jc w:val="both"/>
        <w:rPr>
          <w:rFonts w:ascii="Arial" w:hAnsi="Arial" w:cs="Arial"/>
          <w:sz w:val="22"/>
          <w:szCs w:val="22"/>
        </w:rPr>
      </w:pPr>
    </w:p>
    <w:p w14:paraId="336B6CD3" w14:textId="3EC613DE" w:rsidR="00A55D4C" w:rsidRDefault="00A55D4C" w:rsidP="00BF7815">
      <w:pPr>
        <w:pStyle w:val="NormalWeb"/>
        <w:spacing w:before="0" w:beforeAutospacing="0" w:after="240" w:afterAutospacing="0" w:line="360" w:lineRule="auto"/>
        <w:jc w:val="both"/>
        <w:rPr>
          <w:rFonts w:ascii="Arial" w:hAnsi="Arial" w:cs="Arial"/>
          <w:sz w:val="22"/>
          <w:szCs w:val="22"/>
        </w:rPr>
      </w:pPr>
      <w:r w:rsidRPr="00BF7815">
        <w:rPr>
          <w:rFonts w:ascii="Arial" w:hAnsi="Arial" w:cs="Arial"/>
          <w:sz w:val="22"/>
          <w:szCs w:val="22"/>
        </w:rPr>
        <w:lastRenderedPageBreak/>
        <w:t xml:space="preserve">Noushin Mousazadeh </w:t>
      </w:r>
      <w:r w:rsidRPr="00BF7815">
        <w:rPr>
          <w:rFonts w:ascii="Arial" w:hAnsi="Arial" w:cs="Arial"/>
          <w:i/>
          <w:iCs/>
          <w:sz w:val="22"/>
          <w:szCs w:val="22"/>
        </w:rPr>
        <w:t>et al.</w:t>
      </w:r>
      <w:r w:rsidRPr="00BF7815">
        <w:rPr>
          <w:rFonts w:ascii="Arial" w:hAnsi="Arial" w:cs="Arial"/>
          <w:sz w:val="22"/>
          <w:szCs w:val="22"/>
        </w:rPr>
        <w:t xml:space="preserve"> (2025) “The spectrum of person-centered care: From luxury to necessity: A descriptive qualitative study,” </w:t>
      </w:r>
      <w:r w:rsidRPr="00BF7815">
        <w:rPr>
          <w:rFonts w:ascii="Arial" w:hAnsi="Arial" w:cs="Arial"/>
          <w:i/>
          <w:iCs/>
          <w:sz w:val="22"/>
          <w:szCs w:val="22"/>
        </w:rPr>
        <w:t>BMC Nursing</w:t>
      </w:r>
      <w:r w:rsidRPr="00BF7815">
        <w:rPr>
          <w:rFonts w:ascii="Arial" w:hAnsi="Arial" w:cs="Arial"/>
          <w:sz w:val="22"/>
          <w:szCs w:val="22"/>
        </w:rPr>
        <w:t xml:space="preserve">, 24(1). Available at: </w:t>
      </w:r>
      <w:hyperlink r:id="rId14" w:history="1">
        <w:r w:rsidR="004E1181" w:rsidRPr="00E96D03">
          <w:rPr>
            <w:rStyle w:val="Hyperlink"/>
            <w:rFonts w:ascii="Arial" w:hAnsi="Arial" w:cs="Arial"/>
            <w:sz w:val="22"/>
            <w:szCs w:val="22"/>
          </w:rPr>
          <w:t>https://doi.org/10.1186/s12912-025-03737-y</w:t>
        </w:r>
      </w:hyperlink>
      <w:r w:rsidRPr="00BF7815">
        <w:rPr>
          <w:rFonts w:ascii="Arial" w:hAnsi="Arial" w:cs="Arial"/>
          <w:sz w:val="22"/>
          <w:szCs w:val="22"/>
        </w:rPr>
        <w:t>.</w:t>
      </w:r>
    </w:p>
    <w:p w14:paraId="55273963" w14:textId="77777777" w:rsidR="00B27C21" w:rsidRDefault="00B27C21" w:rsidP="00BF7815">
      <w:pPr>
        <w:pStyle w:val="NormalWeb"/>
        <w:spacing w:before="0" w:beforeAutospacing="0" w:after="240" w:afterAutospacing="0" w:line="360" w:lineRule="auto"/>
        <w:jc w:val="both"/>
        <w:rPr>
          <w:rFonts w:ascii="Arial" w:hAnsi="Arial" w:cs="Arial"/>
          <w:sz w:val="22"/>
          <w:szCs w:val="22"/>
        </w:rPr>
      </w:pPr>
    </w:p>
    <w:p w14:paraId="72D0A2D1" w14:textId="2CA77C2D" w:rsidR="004E1181" w:rsidRDefault="004E1181" w:rsidP="00BF7815">
      <w:pPr>
        <w:pStyle w:val="NormalWeb"/>
        <w:spacing w:before="0" w:beforeAutospacing="0" w:after="240" w:afterAutospacing="0" w:line="360" w:lineRule="auto"/>
        <w:jc w:val="both"/>
        <w:rPr>
          <w:rFonts w:ascii="Arial" w:hAnsi="Arial" w:cs="Arial"/>
          <w:sz w:val="22"/>
          <w:szCs w:val="22"/>
        </w:rPr>
      </w:pPr>
      <w:r w:rsidRPr="004E1181">
        <w:rPr>
          <w:rFonts w:ascii="Arial" w:hAnsi="Arial" w:cs="Arial"/>
          <w:sz w:val="22"/>
          <w:szCs w:val="22"/>
        </w:rPr>
        <w:t>Nursing and Midwifery Council (2023) The Code: Professional standards of practice and behaviour for nurses, midwives and nursing associates. Available at: https://www.nmc.org.uk/standards/code/ (Accessed: 24 July 2026).</w:t>
      </w:r>
    </w:p>
    <w:p w14:paraId="1B94B1DF" w14:textId="77777777" w:rsidR="00B27C21" w:rsidRPr="00BF7815" w:rsidRDefault="00B27C21" w:rsidP="00BF7815">
      <w:pPr>
        <w:pStyle w:val="NormalWeb"/>
        <w:spacing w:before="0" w:beforeAutospacing="0" w:after="240" w:afterAutospacing="0" w:line="360" w:lineRule="auto"/>
        <w:jc w:val="both"/>
        <w:rPr>
          <w:rFonts w:ascii="Arial" w:hAnsi="Arial" w:cs="Arial"/>
          <w:sz w:val="22"/>
          <w:szCs w:val="22"/>
        </w:rPr>
      </w:pPr>
    </w:p>
    <w:p w14:paraId="3B3A98B2" w14:textId="64D950ED" w:rsidR="00A55D4C" w:rsidRDefault="00A55D4C" w:rsidP="00BF7815">
      <w:pPr>
        <w:pStyle w:val="NormalWeb"/>
        <w:spacing w:before="0" w:beforeAutospacing="0" w:after="240" w:afterAutospacing="0" w:line="360" w:lineRule="auto"/>
        <w:jc w:val="both"/>
        <w:rPr>
          <w:rFonts w:ascii="Arial" w:hAnsi="Arial" w:cs="Arial"/>
          <w:sz w:val="22"/>
          <w:szCs w:val="22"/>
        </w:rPr>
      </w:pPr>
      <w:r w:rsidRPr="00BF7815">
        <w:rPr>
          <w:rFonts w:ascii="Arial" w:hAnsi="Arial" w:cs="Arial"/>
          <w:sz w:val="22"/>
          <w:szCs w:val="22"/>
        </w:rPr>
        <w:t xml:space="preserve">Pithara, C. </w:t>
      </w:r>
      <w:r w:rsidRPr="00BF7815">
        <w:rPr>
          <w:rFonts w:ascii="Arial" w:hAnsi="Arial" w:cs="Arial"/>
          <w:i/>
          <w:iCs/>
          <w:sz w:val="22"/>
          <w:szCs w:val="22"/>
        </w:rPr>
        <w:t>et al.</w:t>
      </w:r>
      <w:r w:rsidRPr="00BF7815">
        <w:rPr>
          <w:rFonts w:ascii="Arial" w:hAnsi="Arial" w:cs="Arial"/>
          <w:sz w:val="22"/>
          <w:szCs w:val="22"/>
        </w:rPr>
        <w:t xml:space="preserve"> (2020) “Implementing a Digital Tool to Support Shared Care Planning in Community-Based Mental Health Services: Qualitative Evaluation,” </w:t>
      </w:r>
      <w:r w:rsidRPr="00BF7815">
        <w:rPr>
          <w:rFonts w:ascii="Arial" w:hAnsi="Arial" w:cs="Arial"/>
          <w:i/>
          <w:iCs/>
          <w:sz w:val="22"/>
          <w:szCs w:val="22"/>
        </w:rPr>
        <w:t>Journal of Medical Internet Research</w:t>
      </w:r>
      <w:r w:rsidRPr="00BF7815">
        <w:rPr>
          <w:rFonts w:ascii="Arial" w:hAnsi="Arial" w:cs="Arial"/>
          <w:sz w:val="22"/>
          <w:szCs w:val="22"/>
        </w:rPr>
        <w:t xml:space="preserve">, 22(3), p. e14868. Available at: </w:t>
      </w:r>
      <w:hyperlink r:id="rId15" w:history="1">
        <w:r w:rsidR="00B27C21" w:rsidRPr="00E96D03">
          <w:rPr>
            <w:rStyle w:val="Hyperlink"/>
            <w:rFonts w:ascii="Arial" w:hAnsi="Arial" w:cs="Arial"/>
            <w:sz w:val="22"/>
            <w:szCs w:val="22"/>
          </w:rPr>
          <w:t>https://doi.org/10.2196/14868</w:t>
        </w:r>
      </w:hyperlink>
      <w:r w:rsidRPr="00BF7815">
        <w:rPr>
          <w:rFonts w:ascii="Arial" w:hAnsi="Arial" w:cs="Arial"/>
          <w:sz w:val="22"/>
          <w:szCs w:val="22"/>
        </w:rPr>
        <w:t>.</w:t>
      </w:r>
    </w:p>
    <w:p w14:paraId="124189D4" w14:textId="77777777" w:rsidR="00B27C21" w:rsidRPr="00BF7815" w:rsidRDefault="00B27C21" w:rsidP="00BF7815">
      <w:pPr>
        <w:pStyle w:val="NormalWeb"/>
        <w:spacing w:before="0" w:beforeAutospacing="0" w:after="240" w:afterAutospacing="0" w:line="360" w:lineRule="auto"/>
        <w:jc w:val="both"/>
        <w:rPr>
          <w:rFonts w:ascii="Arial" w:hAnsi="Arial" w:cs="Arial"/>
          <w:sz w:val="22"/>
          <w:szCs w:val="22"/>
        </w:rPr>
      </w:pPr>
    </w:p>
    <w:p w14:paraId="5200A76D" w14:textId="3B86D11E" w:rsidR="00A55D4C" w:rsidRDefault="00A55D4C" w:rsidP="00BF7815">
      <w:pPr>
        <w:pStyle w:val="NormalWeb"/>
        <w:spacing w:before="0" w:beforeAutospacing="0" w:after="240" w:afterAutospacing="0" w:line="360" w:lineRule="auto"/>
        <w:jc w:val="both"/>
        <w:rPr>
          <w:rFonts w:ascii="Arial" w:hAnsi="Arial" w:cs="Arial"/>
          <w:sz w:val="22"/>
          <w:szCs w:val="22"/>
        </w:rPr>
      </w:pPr>
      <w:r w:rsidRPr="00BF7815">
        <w:rPr>
          <w:rFonts w:ascii="Arial" w:hAnsi="Arial" w:cs="Arial"/>
          <w:sz w:val="22"/>
          <w:szCs w:val="22"/>
        </w:rPr>
        <w:t xml:space="preserve">Ragins, M. and Sunkel, C. (2024) “The Recovery Model and Other Rehabilitative Approaches,” </w:t>
      </w:r>
      <w:r w:rsidRPr="00BF7815">
        <w:rPr>
          <w:rFonts w:ascii="Arial" w:hAnsi="Arial" w:cs="Arial"/>
          <w:i/>
          <w:iCs/>
          <w:sz w:val="22"/>
          <w:szCs w:val="22"/>
        </w:rPr>
        <w:t>Springer eBooks</w:t>
      </w:r>
      <w:r w:rsidRPr="00BF7815">
        <w:rPr>
          <w:rFonts w:ascii="Arial" w:hAnsi="Arial" w:cs="Arial"/>
          <w:sz w:val="22"/>
          <w:szCs w:val="22"/>
        </w:rPr>
        <w:t xml:space="preserve">, pp. 3395–3441. Available at: </w:t>
      </w:r>
      <w:hyperlink r:id="rId16" w:history="1">
        <w:r w:rsidR="00B27C21" w:rsidRPr="00E96D03">
          <w:rPr>
            <w:rStyle w:val="Hyperlink"/>
            <w:rFonts w:ascii="Arial" w:hAnsi="Arial" w:cs="Arial"/>
            <w:sz w:val="22"/>
            <w:szCs w:val="22"/>
          </w:rPr>
          <w:t>https://doi.org/10.1007/978-3-030-51366-5_157</w:t>
        </w:r>
      </w:hyperlink>
      <w:r w:rsidRPr="00BF7815">
        <w:rPr>
          <w:rFonts w:ascii="Arial" w:hAnsi="Arial" w:cs="Arial"/>
          <w:sz w:val="22"/>
          <w:szCs w:val="22"/>
        </w:rPr>
        <w:t>.</w:t>
      </w:r>
    </w:p>
    <w:p w14:paraId="37B5214F" w14:textId="77777777" w:rsidR="00B27C21" w:rsidRPr="00BF7815" w:rsidRDefault="00B27C21" w:rsidP="00BF7815">
      <w:pPr>
        <w:pStyle w:val="NormalWeb"/>
        <w:spacing w:before="0" w:beforeAutospacing="0" w:after="240" w:afterAutospacing="0" w:line="360" w:lineRule="auto"/>
        <w:jc w:val="both"/>
        <w:rPr>
          <w:rFonts w:ascii="Arial" w:hAnsi="Arial" w:cs="Arial"/>
          <w:sz w:val="22"/>
          <w:szCs w:val="22"/>
        </w:rPr>
      </w:pPr>
    </w:p>
    <w:p w14:paraId="7E23D45D" w14:textId="7F6B48B1" w:rsidR="00A55D4C" w:rsidRDefault="00A55D4C" w:rsidP="00BF7815">
      <w:pPr>
        <w:pStyle w:val="NormalWeb"/>
        <w:spacing w:before="0" w:beforeAutospacing="0" w:after="240" w:afterAutospacing="0" w:line="360" w:lineRule="auto"/>
        <w:jc w:val="both"/>
        <w:rPr>
          <w:rFonts w:ascii="Arial" w:hAnsi="Arial" w:cs="Arial"/>
          <w:sz w:val="22"/>
          <w:szCs w:val="22"/>
        </w:rPr>
      </w:pPr>
      <w:r w:rsidRPr="00BF7815">
        <w:rPr>
          <w:rFonts w:ascii="Arial" w:hAnsi="Arial" w:cs="Arial"/>
          <w:sz w:val="22"/>
          <w:szCs w:val="22"/>
        </w:rPr>
        <w:t xml:space="preserve">Robinson, J.H. </w:t>
      </w:r>
      <w:r w:rsidRPr="00BF7815">
        <w:rPr>
          <w:rFonts w:ascii="Arial" w:hAnsi="Arial" w:cs="Arial"/>
          <w:i/>
          <w:iCs/>
          <w:sz w:val="22"/>
          <w:szCs w:val="22"/>
        </w:rPr>
        <w:t>et al.</w:t>
      </w:r>
      <w:r w:rsidRPr="00BF7815">
        <w:rPr>
          <w:rFonts w:ascii="Arial" w:hAnsi="Arial" w:cs="Arial"/>
          <w:sz w:val="22"/>
          <w:szCs w:val="22"/>
        </w:rPr>
        <w:t xml:space="preserve"> (2008) “Patient-centered care and adherence: Definitions and applications to improve outcomes,” </w:t>
      </w:r>
      <w:r w:rsidRPr="00BF7815">
        <w:rPr>
          <w:rFonts w:ascii="Arial" w:hAnsi="Arial" w:cs="Arial"/>
          <w:i/>
          <w:iCs/>
          <w:sz w:val="22"/>
          <w:szCs w:val="22"/>
        </w:rPr>
        <w:t>Journal of the American Academy of Nurse Practitioners</w:t>
      </w:r>
      <w:r w:rsidRPr="00BF7815">
        <w:rPr>
          <w:rFonts w:ascii="Arial" w:hAnsi="Arial" w:cs="Arial"/>
          <w:sz w:val="22"/>
          <w:szCs w:val="22"/>
        </w:rPr>
        <w:t xml:space="preserve">, 20(12), pp. 600–607. Available at: </w:t>
      </w:r>
      <w:hyperlink r:id="rId17" w:history="1">
        <w:r w:rsidR="00B27C21" w:rsidRPr="00E96D03">
          <w:rPr>
            <w:rStyle w:val="Hyperlink"/>
            <w:rFonts w:ascii="Arial" w:hAnsi="Arial" w:cs="Arial"/>
            <w:sz w:val="22"/>
            <w:szCs w:val="22"/>
          </w:rPr>
          <w:t>https://doi.org/10.1111/j.1745-7599.2008.00360.x</w:t>
        </w:r>
      </w:hyperlink>
      <w:r w:rsidRPr="00BF7815">
        <w:rPr>
          <w:rFonts w:ascii="Arial" w:hAnsi="Arial" w:cs="Arial"/>
          <w:sz w:val="22"/>
          <w:szCs w:val="22"/>
        </w:rPr>
        <w:t>.</w:t>
      </w:r>
    </w:p>
    <w:p w14:paraId="0D934F4E" w14:textId="77777777" w:rsidR="00B27C21" w:rsidRDefault="00B27C21" w:rsidP="00BF7815">
      <w:pPr>
        <w:pStyle w:val="NormalWeb"/>
        <w:spacing w:before="0" w:beforeAutospacing="0" w:after="240" w:afterAutospacing="0" w:line="360" w:lineRule="auto"/>
        <w:jc w:val="both"/>
        <w:rPr>
          <w:rFonts w:ascii="Arial" w:hAnsi="Arial" w:cs="Arial"/>
          <w:sz w:val="22"/>
          <w:szCs w:val="22"/>
        </w:rPr>
      </w:pPr>
    </w:p>
    <w:p w14:paraId="0D5CEEAD" w14:textId="1919B72C" w:rsidR="00714AE1" w:rsidRDefault="00714AE1" w:rsidP="00BF7815">
      <w:pPr>
        <w:pStyle w:val="NormalWeb"/>
        <w:spacing w:before="0" w:beforeAutospacing="0" w:after="240" w:afterAutospacing="0" w:line="360" w:lineRule="auto"/>
        <w:jc w:val="both"/>
        <w:rPr>
          <w:rFonts w:ascii="Arial" w:hAnsi="Arial" w:cs="Arial"/>
          <w:sz w:val="22"/>
          <w:szCs w:val="22"/>
        </w:rPr>
      </w:pPr>
      <w:r w:rsidRPr="00714AE1">
        <w:rPr>
          <w:rFonts w:ascii="Arial" w:hAnsi="Arial" w:cs="Arial"/>
          <w:sz w:val="22"/>
          <w:szCs w:val="22"/>
        </w:rPr>
        <w:t>Social Care Institute for Excellence (2021) Risk enablement: supporting people to take positive risks. Available at: https://www.scie.org.uk (Accessed: 24 July 2026).</w:t>
      </w:r>
    </w:p>
    <w:p w14:paraId="53F8088E" w14:textId="77777777" w:rsidR="00B27C21" w:rsidRPr="00BF7815" w:rsidRDefault="00B27C21" w:rsidP="00BF7815">
      <w:pPr>
        <w:pStyle w:val="NormalWeb"/>
        <w:spacing w:before="0" w:beforeAutospacing="0" w:after="240" w:afterAutospacing="0" w:line="360" w:lineRule="auto"/>
        <w:jc w:val="both"/>
        <w:rPr>
          <w:rFonts w:ascii="Arial" w:hAnsi="Arial" w:cs="Arial"/>
          <w:sz w:val="22"/>
          <w:szCs w:val="22"/>
        </w:rPr>
      </w:pPr>
    </w:p>
    <w:p w14:paraId="0EB57F3D" w14:textId="72AEA8E9" w:rsidR="00A55D4C" w:rsidRDefault="00A55D4C" w:rsidP="00BF7815">
      <w:pPr>
        <w:pStyle w:val="NormalWeb"/>
        <w:spacing w:before="0" w:beforeAutospacing="0" w:after="240" w:afterAutospacing="0" w:line="360" w:lineRule="auto"/>
        <w:jc w:val="both"/>
        <w:rPr>
          <w:rFonts w:ascii="Arial" w:hAnsi="Arial" w:cs="Arial"/>
          <w:sz w:val="22"/>
          <w:szCs w:val="22"/>
        </w:rPr>
      </w:pPr>
      <w:r w:rsidRPr="00BF7815">
        <w:rPr>
          <w:rFonts w:ascii="Arial" w:hAnsi="Arial" w:cs="Arial"/>
          <w:sz w:val="22"/>
          <w:szCs w:val="22"/>
        </w:rPr>
        <w:t xml:space="preserve">Thomson, M., Waterson, H. and Chatterjee, H.J. (2024) “Successes and challenges of partnership working to tackle health inequalities using collaborative approaches to community-based research: Mixed methods analysis of focus group evidence,” </w:t>
      </w:r>
      <w:r w:rsidRPr="00BF7815">
        <w:rPr>
          <w:rFonts w:ascii="Arial" w:hAnsi="Arial" w:cs="Arial"/>
          <w:i/>
          <w:iCs/>
          <w:sz w:val="22"/>
          <w:szCs w:val="22"/>
        </w:rPr>
        <w:t>International journal for equity in health</w:t>
      </w:r>
      <w:r w:rsidRPr="00BF7815">
        <w:rPr>
          <w:rFonts w:ascii="Arial" w:hAnsi="Arial" w:cs="Arial"/>
          <w:sz w:val="22"/>
          <w:szCs w:val="22"/>
        </w:rPr>
        <w:t xml:space="preserve">, 23(1). Available at: </w:t>
      </w:r>
      <w:hyperlink r:id="rId18" w:history="1">
        <w:r w:rsidR="00B27C21" w:rsidRPr="00E96D03">
          <w:rPr>
            <w:rStyle w:val="Hyperlink"/>
            <w:rFonts w:ascii="Arial" w:hAnsi="Arial" w:cs="Arial"/>
            <w:sz w:val="22"/>
            <w:szCs w:val="22"/>
          </w:rPr>
          <w:t>https://doi.org/10.1186/s12939-024-02216-1</w:t>
        </w:r>
      </w:hyperlink>
      <w:r w:rsidRPr="00BF7815">
        <w:rPr>
          <w:rFonts w:ascii="Arial" w:hAnsi="Arial" w:cs="Arial"/>
          <w:sz w:val="22"/>
          <w:szCs w:val="22"/>
        </w:rPr>
        <w:t>.</w:t>
      </w:r>
    </w:p>
    <w:p w14:paraId="541FEAEF" w14:textId="77777777" w:rsidR="00B27C21" w:rsidRPr="00BF7815" w:rsidRDefault="00B27C21" w:rsidP="00BF7815">
      <w:pPr>
        <w:pStyle w:val="NormalWeb"/>
        <w:spacing w:before="0" w:beforeAutospacing="0" w:after="240" w:afterAutospacing="0" w:line="360" w:lineRule="auto"/>
        <w:jc w:val="both"/>
        <w:rPr>
          <w:rFonts w:ascii="Arial" w:hAnsi="Arial" w:cs="Arial"/>
          <w:sz w:val="22"/>
          <w:szCs w:val="22"/>
        </w:rPr>
      </w:pPr>
    </w:p>
    <w:p w14:paraId="7C089378" w14:textId="6487316A" w:rsidR="00A55D4C" w:rsidRDefault="00A55D4C" w:rsidP="00BF7815">
      <w:pPr>
        <w:pStyle w:val="NormalWeb"/>
        <w:spacing w:before="0" w:beforeAutospacing="0" w:after="240" w:afterAutospacing="0" w:line="360" w:lineRule="auto"/>
        <w:jc w:val="both"/>
        <w:rPr>
          <w:rFonts w:ascii="Arial" w:hAnsi="Arial" w:cs="Arial"/>
          <w:sz w:val="22"/>
          <w:szCs w:val="22"/>
        </w:rPr>
      </w:pPr>
      <w:r w:rsidRPr="00BF7815">
        <w:rPr>
          <w:rFonts w:ascii="Arial" w:hAnsi="Arial" w:cs="Arial"/>
          <w:sz w:val="22"/>
          <w:szCs w:val="22"/>
        </w:rPr>
        <w:lastRenderedPageBreak/>
        <w:t xml:space="preserve">Tritter, J.Q. and Koivusalo, M. (2013) “Undermining patient and public engagement and limiting its impact: The consequences of the Health and Social Care Act 2012 on collective patient and public involvement,” </w:t>
      </w:r>
      <w:r w:rsidRPr="00BF7815">
        <w:rPr>
          <w:rFonts w:ascii="Arial" w:hAnsi="Arial" w:cs="Arial"/>
          <w:i/>
          <w:iCs/>
          <w:sz w:val="22"/>
          <w:szCs w:val="22"/>
        </w:rPr>
        <w:t>Health Expectations : An International Journal of Public Participation in Health Care and Health Policy</w:t>
      </w:r>
      <w:r w:rsidRPr="00BF7815">
        <w:rPr>
          <w:rFonts w:ascii="Arial" w:hAnsi="Arial" w:cs="Arial"/>
          <w:sz w:val="22"/>
          <w:szCs w:val="22"/>
        </w:rPr>
        <w:t xml:space="preserve">, 16(2), p. 115. Available at: </w:t>
      </w:r>
      <w:hyperlink r:id="rId19" w:history="1">
        <w:r w:rsidR="00B27C21" w:rsidRPr="00E96D03">
          <w:rPr>
            <w:rStyle w:val="Hyperlink"/>
            <w:rFonts w:ascii="Arial" w:hAnsi="Arial" w:cs="Arial"/>
            <w:sz w:val="22"/>
            <w:szCs w:val="22"/>
          </w:rPr>
          <w:t>https://doi.org/10.1111/hex.12069</w:t>
        </w:r>
      </w:hyperlink>
      <w:r w:rsidRPr="00BF7815">
        <w:rPr>
          <w:rFonts w:ascii="Arial" w:hAnsi="Arial" w:cs="Arial"/>
          <w:sz w:val="22"/>
          <w:szCs w:val="22"/>
        </w:rPr>
        <w:t>.</w:t>
      </w:r>
    </w:p>
    <w:p w14:paraId="2B693A54" w14:textId="77777777" w:rsidR="00B27C21" w:rsidRPr="00BF7815" w:rsidRDefault="00B27C21" w:rsidP="00BF7815">
      <w:pPr>
        <w:pStyle w:val="NormalWeb"/>
        <w:spacing w:before="0" w:beforeAutospacing="0" w:after="240" w:afterAutospacing="0" w:line="360" w:lineRule="auto"/>
        <w:jc w:val="both"/>
        <w:rPr>
          <w:rFonts w:ascii="Arial" w:hAnsi="Arial" w:cs="Arial"/>
          <w:sz w:val="22"/>
          <w:szCs w:val="22"/>
        </w:rPr>
      </w:pPr>
    </w:p>
    <w:p w14:paraId="700E680A" w14:textId="1705E44A" w:rsidR="00A55D4C" w:rsidRDefault="00A55D4C" w:rsidP="00BF7815">
      <w:pPr>
        <w:pStyle w:val="NormalWeb"/>
        <w:spacing w:before="0" w:beforeAutospacing="0" w:after="240" w:afterAutospacing="0" w:line="360" w:lineRule="auto"/>
        <w:jc w:val="both"/>
        <w:rPr>
          <w:rFonts w:ascii="Arial" w:hAnsi="Arial" w:cs="Arial"/>
          <w:sz w:val="22"/>
          <w:szCs w:val="22"/>
        </w:rPr>
      </w:pPr>
      <w:r w:rsidRPr="00BF7815">
        <w:rPr>
          <w:rFonts w:ascii="Arial" w:hAnsi="Arial" w:cs="Arial"/>
          <w:sz w:val="22"/>
          <w:szCs w:val="22"/>
        </w:rPr>
        <w:t xml:space="preserve">UK Government (2012) </w:t>
      </w:r>
      <w:r w:rsidRPr="00BF7815">
        <w:rPr>
          <w:rFonts w:ascii="Arial" w:hAnsi="Arial" w:cs="Arial"/>
          <w:i/>
          <w:iCs/>
          <w:sz w:val="22"/>
          <w:szCs w:val="22"/>
        </w:rPr>
        <w:t>Health and Social Care Act 2012</w:t>
      </w:r>
      <w:r w:rsidRPr="00BF7815">
        <w:rPr>
          <w:rFonts w:ascii="Arial" w:hAnsi="Arial" w:cs="Arial"/>
          <w:sz w:val="22"/>
          <w:szCs w:val="22"/>
        </w:rPr>
        <w:t xml:space="preserve">, </w:t>
      </w:r>
      <w:r w:rsidRPr="00BF7815">
        <w:rPr>
          <w:rFonts w:ascii="Arial" w:hAnsi="Arial" w:cs="Arial"/>
          <w:i/>
          <w:iCs/>
          <w:sz w:val="22"/>
          <w:szCs w:val="22"/>
        </w:rPr>
        <w:t>Legislation.gov.uk</w:t>
      </w:r>
      <w:r w:rsidRPr="00BF7815">
        <w:rPr>
          <w:rFonts w:ascii="Arial" w:hAnsi="Arial" w:cs="Arial"/>
          <w:sz w:val="22"/>
          <w:szCs w:val="22"/>
        </w:rPr>
        <w:t xml:space="preserve">. Available at: </w:t>
      </w:r>
      <w:hyperlink r:id="rId20" w:history="1">
        <w:r w:rsidR="00B27C21" w:rsidRPr="00E96D03">
          <w:rPr>
            <w:rStyle w:val="Hyperlink"/>
            <w:rFonts w:ascii="Arial" w:hAnsi="Arial" w:cs="Arial"/>
            <w:sz w:val="22"/>
            <w:szCs w:val="22"/>
          </w:rPr>
          <w:t>https://www.legislation.gov.uk/ukpga/2012/7/contents</w:t>
        </w:r>
      </w:hyperlink>
      <w:r w:rsidRPr="00BF7815">
        <w:rPr>
          <w:rFonts w:ascii="Arial" w:hAnsi="Arial" w:cs="Arial"/>
          <w:sz w:val="22"/>
          <w:szCs w:val="22"/>
        </w:rPr>
        <w:t>.</w:t>
      </w:r>
    </w:p>
    <w:p w14:paraId="79A274B9" w14:textId="77777777" w:rsidR="00264618" w:rsidRDefault="00264618" w:rsidP="00BF7815">
      <w:pPr>
        <w:pStyle w:val="NormalWeb"/>
        <w:spacing w:before="0" w:beforeAutospacing="0" w:after="240" w:afterAutospacing="0" w:line="360" w:lineRule="auto"/>
        <w:jc w:val="both"/>
        <w:rPr>
          <w:rFonts w:ascii="Arial" w:hAnsi="Arial" w:cs="Arial"/>
          <w:sz w:val="22"/>
          <w:szCs w:val="22"/>
        </w:rPr>
      </w:pPr>
    </w:p>
    <w:p w14:paraId="7CC062A8" w14:textId="268CA33C" w:rsidR="00264618" w:rsidRDefault="00264618" w:rsidP="00BF7815">
      <w:pPr>
        <w:pStyle w:val="NormalWeb"/>
        <w:spacing w:before="0" w:beforeAutospacing="0" w:after="240" w:afterAutospacing="0" w:line="360" w:lineRule="auto"/>
        <w:jc w:val="both"/>
        <w:rPr>
          <w:rFonts w:ascii="Arial" w:hAnsi="Arial" w:cs="Arial"/>
          <w:sz w:val="22"/>
          <w:szCs w:val="22"/>
        </w:rPr>
      </w:pPr>
      <w:r w:rsidRPr="00264618">
        <w:rPr>
          <w:rFonts w:ascii="Arial" w:hAnsi="Arial" w:cs="Arial"/>
          <w:sz w:val="22"/>
          <w:szCs w:val="22"/>
        </w:rPr>
        <w:t>Van der Feltz-Cornelis, C., Aldridge, R., Stansfield, J., Asaria, M. and Griffiths, C. (2023) ‘Integrated Care pathways: A New Approach for Integrated Care Systems’, British Journal of General Practice, 73(734), p. 422. Available at: https://doi.org/10.3399/bjgp23X734925 (Accessed: 25 July 2026).</w:t>
      </w:r>
    </w:p>
    <w:p w14:paraId="32A08ED2" w14:textId="77777777" w:rsidR="00B27C21" w:rsidRPr="00BF7815" w:rsidRDefault="00B27C21" w:rsidP="00BF7815">
      <w:pPr>
        <w:pStyle w:val="NormalWeb"/>
        <w:spacing w:before="0" w:beforeAutospacing="0" w:after="240" w:afterAutospacing="0" w:line="360" w:lineRule="auto"/>
        <w:jc w:val="both"/>
        <w:rPr>
          <w:rFonts w:ascii="Arial" w:hAnsi="Arial" w:cs="Arial"/>
          <w:sz w:val="22"/>
          <w:szCs w:val="22"/>
        </w:rPr>
      </w:pPr>
    </w:p>
    <w:p w14:paraId="73BA34CD" w14:textId="1BFBCCF9" w:rsidR="00A55D4C" w:rsidRDefault="00A55D4C" w:rsidP="00BF7815">
      <w:pPr>
        <w:pStyle w:val="NormalWeb"/>
        <w:spacing w:before="0" w:beforeAutospacing="0" w:after="240" w:afterAutospacing="0" w:line="360" w:lineRule="auto"/>
        <w:jc w:val="both"/>
        <w:rPr>
          <w:rFonts w:ascii="Arial" w:hAnsi="Arial" w:cs="Arial"/>
          <w:sz w:val="22"/>
          <w:szCs w:val="22"/>
        </w:rPr>
      </w:pPr>
      <w:r w:rsidRPr="00BF7815">
        <w:rPr>
          <w:rFonts w:ascii="Arial" w:hAnsi="Arial" w:cs="Arial"/>
          <w:sz w:val="22"/>
          <w:szCs w:val="22"/>
        </w:rPr>
        <w:t xml:space="preserve">Varkey, B. (2021) “Principles of Clinical Ethics and Their Application to Practice,” </w:t>
      </w:r>
      <w:r w:rsidRPr="00BF7815">
        <w:rPr>
          <w:rFonts w:ascii="Arial" w:hAnsi="Arial" w:cs="Arial"/>
          <w:i/>
          <w:iCs/>
          <w:sz w:val="22"/>
          <w:szCs w:val="22"/>
        </w:rPr>
        <w:t>Medical Principles and Practice</w:t>
      </w:r>
      <w:r w:rsidRPr="00BF7815">
        <w:rPr>
          <w:rFonts w:ascii="Arial" w:hAnsi="Arial" w:cs="Arial"/>
          <w:sz w:val="22"/>
          <w:szCs w:val="22"/>
        </w:rPr>
        <w:t xml:space="preserve">, 30(1), pp. 17–28. Available at: </w:t>
      </w:r>
      <w:hyperlink r:id="rId21" w:history="1">
        <w:r w:rsidR="00F156A3" w:rsidRPr="00E96D03">
          <w:rPr>
            <w:rStyle w:val="Hyperlink"/>
            <w:rFonts w:ascii="Arial" w:hAnsi="Arial" w:cs="Arial"/>
            <w:sz w:val="22"/>
            <w:szCs w:val="22"/>
          </w:rPr>
          <w:t>https://doi.org/10.1159/000509119</w:t>
        </w:r>
      </w:hyperlink>
      <w:r w:rsidRPr="00BF7815">
        <w:rPr>
          <w:rFonts w:ascii="Arial" w:hAnsi="Arial" w:cs="Arial"/>
          <w:sz w:val="22"/>
          <w:szCs w:val="22"/>
        </w:rPr>
        <w:t>.</w:t>
      </w:r>
    </w:p>
    <w:p w14:paraId="5CBDFD70" w14:textId="77777777" w:rsidR="00B27C21" w:rsidRDefault="00B27C21" w:rsidP="00BF7815">
      <w:pPr>
        <w:pStyle w:val="NormalWeb"/>
        <w:spacing w:before="0" w:beforeAutospacing="0" w:after="240" w:afterAutospacing="0" w:line="360" w:lineRule="auto"/>
        <w:jc w:val="both"/>
        <w:rPr>
          <w:rFonts w:ascii="Arial" w:hAnsi="Arial" w:cs="Arial"/>
          <w:sz w:val="22"/>
          <w:szCs w:val="22"/>
        </w:rPr>
      </w:pPr>
    </w:p>
    <w:p w14:paraId="4D8DEF1D" w14:textId="08CC6DB2" w:rsidR="00F156A3" w:rsidRPr="00BF7815" w:rsidRDefault="00F156A3" w:rsidP="00BF7815">
      <w:pPr>
        <w:pStyle w:val="NormalWeb"/>
        <w:spacing w:before="0" w:beforeAutospacing="0" w:after="240" w:afterAutospacing="0" w:line="360" w:lineRule="auto"/>
        <w:jc w:val="both"/>
        <w:rPr>
          <w:rFonts w:ascii="Arial" w:hAnsi="Arial" w:cs="Arial"/>
          <w:sz w:val="22"/>
          <w:szCs w:val="22"/>
        </w:rPr>
      </w:pPr>
      <w:r w:rsidRPr="00F156A3">
        <w:rPr>
          <w:rFonts w:ascii="Arial" w:hAnsi="Arial" w:cs="Arial"/>
          <w:sz w:val="22"/>
          <w:szCs w:val="22"/>
        </w:rPr>
        <w:t>World Health Organization (2010) Framework for action on interprofessional education and collaborative practice. Geneva: World Health Organization. Available at: https://apps.who.int/iris/handle/10665/70185 (Accessed: 2</w:t>
      </w:r>
      <w:r>
        <w:rPr>
          <w:rFonts w:ascii="Arial" w:hAnsi="Arial" w:cs="Arial"/>
          <w:sz w:val="22"/>
          <w:szCs w:val="22"/>
        </w:rPr>
        <w:t>4</w:t>
      </w:r>
      <w:r w:rsidRPr="00F156A3">
        <w:rPr>
          <w:rFonts w:ascii="Arial" w:hAnsi="Arial" w:cs="Arial"/>
          <w:sz w:val="22"/>
          <w:szCs w:val="22"/>
        </w:rPr>
        <w:t xml:space="preserve"> July 2026).</w:t>
      </w:r>
    </w:p>
    <w:p w14:paraId="5680D880" w14:textId="77777777" w:rsidR="00A55D4C" w:rsidRPr="00BF7815" w:rsidRDefault="00A55D4C" w:rsidP="00BF7815">
      <w:pPr>
        <w:jc w:val="both"/>
        <w:rPr>
          <w:rFonts w:ascii="Arial" w:hAnsi="Arial" w:cs="Arial"/>
          <w:b/>
          <w:bCs/>
          <w:szCs w:val="22"/>
        </w:rPr>
      </w:pPr>
    </w:p>
    <w:sectPr w:rsidR="00A55D4C" w:rsidRPr="00BF7815">
      <w:footerReference w:type="even"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750CC" w14:textId="77777777" w:rsidR="0084470B" w:rsidRDefault="0084470B" w:rsidP="00EC6FDA">
      <w:pPr>
        <w:spacing w:after="0" w:line="240" w:lineRule="auto"/>
      </w:pPr>
      <w:r>
        <w:separator/>
      </w:r>
    </w:p>
  </w:endnote>
  <w:endnote w:type="continuationSeparator" w:id="0">
    <w:p w14:paraId="40B92D55" w14:textId="77777777" w:rsidR="0084470B" w:rsidRDefault="0084470B" w:rsidP="00EC6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18014040"/>
      <w:docPartObj>
        <w:docPartGallery w:val="Page Numbers (Bottom of Page)"/>
        <w:docPartUnique/>
      </w:docPartObj>
    </w:sdtPr>
    <w:sdtContent>
      <w:p w14:paraId="63ABF3B4" w14:textId="636A998D" w:rsidR="00EC6FDA" w:rsidRDefault="00EC6FDA" w:rsidP="00F54C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1ADD083" w14:textId="77777777" w:rsidR="00EC6FDA" w:rsidRDefault="00EC6FDA" w:rsidP="00EC6F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6464603"/>
      <w:docPartObj>
        <w:docPartGallery w:val="Page Numbers (Bottom of Page)"/>
        <w:docPartUnique/>
      </w:docPartObj>
    </w:sdtPr>
    <w:sdtContent>
      <w:p w14:paraId="3FACC5DB" w14:textId="0BCE626F" w:rsidR="00EC6FDA" w:rsidRDefault="00EC6FDA" w:rsidP="00F54C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FD5811" w14:textId="77777777" w:rsidR="00EC6FDA" w:rsidRDefault="00EC6FDA" w:rsidP="00EC6FD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9FE6F" w14:textId="77777777" w:rsidR="0084470B" w:rsidRDefault="0084470B" w:rsidP="00EC6FDA">
      <w:pPr>
        <w:spacing w:after="0" w:line="240" w:lineRule="auto"/>
      </w:pPr>
      <w:r>
        <w:separator/>
      </w:r>
    </w:p>
  </w:footnote>
  <w:footnote w:type="continuationSeparator" w:id="0">
    <w:p w14:paraId="1C685BE7" w14:textId="77777777" w:rsidR="0084470B" w:rsidRDefault="0084470B" w:rsidP="00EC6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C303A3"/>
    <w:multiLevelType w:val="hybridMultilevel"/>
    <w:tmpl w:val="D70476F4"/>
    <w:lvl w:ilvl="0" w:tplc="84A408B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191EBB"/>
    <w:multiLevelType w:val="hybridMultilevel"/>
    <w:tmpl w:val="9530BD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6405382">
    <w:abstractNumId w:val="0"/>
  </w:num>
  <w:num w:numId="2" w16cid:durableId="17138446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414"/>
    <w:rsid w:val="00022331"/>
    <w:rsid w:val="000363C5"/>
    <w:rsid w:val="000878AC"/>
    <w:rsid w:val="000A1079"/>
    <w:rsid w:val="000B743B"/>
    <w:rsid w:val="000D0246"/>
    <w:rsid w:val="000D1B86"/>
    <w:rsid w:val="00112FCF"/>
    <w:rsid w:val="00120367"/>
    <w:rsid w:val="00134414"/>
    <w:rsid w:val="001579E0"/>
    <w:rsid w:val="0017140E"/>
    <w:rsid w:val="00173DC3"/>
    <w:rsid w:val="001754F4"/>
    <w:rsid w:val="00186F59"/>
    <w:rsid w:val="00193A80"/>
    <w:rsid w:val="001E6459"/>
    <w:rsid w:val="001F0B67"/>
    <w:rsid w:val="001F4062"/>
    <w:rsid w:val="00225703"/>
    <w:rsid w:val="00264618"/>
    <w:rsid w:val="002875B6"/>
    <w:rsid w:val="002A5235"/>
    <w:rsid w:val="002B19B5"/>
    <w:rsid w:val="002B3CFB"/>
    <w:rsid w:val="002B3F04"/>
    <w:rsid w:val="002D719A"/>
    <w:rsid w:val="003152EE"/>
    <w:rsid w:val="00317A74"/>
    <w:rsid w:val="00340028"/>
    <w:rsid w:val="00341993"/>
    <w:rsid w:val="00361AA8"/>
    <w:rsid w:val="003868B6"/>
    <w:rsid w:val="00390DBE"/>
    <w:rsid w:val="003A267C"/>
    <w:rsid w:val="003B7435"/>
    <w:rsid w:val="003D0EEF"/>
    <w:rsid w:val="003E6677"/>
    <w:rsid w:val="00407B6E"/>
    <w:rsid w:val="00437888"/>
    <w:rsid w:val="004464EE"/>
    <w:rsid w:val="00446EB1"/>
    <w:rsid w:val="00455522"/>
    <w:rsid w:val="00456AE0"/>
    <w:rsid w:val="00461624"/>
    <w:rsid w:val="00484A6E"/>
    <w:rsid w:val="00485D35"/>
    <w:rsid w:val="004B188B"/>
    <w:rsid w:val="004B3D85"/>
    <w:rsid w:val="004B47C5"/>
    <w:rsid w:val="004C693E"/>
    <w:rsid w:val="004E0FDD"/>
    <w:rsid w:val="004E1181"/>
    <w:rsid w:val="004F4835"/>
    <w:rsid w:val="00502FFD"/>
    <w:rsid w:val="0054108C"/>
    <w:rsid w:val="005430C2"/>
    <w:rsid w:val="00555113"/>
    <w:rsid w:val="005B4F85"/>
    <w:rsid w:val="005F0011"/>
    <w:rsid w:val="0060003A"/>
    <w:rsid w:val="00613DCE"/>
    <w:rsid w:val="006173D4"/>
    <w:rsid w:val="00640710"/>
    <w:rsid w:val="00656C02"/>
    <w:rsid w:val="006A41D8"/>
    <w:rsid w:val="006A4871"/>
    <w:rsid w:val="006B28D1"/>
    <w:rsid w:val="006C25B2"/>
    <w:rsid w:val="006D29FC"/>
    <w:rsid w:val="00714AE1"/>
    <w:rsid w:val="007A1FF0"/>
    <w:rsid w:val="007A6838"/>
    <w:rsid w:val="007F0254"/>
    <w:rsid w:val="007F112C"/>
    <w:rsid w:val="00804503"/>
    <w:rsid w:val="00812BE4"/>
    <w:rsid w:val="00824DC0"/>
    <w:rsid w:val="00840E9F"/>
    <w:rsid w:val="0084470B"/>
    <w:rsid w:val="00876581"/>
    <w:rsid w:val="008824A0"/>
    <w:rsid w:val="008A414C"/>
    <w:rsid w:val="008A4D05"/>
    <w:rsid w:val="008E6356"/>
    <w:rsid w:val="008F63A7"/>
    <w:rsid w:val="008F6F25"/>
    <w:rsid w:val="00980FD7"/>
    <w:rsid w:val="009A481C"/>
    <w:rsid w:val="009B14D7"/>
    <w:rsid w:val="009B47B2"/>
    <w:rsid w:val="009D3D3C"/>
    <w:rsid w:val="009F0AD4"/>
    <w:rsid w:val="009F2CB9"/>
    <w:rsid w:val="00A3124E"/>
    <w:rsid w:val="00A51C61"/>
    <w:rsid w:val="00A55D4C"/>
    <w:rsid w:val="00A92FE5"/>
    <w:rsid w:val="00AC5114"/>
    <w:rsid w:val="00AD4686"/>
    <w:rsid w:val="00B23D2E"/>
    <w:rsid w:val="00B2650D"/>
    <w:rsid w:val="00B27C21"/>
    <w:rsid w:val="00B30054"/>
    <w:rsid w:val="00B31489"/>
    <w:rsid w:val="00B50FA9"/>
    <w:rsid w:val="00B94E9B"/>
    <w:rsid w:val="00BB01B2"/>
    <w:rsid w:val="00BC70EF"/>
    <w:rsid w:val="00BE4882"/>
    <w:rsid w:val="00BF7815"/>
    <w:rsid w:val="00C12DE9"/>
    <w:rsid w:val="00C52E94"/>
    <w:rsid w:val="00C62EC5"/>
    <w:rsid w:val="00C864F5"/>
    <w:rsid w:val="00C9149A"/>
    <w:rsid w:val="00CB13F6"/>
    <w:rsid w:val="00D23A9C"/>
    <w:rsid w:val="00D4547C"/>
    <w:rsid w:val="00D541C4"/>
    <w:rsid w:val="00D560CC"/>
    <w:rsid w:val="00D706D1"/>
    <w:rsid w:val="00D831DF"/>
    <w:rsid w:val="00D83D12"/>
    <w:rsid w:val="00D8516D"/>
    <w:rsid w:val="00D92051"/>
    <w:rsid w:val="00D9586C"/>
    <w:rsid w:val="00D95A10"/>
    <w:rsid w:val="00DA08AF"/>
    <w:rsid w:val="00DA2C8F"/>
    <w:rsid w:val="00DC1503"/>
    <w:rsid w:val="00DE0724"/>
    <w:rsid w:val="00DE0C07"/>
    <w:rsid w:val="00DF00A7"/>
    <w:rsid w:val="00E00468"/>
    <w:rsid w:val="00E00C41"/>
    <w:rsid w:val="00E44CF4"/>
    <w:rsid w:val="00E64C06"/>
    <w:rsid w:val="00E736F8"/>
    <w:rsid w:val="00E850F3"/>
    <w:rsid w:val="00E947F1"/>
    <w:rsid w:val="00EA2253"/>
    <w:rsid w:val="00EB7383"/>
    <w:rsid w:val="00EC6FDA"/>
    <w:rsid w:val="00EC79B6"/>
    <w:rsid w:val="00ED5E86"/>
    <w:rsid w:val="00F156A3"/>
    <w:rsid w:val="00F26CF7"/>
    <w:rsid w:val="00F54CC6"/>
    <w:rsid w:val="00F76EA7"/>
    <w:rsid w:val="00F80FFF"/>
    <w:rsid w:val="00F87C03"/>
    <w:rsid w:val="00FB6C67"/>
    <w:rsid w:val="00FC196C"/>
    <w:rsid w:val="00FC6332"/>
    <w:rsid w:val="00FE4708"/>
    <w:rsid w:val="00FF1256"/>
    <w:rsid w:val="00FF40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25113"/>
  <w15:chartTrackingRefBased/>
  <w15:docId w15:val="{76F4901D-A2D6-429F-B6CC-32A81B759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FDA"/>
    <w:pPr>
      <w:spacing w:line="360" w:lineRule="auto"/>
    </w:pPr>
    <w:rPr>
      <w:rFonts w:asciiTheme="minorBidi" w:hAnsiTheme="minorBidi"/>
      <w:sz w:val="22"/>
    </w:rPr>
  </w:style>
  <w:style w:type="paragraph" w:styleId="Heading1">
    <w:name w:val="heading 1"/>
    <w:basedOn w:val="Normal"/>
    <w:next w:val="Normal"/>
    <w:link w:val="Heading1Char"/>
    <w:uiPriority w:val="9"/>
    <w:qFormat/>
    <w:rsid w:val="00461624"/>
    <w:pPr>
      <w:keepNext/>
      <w:keepLines/>
      <w:spacing w:before="360" w:after="80"/>
      <w:outlineLvl w:val="0"/>
    </w:pPr>
    <w:rPr>
      <w:rFonts w:eastAsiaTheme="majorEastAsia"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FB6C67"/>
    <w:pPr>
      <w:keepNext/>
      <w:keepLines/>
      <w:spacing w:before="160" w:after="80"/>
      <w:outlineLvl w:val="1"/>
    </w:pPr>
    <w:rPr>
      <w:rFonts w:eastAsiaTheme="majorEastAsia" w:cstheme="majorBidi"/>
      <w:b/>
      <w:color w:val="0F4761" w:themeColor="accent1" w:themeShade="BF"/>
      <w:szCs w:val="32"/>
    </w:rPr>
  </w:style>
  <w:style w:type="paragraph" w:styleId="Heading3">
    <w:name w:val="heading 3"/>
    <w:basedOn w:val="Normal"/>
    <w:next w:val="Normal"/>
    <w:link w:val="Heading3Char"/>
    <w:uiPriority w:val="9"/>
    <w:unhideWhenUsed/>
    <w:qFormat/>
    <w:rsid w:val="00BE4882"/>
    <w:pPr>
      <w:keepNext/>
      <w:keepLines/>
      <w:spacing w:before="160" w:after="80"/>
      <w:outlineLvl w:val="2"/>
    </w:pPr>
    <w:rPr>
      <w:rFonts w:eastAsiaTheme="majorEastAsia" w:cstheme="majorBidi"/>
      <w:b/>
      <w:i/>
      <w:color w:val="0F4761" w:themeColor="accent1" w:themeShade="BF"/>
      <w:szCs w:val="28"/>
    </w:rPr>
  </w:style>
  <w:style w:type="paragraph" w:styleId="Heading4">
    <w:name w:val="heading 4"/>
    <w:basedOn w:val="Normal"/>
    <w:next w:val="Normal"/>
    <w:link w:val="Heading4Char"/>
    <w:uiPriority w:val="9"/>
    <w:semiHidden/>
    <w:unhideWhenUsed/>
    <w:qFormat/>
    <w:rsid w:val="0013441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3441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3441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3441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3441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3441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1624"/>
    <w:rPr>
      <w:rFonts w:asciiTheme="majorBidi" w:eastAsiaTheme="majorEastAsia" w:hAnsiTheme="majorBidi" w:cstheme="majorBidi"/>
      <w:b/>
      <w:color w:val="0F4761" w:themeColor="accent1" w:themeShade="BF"/>
      <w:sz w:val="28"/>
      <w:szCs w:val="40"/>
    </w:rPr>
  </w:style>
  <w:style w:type="character" w:customStyle="1" w:styleId="Heading2Char">
    <w:name w:val="Heading 2 Char"/>
    <w:basedOn w:val="DefaultParagraphFont"/>
    <w:link w:val="Heading2"/>
    <w:uiPriority w:val="9"/>
    <w:rsid w:val="00FB6C67"/>
    <w:rPr>
      <w:rFonts w:asciiTheme="majorBidi" w:eastAsiaTheme="majorEastAsia" w:hAnsiTheme="majorBidi" w:cstheme="majorBidi"/>
      <w:b/>
      <w:color w:val="0F4761" w:themeColor="accent1" w:themeShade="BF"/>
      <w:szCs w:val="32"/>
    </w:rPr>
  </w:style>
  <w:style w:type="character" w:customStyle="1" w:styleId="Heading3Char">
    <w:name w:val="Heading 3 Char"/>
    <w:basedOn w:val="DefaultParagraphFont"/>
    <w:link w:val="Heading3"/>
    <w:uiPriority w:val="9"/>
    <w:rsid w:val="00BE4882"/>
    <w:rPr>
      <w:rFonts w:asciiTheme="majorBidi" w:eastAsiaTheme="majorEastAsia" w:hAnsiTheme="majorBidi" w:cstheme="majorBidi"/>
      <w:b/>
      <w:i/>
      <w:color w:val="0F4761" w:themeColor="accent1" w:themeShade="BF"/>
      <w:szCs w:val="28"/>
    </w:rPr>
  </w:style>
  <w:style w:type="character" w:customStyle="1" w:styleId="Heading4Char">
    <w:name w:val="Heading 4 Char"/>
    <w:basedOn w:val="DefaultParagraphFont"/>
    <w:link w:val="Heading4"/>
    <w:uiPriority w:val="9"/>
    <w:semiHidden/>
    <w:rsid w:val="001344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44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44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44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44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4414"/>
    <w:rPr>
      <w:rFonts w:eastAsiaTheme="majorEastAsia" w:cstheme="majorBidi"/>
      <w:color w:val="272727" w:themeColor="text1" w:themeTint="D8"/>
    </w:rPr>
  </w:style>
  <w:style w:type="paragraph" w:styleId="Title">
    <w:name w:val="Title"/>
    <w:basedOn w:val="Normal"/>
    <w:next w:val="Normal"/>
    <w:link w:val="TitleChar"/>
    <w:uiPriority w:val="10"/>
    <w:qFormat/>
    <w:rsid w:val="001344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44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441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44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4414"/>
    <w:pPr>
      <w:spacing w:before="160"/>
      <w:jc w:val="center"/>
    </w:pPr>
    <w:rPr>
      <w:i/>
      <w:iCs/>
      <w:color w:val="404040" w:themeColor="text1" w:themeTint="BF"/>
    </w:rPr>
  </w:style>
  <w:style w:type="character" w:customStyle="1" w:styleId="QuoteChar">
    <w:name w:val="Quote Char"/>
    <w:basedOn w:val="DefaultParagraphFont"/>
    <w:link w:val="Quote"/>
    <w:uiPriority w:val="29"/>
    <w:rsid w:val="00134414"/>
    <w:rPr>
      <w:rFonts w:asciiTheme="majorBidi" w:hAnsiTheme="majorBidi"/>
      <w:i/>
      <w:iCs/>
      <w:color w:val="404040" w:themeColor="text1" w:themeTint="BF"/>
    </w:rPr>
  </w:style>
  <w:style w:type="paragraph" w:styleId="ListParagraph">
    <w:name w:val="List Paragraph"/>
    <w:basedOn w:val="Normal"/>
    <w:uiPriority w:val="34"/>
    <w:qFormat/>
    <w:rsid w:val="00134414"/>
    <w:pPr>
      <w:ind w:left="720"/>
      <w:contextualSpacing/>
    </w:pPr>
  </w:style>
  <w:style w:type="character" w:styleId="IntenseEmphasis">
    <w:name w:val="Intense Emphasis"/>
    <w:basedOn w:val="DefaultParagraphFont"/>
    <w:uiPriority w:val="21"/>
    <w:qFormat/>
    <w:rsid w:val="00134414"/>
    <w:rPr>
      <w:i/>
      <w:iCs/>
      <w:color w:val="0F4761" w:themeColor="accent1" w:themeShade="BF"/>
    </w:rPr>
  </w:style>
  <w:style w:type="paragraph" w:styleId="IntenseQuote">
    <w:name w:val="Intense Quote"/>
    <w:basedOn w:val="Normal"/>
    <w:next w:val="Normal"/>
    <w:link w:val="IntenseQuoteChar"/>
    <w:uiPriority w:val="30"/>
    <w:qFormat/>
    <w:rsid w:val="001344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4414"/>
    <w:rPr>
      <w:rFonts w:asciiTheme="majorBidi" w:hAnsiTheme="majorBidi"/>
      <w:i/>
      <w:iCs/>
      <w:color w:val="0F4761" w:themeColor="accent1" w:themeShade="BF"/>
    </w:rPr>
  </w:style>
  <w:style w:type="character" w:styleId="IntenseReference">
    <w:name w:val="Intense Reference"/>
    <w:basedOn w:val="DefaultParagraphFont"/>
    <w:uiPriority w:val="32"/>
    <w:qFormat/>
    <w:rsid w:val="00134414"/>
    <w:rPr>
      <w:b/>
      <w:bCs/>
      <w:smallCaps/>
      <w:color w:val="0F4761" w:themeColor="accent1" w:themeShade="BF"/>
      <w:spacing w:val="5"/>
    </w:rPr>
  </w:style>
  <w:style w:type="paragraph" w:styleId="Header">
    <w:name w:val="header"/>
    <w:basedOn w:val="Normal"/>
    <w:link w:val="HeaderChar"/>
    <w:uiPriority w:val="99"/>
    <w:unhideWhenUsed/>
    <w:rsid w:val="00EC6F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6FDA"/>
    <w:rPr>
      <w:rFonts w:asciiTheme="minorBidi" w:hAnsiTheme="minorBidi"/>
      <w:sz w:val="22"/>
    </w:rPr>
  </w:style>
  <w:style w:type="paragraph" w:styleId="Footer">
    <w:name w:val="footer"/>
    <w:basedOn w:val="Normal"/>
    <w:link w:val="FooterChar"/>
    <w:uiPriority w:val="99"/>
    <w:unhideWhenUsed/>
    <w:rsid w:val="00EC6F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6FDA"/>
    <w:rPr>
      <w:rFonts w:asciiTheme="minorBidi" w:hAnsiTheme="minorBidi"/>
      <w:sz w:val="22"/>
    </w:rPr>
  </w:style>
  <w:style w:type="character" w:styleId="PageNumber">
    <w:name w:val="page number"/>
    <w:basedOn w:val="DefaultParagraphFont"/>
    <w:uiPriority w:val="99"/>
    <w:semiHidden/>
    <w:unhideWhenUsed/>
    <w:rsid w:val="00EC6FDA"/>
  </w:style>
  <w:style w:type="paragraph" w:styleId="NormalWeb">
    <w:name w:val="Normal (Web)"/>
    <w:basedOn w:val="Normal"/>
    <w:uiPriority w:val="99"/>
    <w:unhideWhenUsed/>
    <w:rsid w:val="00A3124E"/>
    <w:pPr>
      <w:spacing w:before="100" w:beforeAutospacing="1" w:after="100" w:afterAutospacing="1" w:line="240" w:lineRule="auto"/>
    </w:pPr>
    <w:rPr>
      <w:rFonts w:ascii="Times New Roman" w:eastAsia="Times New Roman" w:hAnsi="Times New Roman" w:cs="Times New Roman"/>
      <w:kern w:val="0"/>
      <w:sz w:val="24"/>
      <w:lang w:eastAsia="en-GB"/>
      <w14:ligatures w14:val="none"/>
    </w:rPr>
  </w:style>
  <w:style w:type="paragraph" w:styleId="TOCHeading">
    <w:name w:val="TOC Heading"/>
    <w:basedOn w:val="Heading1"/>
    <w:next w:val="Normal"/>
    <w:uiPriority w:val="39"/>
    <w:unhideWhenUsed/>
    <w:qFormat/>
    <w:rsid w:val="00DA08AF"/>
    <w:pPr>
      <w:spacing w:before="480" w:after="0" w:line="276" w:lineRule="auto"/>
      <w:outlineLvl w:val="9"/>
    </w:pPr>
    <w:rPr>
      <w:rFonts w:asciiTheme="majorHAnsi" w:hAnsiTheme="majorHAnsi"/>
      <w:bCs/>
      <w:kern w:val="0"/>
      <w:szCs w:val="28"/>
      <w:lang w:val="en-US"/>
      <w14:ligatures w14:val="none"/>
    </w:rPr>
  </w:style>
  <w:style w:type="paragraph" w:styleId="TOC1">
    <w:name w:val="toc 1"/>
    <w:basedOn w:val="Normal"/>
    <w:next w:val="Normal"/>
    <w:autoRedefine/>
    <w:uiPriority w:val="39"/>
    <w:unhideWhenUsed/>
    <w:rsid w:val="001E6459"/>
    <w:pPr>
      <w:tabs>
        <w:tab w:val="right" w:leader="dot" w:pos="9016"/>
      </w:tabs>
      <w:spacing w:before="240" w:after="120"/>
      <w:jc w:val="both"/>
    </w:pPr>
    <w:rPr>
      <w:rFonts w:asciiTheme="minorHAnsi" w:hAnsiTheme="minorHAnsi" w:cs="Times New Roman"/>
      <w:b/>
      <w:bCs/>
      <w:sz w:val="20"/>
    </w:rPr>
  </w:style>
  <w:style w:type="character" w:styleId="Hyperlink">
    <w:name w:val="Hyperlink"/>
    <w:basedOn w:val="DefaultParagraphFont"/>
    <w:uiPriority w:val="99"/>
    <w:unhideWhenUsed/>
    <w:rsid w:val="00DA08AF"/>
    <w:rPr>
      <w:color w:val="467886" w:themeColor="hyperlink"/>
      <w:u w:val="single"/>
    </w:rPr>
  </w:style>
  <w:style w:type="paragraph" w:styleId="TOC2">
    <w:name w:val="toc 2"/>
    <w:basedOn w:val="Normal"/>
    <w:next w:val="Normal"/>
    <w:autoRedefine/>
    <w:uiPriority w:val="39"/>
    <w:semiHidden/>
    <w:unhideWhenUsed/>
    <w:rsid w:val="00DA08AF"/>
    <w:pPr>
      <w:spacing w:before="120" w:after="0"/>
      <w:ind w:left="220"/>
    </w:pPr>
    <w:rPr>
      <w:rFonts w:asciiTheme="minorHAnsi" w:hAnsiTheme="minorHAnsi" w:cs="Times New Roman"/>
      <w:i/>
      <w:iCs/>
      <w:sz w:val="20"/>
    </w:rPr>
  </w:style>
  <w:style w:type="paragraph" w:styleId="TOC3">
    <w:name w:val="toc 3"/>
    <w:basedOn w:val="Normal"/>
    <w:next w:val="Normal"/>
    <w:autoRedefine/>
    <w:uiPriority w:val="39"/>
    <w:semiHidden/>
    <w:unhideWhenUsed/>
    <w:rsid w:val="00DA08AF"/>
    <w:pPr>
      <w:spacing w:after="0"/>
      <w:ind w:left="440"/>
    </w:pPr>
    <w:rPr>
      <w:rFonts w:asciiTheme="minorHAnsi" w:hAnsiTheme="minorHAnsi" w:cs="Times New Roman"/>
      <w:sz w:val="20"/>
    </w:rPr>
  </w:style>
  <w:style w:type="paragraph" w:styleId="TOC4">
    <w:name w:val="toc 4"/>
    <w:basedOn w:val="Normal"/>
    <w:next w:val="Normal"/>
    <w:autoRedefine/>
    <w:uiPriority w:val="39"/>
    <w:semiHidden/>
    <w:unhideWhenUsed/>
    <w:rsid w:val="00DA08AF"/>
    <w:pPr>
      <w:spacing w:after="0"/>
      <w:ind w:left="660"/>
    </w:pPr>
    <w:rPr>
      <w:rFonts w:asciiTheme="minorHAnsi" w:hAnsiTheme="minorHAnsi" w:cs="Times New Roman"/>
      <w:sz w:val="20"/>
    </w:rPr>
  </w:style>
  <w:style w:type="paragraph" w:styleId="TOC5">
    <w:name w:val="toc 5"/>
    <w:basedOn w:val="Normal"/>
    <w:next w:val="Normal"/>
    <w:autoRedefine/>
    <w:uiPriority w:val="39"/>
    <w:semiHidden/>
    <w:unhideWhenUsed/>
    <w:rsid w:val="00DA08AF"/>
    <w:pPr>
      <w:spacing w:after="0"/>
      <w:ind w:left="880"/>
    </w:pPr>
    <w:rPr>
      <w:rFonts w:asciiTheme="minorHAnsi" w:hAnsiTheme="minorHAnsi" w:cs="Times New Roman"/>
      <w:sz w:val="20"/>
    </w:rPr>
  </w:style>
  <w:style w:type="paragraph" w:styleId="TOC6">
    <w:name w:val="toc 6"/>
    <w:basedOn w:val="Normal"/>
    <w:next w:val="Normal"/>
    <w:autoRedefine/>
    <w:uiPriority w:val="39"/>
    <w:semiHidden/>
    <w:unhideWhenUsed/>
    <w:rsid w:val="00DA08AF"/>
    <w:pPr>
      <w:spacing w:after="0"/>
      <w:ind w:left="1100"/>
    </w:pPr>
    <w:rPr>
      <w:rFonts w:asciiTheme="minorHAnsi" w:hAnsiTheme="minorHAnsi" w:cs="Times New Roman"/>
      <w:sz w:val="20"/>
    </w:rPr>
  </w:style>
  <w:style w:type="paragraph" w:styleId="TOC7">
    <w:name w:val="toc 7"/>
    <w:basedOn w:val="Normal"/>
    <w:next w:val="Normal"/>
    <w:autoRedefine/>
    <w:uiPriority w:val="39"/>
    <w:semiHidden/>
    <w:unhideWhenUsed/>
    <w:rsid w:val="00DA08AF"/>
    <w:pPr>
      <w:spacing w:after="0"/>
      <w:ind w:left="1320"/>
    </w:pPr>
    <w:rPr>
      <w:rFonts w:asciiTheme="minorHAnsi" w:hAnsiTheme="minorHAnsi" w:cs="Times New Roman"/>
      <w:sz w:val="20"/>
    </w:rPr>
  </w:style>
  <w:style w:type="paragraph" w:styleId="TOC8">
    <w:name w:val="toc 8"/>
    <w:basedOn w:val="Normal"/>
    <w:next w:val="Normal"/>
    <w:autoRedefine/>
    <w:uiPriority w:val="39"/>
    <w:semiHidden/>
    <w:unhideWhenUsed/>
    <w:rsid w:val="00DA08AF"/>
    <w:pPr>
      <w:spacing w:after="0"/>
      <w:ind w:left="1540"/>
    </w:pPr>
    <w:rPr>
      <w:rFonts w:asciiTheme="minorHAnsi" w:hAnsiTheme="minorHAnsi" w:cs="Times New Roman"/>
      <w:sz w:val="20"/>
    </w:rPr>
  </w:style>
  <w:style w:type="paragraph" w:styleId="TOC9">
    <w:name w:val="toc 9"/>
    <w:basedOn w:val="Normal"/>
    <w:next w:val="Normal"/>
    <w:autoRedefine/>
    <w:uiPriority w:val="39"/>
    <w:semiHidden/>
    <w:unhideWhenUsed/>
    <w:rsid w:val="00DA08AF"/>
    <w:pPr>
      <w:spacing w:after="0"/>
      <w:ind w:left="1760"/>
    </w:pPr>
    <w:rPr>
      <w:rFonts w:asciiTheme="minorHAnsi" w:hAnsiTheme="minorHAnsi" w:cs="Times New Roman"/>
      <w:sz w:val="20"/>
    </w:rPr>
  </w:style>
  <w:style w:type="character" w:styleId="CommentReference">
    <w:name w:val="annotation reference"/>
    <w:basedOn w:val="DefaultParagraphFont"/>
    <w:uiPriority w:val="99"/>
    <w:semiHidden/>
    <w:unhideWhenUsed/>
    <w:rsid w:val="00FE4708"/>
    <w:rPr>
      <w:sz w:val="16"/>
      <w:szCs w:val="16"/>
    </w:rPr>
  </w:style>
  <w:style w:type="paragraph" w:styleId="CommentText">
    <w:name w:val="annotation text"/>
    <w:basedOn w:val="Normal"/>
    <w:link w:val="CommentTextChar"/>
    <w:uiPriority w:val="99"/>
    <w:semiHidden/>
    <w:unhideWhenUsed/>
    <w:rsid w:val="00FE4708"/>
    <w:pPr>
      <w:spacing w:line="240" w:lineRule="auto"/>
    </w:pPr>
    <w:rPr>
      <w:sz w:val="20"/>
      <w:szCs w:val="20"/>
    </w:rPr>
  </w:style>
  <w:style w:type="character" w:customStyle="1" w:styleId="CommentTextChar">
    <w:name w:val="Comment Text Char"/>
    <w:basedOn w:val="DefaultParagraphFont"/>
    <w:link w:val="CommentText"/>
    <w:uiPriority w:val="99"/>
    <w:semiHidden/>
    <w:rsid w:val="00FE4708"/>
    <w:rPr>
      <w:rFonts w:asciiTheme="minorBidi" w:hAnsiTheme="minorBidi"/>
      <w:sz w:val="20"/>
      <w:szCs w:val="20"/>
    </w:rPr>
  </w:style>
  <w:style w:type="paragraph" w:styleId="CommentSubject">
    <w:name w:val="annotation subject"/>
    <w:basedOn w:val="CommentText"/>
    <w:next w:val="CommentText"/>
    <w:link w:val="CommentSubjectChar"/>
    <w:uiPriority w:val="99"/>
    <w:semiHidden/>
    <w:unhideWhenUsed/>
    <w:rsid w:val="00FE4708"/>
    <w:rPr>
      <w:b/>
      <w:bCs/>
    </w:rPr>
  </w:style>
  <w:style w:type="character" w:customStyle="1" w:styleId="CommentSubjectChar">
    <w:name w:val="Comment Subject Char"/>
    <w:basedOn w:val="CommentTextChar"/>
    <w:link w:val="CommentSubject"/>
    <w:uiPriority w:val="99"/>
    <w:semiHidden/>
    <w:rsid w:val="00FE4708"/>
    <w:rPr>
      <w:rFonts w:asciiTheme="minorBidi" w:hAnsiTheme="minorBidi"/>
      <w:b/>
      <w:bCs/>
      <w:sz w:val="20"/>
      <w:szCs w:val="20"/>
    </w:rPr>
  </w:style>
  <w:style w:type="character" w:styleId="UnresolvedMention">
    <w:name w:val="Unresolved Mention"/>
    <w:basedOn w:val="DefaultParagraphFont"/>
    <w:uiPriority w:val="99"/>
    <w:semiHidden/>
    <w:unhideWhenUsed/>
    <w:rsid w:val="00EC79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2/pb.bp.116.053660" TargetMode="External"/><Relationship Id="rId13" Type="http://schemas.openxmlformats.org/officeDocument/2006/relationships/hyperlink" Target="https://doi.org/10.2196/46522" TargetMode="External"/><Relationship Id="rId18" Type="http://schemas.openxmlformats.org/officeDocument/2006/relationships/hyperlink" Target="https://doi.org/10.1186/s12939-024-02216-1" TargetMode="External"/><Relationship Id="rId3" Type="http://schemas.openxmlformats.org/officeDocument/2006/relationships/styles" Target="styles.xml"/><Relationship Id="rId21" Type="http://schemas.openxmlformats.org/officeDocument/2006/relationships/hyperlink" Target="https://doi.org/10.1159/000509119" TargetMode="External"/><Relationship Id="rId7" Type="http://schemas.openxmlformats.org/officeDocument/2006/relationships/endnotes" Target="endnotes.xml"/><Relationship Id="rId12" Type="http://schemas.openxmlformats.org/officeDocument/2006/relationships/hyperlink" Target="https://doi.org/10.12968/bjon.2021.30.16.948" TargetMode="External"/><Relationship Id="rId17" Type="http://schemas.openxmlformats.org/officeDocument/2006/relationships/hyperlink" Target="https://doi.org/10.1111/j.1745-7599.2008.00360.x"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07/978-3-030-51366-5_157" TargetMode="External"/><Relationship Id="rId20" Type="http://schemas.openxmlformats.org/officeDocument/2006/relationships/hyperlink" Target="https://www.legislation.gov.uk/ukpga/2012/7/cont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96/30405"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2196/14868" TargetMode="External"/><Relationship Id="rId23" Type="http://schemas.openxmlformats.org/officeDocument/2006/relationships/footer" Target="footer2.xml"/><Relationship Id="rId10" Type="http://schemas.openxmlformats.org/officeDocument/2006/relationships/hyperlink" Target="https://doi.org/10.1016/j.ijnsa.2026.100510" TargetMode="External"/><Relationship Id="rId19" Type="http://schemas.openxmlformats.org/officeDocument/2006/relationships/hyperlink" Target="https://doi.org/10.1111/hex.12069" TargetMode="External"/><Relationship Id="rId4" Type="http://schemas.openxmlformats.org/officeDocument/2006/relationships/settings" Target="settings.xml"/><Relationship Id="rId9" Type="http://schemas.openxmlformats.org/officeDocument/2006/relationships/hyperlink" Target="https://doi.org/10.7861/futurehosp.3-2-114" TargetMode="External"/><Relationship Id="rId14" Type="http://schemas.openxmlformats.org/officeDocument/2006/relationships/hyperlink" Target="https://doi.org/10.1186/s12912-025-03737-y"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FBCBC-089C-9A47-961C-CD6BAC4C3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8559</TotalTime>
  <Pages>14</Pages>
  <Words>3404</Words>
  <Characters>19406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Rimsha Saqib</dc:creator>
  <cp:keywords/>
  <dc:description/>
  <cp:lastModifiedBy>Anisah Bi</cp:lastModifiedBy>
  <cp:revision>14</cp:revision>
  <dcterms:created xsi:type="dcterms:W3CDTF">2026-06-29T14:15:00Z</dcterms:created>
  <dcterms:modified xsi:type="dcterms:W3CDTF">2026-07-25T22:04:00Z</dcterms:modified>
</cp:coreProperties>
</file>