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00"/>
        <w:ind w:firstLine="720"/>
        <w:jc w:val="center"/>
        <w:rPr>
          <w:rFonts w:cs="Arial"/>
          <w:b/>
          <w:sz w:val="22"/>
          <w:szCs w:val="22"/>
        </w:rPr>
      </w:pPr>
      <w:r>
        <w:rPr>
          <w:rFonts w:cs="Arial"/>
          <w:b/>
          <w:sz w:val="22"/>
          <w:szCs w:val="22"/>
        </w:rPr>
        <w:t>ECDE7018 Research Proposal</w:t>
      </w:r>
    </w:p>
    <w:p>
      <w:pPr>
        <w:rPr>
          <w:rFonts w:cs="Arial"/>
          <w:b/>
          <w:sz w:val="22"/>
          <w:szCs w:val="22"/>
        </w:rPr>
      </w:pPr>
    </w:p>
    <w:p>
      <w:pPr>
        <w:rPr>
          <w:rFonts w:cs="Arial"/>
          <w:b/>
          <w:sz w:val="22"/>
          <w:szCs w:val="22"/>
        </w:rPr>
      </w:pPr>
    </w:p>
    <w:p>
      <w:pPr>
        <w:spacing w:before="240"/>
        <w:rPr>
          <w:rFonts w:cs="Arial"/>
          <w:b/>
          <w:sz w:val="22"/>
          <w:szCs w:val="22"/>
        </w:rPr>
      </w:pPr>
      <w:r>
        <w:rPr>
          <w:rFonts w:cs="Arial"/>
          <w:b/>
          <w:sz w:val="22"/>
          <w:szCs w:val="22"/>
        </w:rPr>
        <w:t xml:space="preserve">Student Details </w:t>
      </w:r>
    </w:p>
    <w:p>
      <w:pPr>
        <w:spacing w:before="240"/>
        <w:rPr>
          <w:rFonts w:cs="Arial"/>
          <w:b/>
          <w:sz w:val="22"/>
          <w:szCs w:val="22"/>
        </w:rPr>
      </w:pP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5"/>
        <w:gridCol w:w="2056"/>
        <w:gridCol w:w="2835"/>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11" w:type="dxa"/>
            <w:gridSpan w:val="2"/>
            <w:shd w:val="clear" w:color="auto" w:fill="F1F1F1" w:themeFill="background1" w:themeFillShade="F2"/>
          </w:tcPr>
          <w:p>
            <w:pPr>
              <w:tabs>
                <w:tab w:val="center" w:pos="2202"/>
              </w:tabs>
              <w:rPr>
                <w:rFonts w:cs="Arial"/>
                <w:sz w:val="22"/>
                <w:szCs w:val="22"/>
              </w:rPr>
            </w:pPr>
            <w:r>
              <w:rPr>
                <w:rFonts w:cs="Arial"/>
                <w:sz w:val="22"/>
                <w:szCs w:val="22"/>
              </w:rPr>
              <w:t>Student Family / Surname:</w:t>
            </w:r>
          </w:p>
          <w:p>
            <w:pPr>
              <w:rPr>
                <w:rFonts w:cs="Arial"/>
                <w:sz w:val="22"/>
                <w:szCs w:val="22"/>
              </w:rPr>
            </w:pPr>
          </w:p>
        </w:tc>
        <w:tc>
          <w:tcPr>
            <w:tcW w:w="5670" w:type="dxa"/>
            <w:gridSpan w:val="2"/>
            <w:shd w:val="clear" w:color="auto" w:fill="auto"/>
          </w:tcPr>
          <w:p>
            <w:pPr>
              <w:rPr>
                <w:rFonts w:hint="default" w:cs="Arial"/>
                <w:sz w:val="22"/>
                <w:szCs w:val="22"/>
                <w:lang w:val="en-US"/>
              </w:rPr>
            </w:pPr>
            <w:r>
              <w:rPr>
                <w:rFonts w:hint="default" w:cs="Arial"/>
                <w:sz w:val="22"/>
                <w:szCs w:val="22"/>
                <w:lang w:val="en-US"/>
              </w:rPr>
              <w:t>Zhuoying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11" w:type="dxa"/>
            <w:gridSpan w:val="2"/>
            <w:shd w:val="clear" w:color="auto" w:fill="F1F1F1" w:themeFill="background1" w:themeFillShade="F2"/>
          </w:tcPr>
          <w:p>
            <w:pPr>
              <w:rPr>
                <w:rFonts w:cs="Arial"/>
                <w:sz w:val="22"/>
                <w:szCs w:val="22"/>
              </w:rPr>
            </w:pPr>
            <w:r>
              <w:rPr>
                <w:rFonts w:cs="Arial"/>
                <w:sz w:val="22"/>
                <w:szCs w:val="22"/>
              </w:rPr>
              <w:t>Student Given / First name:</w:t>
            </w:r>
          </w:p>
          <w:p>
            <w:pPr>
              <w:rPr>
                <w:rFonts w:cs="Arial"/>
                <w:sz w:val="22"/>
                <w:szCs w:val="22"/>
              </w:rPr>
            </w:pPr>
          </w:p>
        </w:tc>
        <w:tc>
          <w:tcPr>
            <w:tcW w:w="5670" w:type="dxa"/>
            <w:gridSpan w:val="2"/>
            <w:shd w:val="clear" w:color="auto" w:fill="auto"/>
          </w:tcPr>
          <w:p>
            <w:pPr>
              <w:rPr>
                <w:rFonts w:hint="default" w:cs="Arial"/>
                <w:sz w:val="22"/>
                <w:szCs w:val="22"/>
                <w:lang w:val="en-US"/>
              </w:rPr>
            </w:pPr>
            <w:r>
              <w:rPr>
                <w:rFonts w:hint="default" w:cs="Arial"/>
                <w:sz w:val="22"/>
                <w:szCs w:val="22"/>
                <w:lang w:val="en-US"/>
              </w:rPr>
              <w:t>Han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11" w:type="dxa"/>
            <w:gridSpan w:val="2"/>
            <w:shd w:val="clear" w:color="auto" w:fill="F1F1F1" w:themeFill="background1" w:themeFillShade="F2"/>
          </w:tcPr>
          <w:p>
            <w:pPr>
              <w:rPr>
                <w:rFonts w:cs="Arial"/>
                <w:sz w:val="22"/>
                <w:szCs w:val="22"/>
              </w:rPr>
            </w:pPr>
            <w:r>
              <w:rPr>
                <w:rFonts w:cs="Arial"/>
                <w:sz w:val="22"/>
                <w:szCs w:val="22"/>
              </w:rPr>
              <w:t>Student Number</w:t>
            </w:r>
          </w:p>
          <w:p>
            <w:pPr>
              <w:tabs>
                <w:tab w:val="center" w:pos="2202"/>
              </w:tabs>
              <w:rPr>
                <w:rFonts w:cs="Arial"/>
                <w:sz w:val="22"/>
                <w:szCs w:val="22"/>
              </w:rPr>
            </w:pPr>
          </w:p>
        </w:tc>
        <w:tc>
          <w:tcPr>
            <w:tcW w:w="5670" w:type="dxa"/>
            <w:gridSpan w:val="2"/>
            <w:shd w:val="clear" w:color="auto" w:fill="auto"/>
          </w:tcPr>
          <w:p>
            <w:pPr>
              <w:rPr>
                <w:rFonts w:hint="default" w:cs="Arial"/>
                <w:sz w:val="22"/>
                <w:szCs w:val="22"/>
                <w:lang w:val="en-US"/>
              </w:rPr>
            </w:pPr>
            <w:r>
              <w:rPr>
                <w:rFonts w:hint="default" w:cs="Arial"/>
                <w:sz w:val="22"/>
                <w:szCs w:val="22"/>
                <w:lang w:val="en-US"/>
              </w:rPr>
              <w:t>2408614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55" w:type="dxa"/>
            <w:shd w:val="clear" w:color="auto" w:fill="F1F1F1" w:themeFill="background1" w:themeFillShade="F2"/>
          </w:tcPr>
          <w:p>
            <w:pPr>
              <w:rPr>
                <w:rFonts w:cs="Arial"/>
                <w:sz w:val="22"/>
                <w:szCs w:val="22"/>
              </w:rPr>
            </w:pPr>
            <w:r>
              <w:rPr>
                <w:rFonts w:cs="Arial"/>
                <w:sz w:val="22"/>
                <w:szCs w:val="22"/>
              </w:rPr>
              <w:t>Start Date</w:t>
            </w:r>
          </w:p>
        </w:tc>
        <w:tc>
          <w:tcPr>
            <w:tcW w:w="2056" w:type="dxa"/>
            <w:shd w:val="clear" w:color="auto" w:fill="FFFFFF" w:themeFill="background1"/>
          </w:tcPr>
          <w:p>
            <w:pPr>
              <w:rPr>
                <w:rFonts w:cs="Arial"/>
                <w:sz w:val="22"/>
                <w:szCs w:val="22"/>
              </w:rPr>
            </w:pPr>
            <w:r>
              <w:rPr>
                <w:rFonts w:cs="Arial"/>
                <w:sz w:val="22"/>
                <w:szCs w:val="22"/>
              </w:rPr>
              <w:t>October 2024</w:t>
            </w:r>
          </w:p>
        </w:tc>
        <w:tc>
          <w:tcPr>
            <w:tcW w:w="2835" w:type="dxa"/>
            <w:shd w:val="clear" w:color="auto" w:fill="F1F1F1" w:themeFill="background1" w:themeFillShade="F2"/>
          </w:tcPr>
          <w:p>
            <w:pPr>
              <w:rPr>
                <w:rFonts w:cs="Arial"/>
                <w:sz w:val="22"/>
                <w:szCs w:val="22"/>
              </w:rPr>
            </w:pPr>
            <w:r>
              <w:rPr>
                <w:rFonts w:cs="Arial"/>
                <w:sz w:val="22"/>
                <w:szCs w:val="22"/>
              </w:rPr>
              <w:t>End Date</w:t>
            </w:r>
          </w:p>
        </w:tc>
        <w:tc>
          <w:tcPr>
            <w:tcW w:w="2835" w:type="dxa"/>
            <w:shd w:val="clear" w:color="auto" w:fill="auto"/>
          </w:tcPr>
          <w:p>
            <w:pPr>
              <w:rPr>
                <w:rFonts w:cs="Arial"/>
                <w:sz w:val="22"/>
                <w:szCs w:val="22"/>
              </w:rPr>
            </w:pPr>
            <w:r>
              <w:rPr>
                <w:rFonts w:cs="Arial"/>
                <w:sz w:val="22"/>
                <w:szCs w:val="22"/>
              </w:rPr>
              <w:t>January 2025</w:t>
            </w:r>
          </w:p>
        </w:tc>
      </w:tr>
    </w:tbl>
    <w:p/>
    <w:tbl>
      <w:tblPr>
        <w:tblStyle w:val="14"/>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3"/>
        <w:gridCol w:w="1660"/>
        <w:gridCol w:w="1648"/>
        <w:gridCol w:w="1662"/>
        <w:gridCol w:w="1629"/>
        <w:gridCol w:w="15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shd w:val="clear" w:color="auto" w:fill="F1F1F1" w:themeFill="background1" w:themeFillShade="F2"/>
          </w:tcPr>
          <w:p>
            <w:pPr>
              <w:rPr>
                <w:rFonts w:cs="Arial"/>
                <w:sz w:val="22"/>
                <w:szCs w:val="22"/>
              </w:rPr>
            </w:pPr>
            <w:r>
              <w:rPr>
                <w:rFonts w:cs="Arial"/>
                <w:sz w:val="22"/>
                <w:szCs w:val="22"/>
              </w:rPr>
              <w:t>PhD</w:t>
            </w:r>
          </w:p>
          <w:p>
            <w:pPr>
              <w:rPr>
                <w:rFonts w:cs="Arial"/>
                <w:sz w:val="22"/>
                <w:szCs w:val="22"/>
              </w:rPr>
            </w:pPr>
            <w:r>
              <w:rPr>
                <w:rFonts w:cs="Arial"/>
                <w:sz w:val="22"/>
                <w:szCs w:val="22"/>
              </w:rPr>
              <w:t>by Research</w:t>
            </w:r>
          </w:p>
        </w:tc>
        <w:tc>
          <w:tcPr>
            <w:tcW w:w="1660" w:type="dxa"/>
            <w:shd w:val="clear" w:color="auto" w:fill="F1F1F1" w:themeFill="background1" w:themeFillShade="F2"/>
          </w:tcPr>
          <w:p>
            <w:pPr>
              <w:rPr>
                <w:rFonts w:cs="Arial"/>
                <w:sz w:val="22"/>
                <w:szCs w:val="22"/>
              </w:rPr>
            </w:pPr>
            <w:r>
              <w:rPr>
                <w:rFonts w:cs="Arial"/>
                <w:sz w:val="22"/>
                <w:szCs w:val="22"/>
              </w:rPr>
              <w:t xml:space="preserve">PhD </w:t>
            </w:r>
          </w:p>
          <w:p>
            <w:pPr>
              <w:rPr>
                <w:rFonts w:cs="Arial"/>
                <w:sz w:val="22"/>
                <w:szCs w:val="22"/>
              </w:rPr>
            </w:pPr>
            <w:r>
              <w:rPr>
                <w:rFonts w:cs="Arial"/>
                <w:sz w:val="22"/>
                <w:szCs w:val="22"/>
              </w:rPr>
              <w:t>Practice Based</w:t>
            </w:r>
          </w:p>
        </w:tc>
        <w:tc>
          <w:tcPr>
            <w:tcW w:w="1648" w:type="dxa"/>
            <w:shd w:val="clear" w:color="auto" w:fill="F1F1F1" w:themeFill="background1" w:themeFillShade="F2"/>
          </w:tcPr>
          <w:p>
            <w:pPr>
              <w:rPr>
                <w:rFonts w:cs="Arial"/>
                <w:sz w:val="22"/>
                <w:szCs w:val="22"/>
              </w:rPr>
            </w:pPr>
            <w:r>
              <w:rPr>
                <w:rFonts w:cs="Arial"/>
                <w:sz w:val="22"/>
                <w:szCs w:val="22"/>
              </w:rPr>
              <w:t xml:space="preserve">PhD by </w:t>
            </w:r>
          </w:p>
          <w:p>
            <w:pPr>
              <w:rPr>
                <w:rFonts w:cs="Arial"/>
                <w:sz w:val="22"/>
                <w:szCs w:val="22"/>
              </w:rPr>
            </w:pPr>
            <w:r>
              <w:rPr>
                <w:rFonts w:cs="Arial"/>
                <w:sz w:val="22"/>
                <w:szCs w:val="22"/>
              </w:rPr>
              <w:t>Published Works</w:t>
            </w:r>
          </w:p>
        </w:tc>
        <w:tc>
          <w:tcPr>
            <w:tcW w:w="1662" w:type="dxa"/>
            <w:shd w:val="clear" w:color="auto" w:fill="F1F1F1" w:themeFill="background1" w:themeFillShade="F2"/>
          </w:tcPr>
          <w:p>
            <w:pPr>
              <w:rPr>
                <w:rFonts w:cs="Arial"/>
                <w:sz w:val="22"/>
                <w:szCs w:val="22"/>
              </w:rPr>
            </w:pPr>
            <w:r>
              <w:rPr>
                <w:rFonts w:cs="Arial"/>
                <w:sz w:val="22"/>
                <w:szCs w:val="22"/>
              </w:rPr>
              <w:t>Professional Doctorate</w:t>
            </w:r>
          </w:p>
          <w:p>
            <w:pPr>
              <w:rPr>
                <w:rFonts w:cs="Arial"/>
                <w:sz w:val="22"/>
                <w:szCs w:val="22"/>
              </w:rPr>
            </w:pPr>
            <w:r>
              <w:rPr>
                <w:rFonts w:cs="Arial"/>
                <w:szCs w:val="22"/>
              </w:rPr>
              <w:t>(including DBA, DProf, Ed D)</w:t>
            </w:r>
          </w:p>
        </w:tc>
        <w:tc>
          <w:tcPr>
            <w:tcW w:w="1629" w:type="dxa"/>
            <w:shd w:val="clear" w:color="auto" w:fill="F1F1F1" w:themeFill="background1" w:themeFillShade="F2"/>
          </w:tcPr>
          <w:p>
            <w:pPr>
              <w:rPr>
                <w:rFonts w:cs="Arial"/>
                <w:sz w:val="22"/>
                <w:szCs w:val="22"/>
              </w:rPr>
            </w:pPr>
            <w:r>
              <w:rPr>
                <w:rFonts w:cs="Arial"/>
                <w:sz w:val="22"/>
                <w:szCs w:val="22"/>
              </w:rPr>
              <w:t>MPhil by Research</w:t>
            </w:r>
          </w:p>
          <w:p>
            <w:pPr>
              <w:rPr>
                <w:rFonts w:cs="Arial"/>
                <w:sz w:val="22"/>
                <w:szCs w:val="22"/>
              </w:rPr>
            </w:pPr>
          </w:p>
        </w:tc>
        <w:tc>
          <w:tcPr>
            <w:tcW w:w="1525" w:type="dxa"/>
            <w:shd w:val="clear" w:color="auto" w:fill="F1F1F1" w:themeFill="background1" w:themeFillShade="F2"/>
          </w:tcPr>
          <w:p>
            <w:pPr>
              <w:rPr>
                <w:rFonts w:cs="Arial"/>
                <w:sz w:val="22"/>
                <w:szCs w:val="22"/>
              </w:rPr>
            </w:pPr>
            <w:r>
              <w:rPr>
                <w:rFonts w:cs="Arial"/>
                <w:sz w:val="22"/>
                <w:szCs w:val="22"/>
              </w:rPr>
              <w:t>MPhil</w:t>
            </w:r>
          </w:p>
          <w:p>
            <w:pPr>
              <w:rPr>
                <w:rFonts w:cs="Arial"/>
                <w:sz w:val="22"/>
                <w:szCs w:val="22"/>
              </w:rPr>
            </w:pPr>
            <w:r>
              <w:rPr>
                <w:rFonts w:cs="Arial"/>
                <w:sz w:val="22"/>
                <w:szCs w:val="22"/>
              </w:rPr>
              <w:t xml:space="preserve">Practice Based </w:t>
            </w:r>
          </w:p>
          <w:p>
            <w:pPr>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tcPr>
          <w:sdt>
            <w:sdtPr>
              <w:rPr>
                <w:rFonts w:cs="Arial"/>
                <w:sz w:val="22"/>
                <w:szCs w:val="22"/>
              </w:rPr>
              <w:id w:val="-1"/>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p>
            <w:pPr>
              <w:jc w:val="center"/>
              <w:rPr>
                <w:rFonts w:cs="Arial"/>
                <w:sz w:val="22"/>
                <w:szCs w:val="22"/>
              </w:rPr>
            </w:pPr>
          </w:p>
        </w:tc>
        <w:sdt>
          <w:sdtPr>
            <w:rPr>
              <w:rFonts w:cs="Arial"/>
              <w:sz w:val="22"/>
              <w:szCs w:val="22"/>
            </w:rPr>
            <w:id w:val="-1"/>
            <w14:checkbox>
              <w14:checked w14:val="0"/>
              <w14:checkedState w14:val="2612" w14:font="MS Gothic"/>
              <w14:uncheckedState w14:val="2610" w14:font="MS Gothic"/>
            </w14:checkbox>
          </w:sdtPr>
          <w:sdtEndPr>
            <w:rPr>
              <w:rFonts w:cs="Arial"/>
              <w:sz w:val="22"/>
              <w:szCs w:val="22"/>
            </w:rPr>
          </w:sdtEndPr>
          <w:sdtContent>
            <w:tc>
              <w:tcPr>
                <w:tcW w:w="1660" w:type="dxa"/>
              </w:tcPr>
              <w:p>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EndPr>
            <w:rPr>
              <w:rFonts w:cs="Arial"/>
              <w:sz w:val="22"/>
              <w:szCs w:val="22"/>
            </w:rPr>
          </w:sdtEndPr>
          <w:sdtContent>
            <w:tc>
              <w:tcPr>
                <w:tcW w:w="1648" w:type="dxa"/>
              </w:tcPr>
              <w:p>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
            <w14:checkbox>
              <w14:checked w14:val="1"/>
              <w14:checkedState w14:val="2612" w14:font="MS Gothic"/>
              <w14:uncheckedState w14:val="2610" w14:font="MS Gothic"/>
            </w14:checkbox>
          </w:sdtPr>
          <w:sdtEndPr>
            <w:rPr>
              <w:rFonts w:cs="Arial"/>
              <w:sz w:val="22"/>
              <w:szCs w:val="22"/>
            </w:rPr>
          </w:sdtEndPr>
          <w:sdtContent>
            <w:tc>
              <w:tcPr>
                <w:tcW w:w="1662" w:type="dxa"/>
              </w:tcPr>
              <w:p>
                <w:pPr>
                  <w:jc w:val="center"/>
                  <w:rPr>
                    <w:rFonts w:cs="Arial"/>
                    <w:sz w:val="22"/>
                    <w:szCs w:val="22"/>
                  </w:rPr>
                </w:pPr>
                <w:r>
                  <w:rPr>
                    <w:rFonts w:hint="eastAsia" w:ascii="MS Gothic" w:hAnsi="MS Gothic" w:eastAsia="MS Gothic" w:cs="Arial"/>
                    <w:sz w:val="22"/>
                    <w:szCs w:val="22"/>
                  </w:rPr>
                  <w:t>☒</w:t>
                </w:r>
              </w:p>
            </w:tc>
          </w:sdtContent>
        </w:sdt>
        <w:sdt>
          <w:sdtPr>
            <w:rPr>
              <w:rFonts w:cs="Arial"/>
              <w:sz w:val="22"/>
              <w:szCs w:val="22"/>
            </w:rPr>
            <w:id w:val="239523278"/>
            <w14:checkbox>
              <w14:checked w14:val="0"/>
              <w14:checkedState w14:val="2612" w14:font="MS Gothic"/>
              <w14:uncheckedState w14:val="2610" w14:font="MS Gothic"/>
            </w14:checkbox>
          </w:sdtPr>
          <w:sdtEndPr>
            <w:rPr>
              <w:rFonts w:cs="Arial"/>
              <w:sz w:val="22"/>
              <w:szCs w:val="22"/>
            </w:rPr>
          </w:sdtEndPr>
          <w:sdtContent>
            <w:tc>
              <w:tcPr>
                <w:tcW w:w="1629" w:type="dxa"/>
              </w:tcPr>
              <w:p>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EndPr>
            <w:rPr>
              <w:rFonts w:cs="Arial"/>
              <w:sz w:val="22"/>
              <w:szCs w:val="22"/>
            </w:rPr>
          </w:sdtEndPr>
          <w:sdtContent>
            <w:tc>
              <w:tcPr>
                <w:tcW w:w="1525" w:type="dxa"/>
              </w:tcPr>
              <w:p>
                <w:pPr>
                  <w:jc w:val="center"/>
                  <w:rPr>
                    <w:rFonts w:cs="Arial"/>
                    <w:sz w:val="22"/>
                    <w:szCs w:val="22"/>
                  </w:rPr>
                </w:pPr>
                <w:r>
                  <w:rPr>
                    <w:rFonts w:ascii="MS Gothic" w:hAnsi="MS Gothic" w:eastAsia="MS Gothic" w:cs="Arial"/>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shd w:val="clear" w:color="auto" w:fill="D8D8D8" w:themeFill="background1" w:themeFillShade="D9"/>
          </w:tcPr>
          <w:p>
            <w:pPr>
              <w:jc w:val="center"/>
              <w:rPr>
                <w:rFonts w:cs="Arial"/>
                <w:sz w:val="22"/>
                <w:szCs w:val="22"/>
              </w:rPr>
            </w:pPr>
            <w:r>
              <w:rPr>
                <w:rFonts w:cs="Arial"/>
                <w:sz w:val="22"/>
                <w:szCs w:val="22"/>
              </w:rPr>
              <w:t>MA by Research</w:t>
            </w:r>
          </w:p>
        </w:tc>
        <w:tc>
          <w:tcPr>
            <w:tcW w:w="1660" w:type="dxa"/>
            <w:shd w:val="clear" w:color="auto" w:fill="D8D8D8" w:themeFill="background1" w:themeFillShade="D9"/>
          </w:tcPr>
          <w:p>
            <w:pPr>
              <w:jc w:val="center"/>
              <w:rPr>
                <w:rFonts w:cs="Arial"/>
                <w:sz w:val="22"/>
                <w:szCs w:val="22"/>
              </w:rPr>
            </w:pPr>
            <w:r>
              <w:rPr>
                <w:rFonts w:cs="Arial"/>
                <w:sz w:val="22"/>
                <w:szCs w:val="22"/>
              </w:rPr>
              <w:t>MSc by Research</w:t>
            </w:r>
          </w:p>
        </w:tc>
        <w:tc>
          <w:tcPr>
            <w:tcW w:w="1648" w:type="dxa"/>
            <w:shd w:val="clear" w:color="auto" w:fill="D8D8D8" w:themeFill="background1" w:themeFillShade="D9"/>
          </w:tcPr>
          <w:p>
            <w:pPr>
              <w:jc w:val="center"/>
              <w:rPr>
                <w:rFonts w:cs="Arial"/>
                <w:sz w:val="22"/>
                <w:szCs w:val="22"/>
              </w:rPr>
            </w:pPr>
            <w:r>
              <w:rPr>
                <w:rFonts w:cs="Arial"/>
                <w:sz w:val="22"/>
                <w:szCs w:val="22"/>
              </w:rPr>
              <w:t>MRes</w:t>
            </w:r>
          </w:p>
        </w:tc>
        <w:tc>
          <w:tcPr>
            <w:tcW w:w="1662" w:type="dxa"/>
            <w:shd w:val="clear" w:color="auto" w:fill="D8D8D8" w:themeFill="background1" w:themeFillShade="D9"/>
          </w:tcPr>
          <w:p>
            <w:pPr>
              <w:jc w:val="center"/>
              <w:rPr>
                <w:rFonts w:cs="Arial"/>
                <w:sz w:val="22"/>
                <w:szCs w:val="22"/>
              </w:rPr>
            </w:pPr>
          </w:p>
        </w:tc>
        <w:tc>
          <w:tcPr>
            <w:tcW w:w="1629" w:type="dxa"/>
            <w:shd w:val="clear" w:color="auto" w:fill="D8D8D8" w:themeFill="background1" w:themeFillShade="D9"/>
          </w:tcPr>
          <w:p>
            <w:pPr>
              <w:jc w:val="center"/>
              <w:rPr>
                <w:rFonts w:cs="Arial"/>
                <w:sz w:val="22"/>
                <w:szCs w:val="22"/>
              </w:rPr>
            </w:pPr>
          </w:p>
        </w:tc>
        <w:tc>
          <w:tcPr>
            <w:tcW w:w="1525" w:type="dxa"/>
            <w:shd w:val="clear" w:color="auto" w:fill="D8D8D8" w:themeFill="background1" w:themeFillShade="D9"/>
          </w:tcPr>
          <w:p>
            <w:pPr>
              <w:jc w:val="center"/>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tcPr>
          <w:sdt>
            <w:sdtPr>
              <w:rPr>
                <w:rFonts w:cs="Arial"/>
                <w:sz w:val="22"/>
                <w:szCs w:val="22"/>
              </w:rPr>
              <w:id w:val="-1"/>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p>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p>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p>
            <w:pPr>
              <w:jc w:val="center"/>
              <w:rPr>
                <w:rFonts w:cs="Arial"/>
                <w:sz w:val="22"/>
                <w:szCs w:val="22"/>
              </w:rPr>
            </w:pPr>
          </w:p>
        </w:tc>
        <w:tc>
          <w:tcPr>
            <w:tcW w:w="1662" w:type="dxa"/>
          </w:tcPr>
          <w:p>
            <w:pPr>
              <w:jc w:val="center"/>
              <w:rPr>
                <w:rFonts w:cs="Arial"/>
                <w:sz w:val="22"/>
                <w:szCs w:val="22"/>
              </w:rPr>
            </w:pPr>
          </w:p>
        </w:tc>
        <w:tc>
          <w:tcPr>
            <w:tcW w:w="1629" w:type="dxa"/>
          </w:tcPr>
          <w:p>
            <w:pPr>
              <w:jc w:val="center"/>
              <w:rPr>
                <w:rFonts w:cs="Arial"/>
                <w:sz w:val="22"/>
                <w:szCs w:val="22"/>
              </w:rPr>
            </w:pPr>
          </w:p>
        </w:tc>
        <w:tc>
          <w:tcPr>
            <w:tcW w:w="1525" w:type="dxa"/>
          </w:tcPr>
          <w:p>
            <w:pPr>
              <w:jc w:val="center"/>
              <w:rPr>
                <w:rFonts w:cs="Arial"/>
                <w:sz w:val="22"/>
                <w:szCs w:val="22"/>
              </w:rPr>
            </w:pPr>
          </w:p>
        </w:tc>
      </w:tr>
    </w:tbl>
    <w:p>
      <w:pPr>
        <w:ind w:left="180" w:hanging="270"/>
        <w:rPr>
          <w:rFonts w:cs="Arial"/>
          <w:b/>
          <w:sz w:val="22"/>
          <w:szCs w:val="22"/>
        </w:rPr>
      </w:pPr>
    </w:p>
    <w:p>
      <w:pPr>
        <w:rPr>
          <w:rFonts w:cs="Arial"/>
          <w:sz w:val="22"/>
          <w:szCs w:val="22"/>
        </w:rPr>
      </w:pPr>
    </w:p>
    <w:p>
      <w:pPr>
        <w:ind w:left="-142"/>
        <w:rPr>
          <w:rFonts w:cs="Arial"/>
          <w:bCs/>
          <w:sz w:val="22"/>
          <w:szCs w:val="22"/>
        </w:rPr>
      </w:pPr>
      <w:r>
        <w:rPr>
          <w:rFonts w:cs="Arial"/>
          <w:b/>
          <w:bCs/>
          <w:sz w:val="22"/>
          <w:szCs w:val="22"/>
        </w:rPr>
        <w:t>Proposed Research</w:t>
      </w:r>
    </w:p>
    <w:p>
      <w:pPr>
        <w:rPr>
          <w:rFonts w:cs="Arial"/>
          <w:sz w:val="22"/>
          <w:szCs w:val="22"/>
        </w:rPr>
      </w:pP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Proposed Title / Question (20 / 30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4" w:hRule="atLeast"/>
        </w:trPr>
        <w:tc>
          <w:tcPr>
            <w:tcW w:w="9781" w:type="dxa"/>
            <w:vAlign w:val="center"/>
          </w:tcPr>
          <w:p>
            <w:pPr>
              <w:rPr>
                <w:rFonts w:cs="Arial"/>
                <w:sz w:val="22"/>
                <w:szCs w:val="22"/>
              </w:rPr>
            </w:pPr>
            <w:r>
              <w:rPr>
                <w:rFonts w:hint="default"/>
                <w:b/>
                <w:bCs/>
                <w:sz w:val="22"/>
                <w:szCs w:val="22"/>
                <w:lang w:val="en-US" w:eastAsia="zh-CN"/>
              </w:rPr>
              <w:t>Research on the exploration and optimization of the teaching methods of broadcasting and vocalization course in Chinese universities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 xml:space="preserve"> Background &amp; Context (approx. 500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pPr>
              <w:autoSpaceDE w:val="0"/>
              <w:autoSpaceDN w:val="0"/>
              <w:adjustRightInd w:val="0"/>
              <w:contextualSpacing/>
              <w:rPr>
                <w:rFonts w:hint="eastAsia" w:cs="Arial"/>
                <w:sz w:val="22"/>
                <w:szCs w:val="22"/>
              </w:rPr>
            </w:pPr>
          </w:p>
          <w:p>
            <w:pPr>
              <w:autoSpaceDE w:val="0"/>
              <w:autoSpaceDN w:val="0"/>
              <w:adjustRightInd w:val="0"/>
              <w:contextualSpacing/>
              <w:rPr>
                <w:rFonts w:hint="eastAsia" w:cs="Arial"/>
                <w:sz w:val="22"/>
                <w:szCs w:val="22"/>
              </w:rPr>
            </w:pPr>
            <w:r>
              <w:rPr>
                <w:rFonts w:hint="eastAsia" w:cs="Arial"/>
                <w:sz w:val="22"/>
                <w:szCs w:val="22"/>
              </w:rPr>
              <w:t xml:space="preserve"> "Broadcasting and Hosting" is a relatively common major in Chinese universities, the main purpose of this major is to train radio and television announcers and hosts of different types of programs. Li (2023) points out that broadcasting and hosting art has now developed into an undergraduate major with Chinese characteristics.</w:t>
            </w:r>
          </w:p>
          <w:p>
            <w:pPr>
              <w:autoSpaceDE w:val="0"/>
              <w:autoSpaceDN w:val="0"/>
              <w:adjustRightInd w:val="0"/>
              <w:contextualSpacing/>
              <w:rPr>
                <w:rFonts w:hint="eastAsia" w:cs="Arial"/>
                <w:sz w:val="22"/>
                <w:szCs w:val="22"/>
              </w:rPr>
            </w:pPr>
          </w:p>
          <w:p>
            <w:pPr>
              <w:autoSpaceDE w:val="0"/>
              <w:autoSpaceDN w:val="0"/>
              <w:adjustRightInd w:val="0"/>
              <w:contextualSpacing/>
              <w:rPr>
                <w:rFonts w:hint="eastAsia" w:cs="Arial"/>
                <w:sz w:val="22"/>
                <w:szCs w:val="22"/>
              </w:rPr>
            </w:pPr>
            <w:r>
              <w:rPr>
                <w:rFonts w:hint="eastAsia" w:cs="Arial"/>
                <w:sz w:val="22"/>
                <w:szCs w:val="22"/>
              </w:rPr>
              <w:t xml:space="preserve">The "Broadcasting </w:t>
            </w:r>
            <w:r>
              <w:rPr>
                <w:rFonts w:hint="default" w:cs="Arial"/>
                <w:sz w:val="22"/>
                <w:szCs w:val="22"/>
                <w:lang w:val="en-US"/>
              </w:rPr>
              <w:t>V</w:t>
            </w:r>
            <w:r>
              <w:rPr>
                <w:rFonts w:hint="eastAsia" w:cs="Arial"/>
                <w:sz w:val="22"/>
                <w:szCs w:val="22"/>
              </w:rPr>
              <w:t>ocalization</w:t>
            </w:r>
            <w:r>
              <w:rPr>
                <w:rFonts w:hint="eastAsia" w:eastAsia="宋体" w:cs="Arial"/>
                <w:sz w:val="22"/>
                <w:szCs w:val="22"/>
                <w:lang w:val="en-US" w:eastAsia="zh-CN"/>
              </w:rPr>
              <w:t xml:space="preserve"> </w:t>
            </w:r>
            <w:r>
              <w:rPr>
                <w:rFonts w:hint="eastAsia" w:cs="Arial"/>
                <w:sz w:val="22"/>
                <w:szCs w:val="22"/>
              </w:rPr>
              <w:t>Course" is a basic course for broadcasting and hosting majors. According to Li (2017), broadcasting vocalization course is a major course for f</w:t>
            </w:r>
            <w:r>
              <w:rPr>
                <w:rFonts w:hint="eastAsia" w:eastAsia="宋体" w:cs="Arial"/>
                <w:sz w:val="22"/>
                <w:szCs w:val="22"/>
                <w:lang w:val="en-US" w:eastAsia="zh-CN"/>
              </w:rPr>
              <w:t>irst year students</w:t>
            </w:r>
            <w:r>
              <w:rPr>
                <w:rFonts w:hint="eastAsia" w:cs="Arial"/>
                <w:sz w:val="22"/>
                <w:szCs w:val="22"/>
              </w:rPr>
              <w:t>. Through the study of this course, students can focus on correcting the mistakes and defects in pronunciation , master the correct pronunciation and pronunciation training skills, and lay a solid professional foundation for the future career of announcers and presenters.</w:t>
            </w:r>
          </w:p>
          <w:p>
            <w:pPr>
              <w:autoSpaceDE w:val="0"/>
              <w:autoSpaceDN w:val="0"/>
              <w:adjustRightInd w:val="0"/>
              <w:contextualSpacing/>
              <w:rPr>
                <w:rFonts w:hint="eastAsia" w:cs="Arial"/>
                <w:sz w:val="22"/>
                <w:szCs w:val="22"/>
              </w:rPr>
            </w:pPr>
          </w:p>
          <w:p>
            <w:pPr>
              <w:autoSpaceDE w:val="0"/>
              <w:autoSpaceDN w:val="0"/>
              <w:adjustRightInd w:val="0"/>
              <w:contextualSpacing/>
              <w:rPr>
                <w:rFonts w:hint="default" w:ascii="Arial Bold" w:hAnsi="Arial Bold" w:eastAsia="宋体" w:cs="Arial Bold"/>
                <w:b/>
                <w:bCs/>
                <w:sz w:val="22"/>
                <w:szCs w:val="22"/>
                <w:lang w:val="en-US" w:eastAsia="zh-CN"/>
              </w:rPr>
            </w:pPr>
            <w:r>
              <w:rPr>
                <w:rFonts w:hint="eastAsia" w:cs="Arial"/>
                <w:sz w:val="22"/>
                <w:szCs w:val="22"/>
              </w:rPr>
              <w:t>"Broadcasting and Hosting Major" was established in the era when traditional media such as TV and newspaper were popular. At the beginning, this major was established to provide a large number of hosting talents to radio and television stations. Therefore, the teaching content and methods of this major have always relied on the experience and requirements of traditional media.</w:t>
            </w:r>
            <w:r>
              <w:rPr>
                <w:rFonts w:hint="default" w:ascii="Arial Bold" w:hAnsi="Arial Bold" w:cs="Arial Bold"/>
                <w:b/>
                <w:bCs/>
                <w:sz w:val="22"/>
                <w:szCs w:val="22"/>
              </w:rPr>
              <w:t>However, in recent years, the teaching method of this important basic course should be changed</w:t>
            </w:r>
            <w:r>
              <w:rPr>
                <w:rFonts w:hint="default" w:ascii="Arial Bold" w:hAnsi="Arial Bold" w:cs="Arial Bold"/>
                <w:b/>
                <w:bCs/>
                <w:sz w:val="22"/>
                <w:szCs w:val="22"/>
                <w:lang w:val="en-US"/>
              </w:rPr>
              <w:t>.</w:t>
            </w:r>
          </w:p>
          <w:p>
            <w:pPr>
              <w:autoSpaceDE w:val="0"/>
              <w:autoSpaceDN w:val="0"/>
              <w:adjustRightInd w:val="0"/>
              <w:contextualSpacing/>
              <w:rPr>
                <w:rFonts w:hint="eastAsia" w:cs="Arial"/>
                <w:sz w:val="22"/>
                <w:szCs w:val="22"/>
              </w:rPr>
            </w:pPr>
          </w:p>
          <w:p>
            <w:pPr>
              <w:autoSpaceDE w:val="0"/>
              <w:autoSpaceDN w:val="0"/>
              <w:adjustRightInd w:val="0"/>
              <w:contextualSpacing/>
              <w:rPr>
                <w:rFonts w:hint="eastAsia" w:cs="Arial"/>
                <w:sz w:val="22"/>
                <w:szCs w:val="22"/>
              </w:rPr>
            </w:pPr>
            <w:r>
              <w:rPr>
                <w:rFonts w:hint="eastAsia" w:cs="Arial"/>
                <w:sz w:val="22"/>
                <w:szCs w:val="22"/>
              </w:rPr>
              <w:t xml:space="preserve">Xie (2024) claims that at present, the media industry is undergoing unprecedented changes. With the rapid development of information technology and the Internet, traditional media such as newspaper, radio and television are deeply integrated with new media, forming an era of integrated media. In this context, the demand for broadcasting and hosting talents in traditional media has gradually decreased, while the demand for new media positions such as network anchors and e-sports anchors has grown significantly. This puts forward new requirements on the professional skills and media literacy of talents majoring in broadcasting and hosting in universities.  In line with Xie's views, Liu (2017) also proposed that the pronunciation and vocal teaching of students majoring in broadcasting and hosting arts would have a profound impact on their future career development in broadcasting and hosting, so teachers' pronunciation training for students should meet the needs of </w:t>
            </w:r>
            <w:r>
              <w:rPr>
                <w:rFonts w:hint="default" w:cs="Arial"/>
                <w:sz w:val="22"/>
                <w:szCs w:val="22"/>
                <w:lang w:val="en-US"/>
              </w:rPr>
              <w:t>t</w:t>
            </w:r>
            <w:r>
              <w:rPr>
                <w:rFonts w:hint="eastAsia" w:cs="Arial"/>
                <w:sz w:val="22"/>
                <w:szCs w:val="22"/>
              </w:rPr>
              <w:t>he Times.</w:t>
            </w:r>
          </w:p>
          <w:p>
            <w:pPr>
              <w:autoSpaceDE w:val="0"/>
              <w:autoSpaceDN w:val="0"/>
              <w:adjustRightInd w:val="0"/>
              <w:contextualSpacing/>
              <w:rPr>
                <w:rFonts w:hint="eastAsia" w:cs="Arial"/>
                <w:sz w:val="22"/>
                <w:szCs w:val="22"/>
              </w:rPr>
            </w:pPr>
          </w:p>
          <w:p>
            <w:pPr>
              <w:autoSpaceDE w:val="0"/>
              <w:autoSpaceDN w:val="0"/>
              <w:adjustRightInd w:val="0"/>
              <w:contextualSpacing/>
              <w:rPr>
                <w:rFonts w:hint="default" w:ascii="Arial Bold" w:hAnsi="Arial Bold" w:cs="Arial Bold"/>
                <w:b/>
                <w:bCs/>
                <w:sz w:val="22"/>
                <w:szCs w:val="22"/>
              </w:rPr>
            </w:pPr>
            <w:r>
              <w:rPr>
                <w:rFonts w:hint="eastAsia" w:cs="Arial"/>
                <w:sz w:val="22"/>
                <w:szCs w:val="22"/>
              </w:rPr>
              <w:t>According to Xie and Liu, the teaching methods of broadcasting and vocal courses should be changed by the changes in the demand for talents in the industry and the changes in the media environment</w:t>
            </w:r>
            <w:r>
              <w:rPr>
                <w:rFonts w:hint="default" w:cs="Arial"/>
                <w:sz w:val="22"/>
                <w:szCs w:val="22"/>
                <w:lang w:val="en-US"/>
              </w:rPr>
              <w:t xml:space="preserve">. </w:t>
            </w:r>
            <w:r>
              <w:rPr>
                <w:rFonts w:hint="default" w:ascii="Arial Bold" w:hAnsi="Arial Bold" w:cs="Arial Bold"/>
                <w:b/>
                <w:bCs/>
                <w:sz w:val="22"/>
                <w:szCs w:val="22"/>
                <w:lang w:val="en-US"/>
              </w:rPr>
              <w:t>B</w:t>
            </w:r>
            <w:r>
              <w:rPr>
                <w:rFonts w:hint="default" w:ascii="Arial Bold" w:hAnsi="Arial Bold" w:cs="Arial Bold"/>
                <w:b/>
                <w:bCs/>
                <w:sz w:val="22"/>
                <w:szCs w:val="22"/>
              </w:rPr>
              <w:t>ut in fact, the reform and innovation of broadcasting and vocal courses are not significant.</w:t>
            </w:r>
          </w:p>
          <w:p>
            <w:pPr>
              <w:autoSpaceDE w:val="0"/>
              <w:autoSpaceDN w:val="0"/>
              <w:adjustRightInd w:val="0"/>
              <w:contextualSpacing/>
              <w:rPr>
                <w:rFonts w:hint="eastAsia" w:cs="Arial"/>
                <w:sz w:val="22"/>
                <w:szCs w:val="22"/>
              </w:rPr>
            </w:pPr>
          </w:p>
          <w:p>
            <w:pPr>
              <w:autoSpaceDE w:val="0"/>
              <w:autoSpaceDN w:val="0"/>
              <w:adjustRightInd w:val="0"/>
              <w:contextualSpacing/>
              <w:rPr>
                <w:rFonts w:hint="eastAsia" w:eastAsia="宋体" w:cs="Arial"/>
                <w:sz w:val="22"/>
                <w:szCs w:val="22"/>
                <w:lang w:val="en-US" w:eastAsia="zh-CN"/>
              </w:rPr>
            </w:pPr>
            <w:r>
              <w:rPr>
                <w:rFonts w:hint="eastAsia" w:cs="Arial"/>
                <w:sz w:val="22"/>
                <w:szCs w:val="22"/>
              </w:rPr>
              <w:t>Hu (2023) pointed out in her research that</w:t>
            </w:r>
            <w:r>
              <w:rPr>
                <w:rFonts w:hint="default" w:cs="Arial"/>
                <w:sz w:val="22"/>
                <w:szCs w:val="22"/>
                <w:lang w:val="en-US"/>
              </w:rPr>
              <w:t>,</w:t>
            </w:r>
            <w:r>
              <w:rPr>
                <w:rFonts w:hint="eastAsia" w:cs="Arial"/>
                <w:sz w:val="22"/>
                <w:szCs w:val="22"/>
              </w:rPr>
              <w:t xml:space="preserve"> at present, most Chinese universities still follow the traditional teaching methods for broadcast and vocal teaching, and still use the mode of "theory teaching + teacher demonstration + student imitation" to teach, with a single teaching method</w:t>
            </w:r>
            <w:r>
              <w:rPr>
                <w:rFonts w:hint="eastAsia" w:eastAsia="宋体" w:cs="Arial"/>
                <w:sz w:val="22"/>
                <w:szCs w:val="22"/>
                <w:lang w:val="en-US" w:eastAsia="zh-CN"/>
              </w:rPr>
              <w:t>.</w:t>
            </w:r>
          </w:p>
          <w:p>
            <w:pPr>
              <w:autoSpaceDE w:val="0"/>
              <w:autoSpaceDN w:val="0"/>
              <w:adjustRightInd w:val="0"/>
              <w:contextualSpacing/>
              <w:rPr>
                <w:rFonts w:hint="eastAsia" w:cs="Arial"/>
                <w:sz w:val="22"/>
                <w:szCs w:val="22"/>
              </w:rPr>
            </w:pPr>
          </w:p>
          <w:p>
            <w:pPr>
              <w:autoSpaceDE w:val="0"/>
              <w:autoSpaceDN w:val="0"/>
              <w:adjustRightInd w:val="0"/>
              <w:contextualSpacing/>
              <w:rPr>
                <w:rFonts w:hint="eastAsia" w:cs="Arial"/>
                <w:sz w:val="22"/>
                <w:szCs w:val="22"/>
              </w:rPr>
            </w:pPr>
            <w:r>
              <w:rPr>
                <w:rFonts w:hint="eastAsia" w:cs="Arial"/>
                <w:sz w:val="22"/>
                <w:szCs w:val="22"/>
              </w:rPr>
              <w:t>And the single teaching method can not meet the diversified learning needs of students.</w:t>
            </w:r>
            <w:r>
              <w:rPr>
                <w:rFonts w:hint="default" w:cs="Arial"/>
                <w:sz w:val="22"/>
                <w:szCs w:val="22"/>
                <w:lang w:val="en-US"/>
              </w:rPr>
              <w:t>As stated by</w:t>
            </w:r>
            <w:r>
              <w:rPr>
                <w:rFonts w:hint="eastAsia" w:cs="Arial"/>
                <w:sz w:val="22"/>
                <w:szCs w:val="22"/>
              </w:rPr>
              <w:t xml:space="preserve"> Li (2017)</w:t>
            </w:r>
            <w:r>
              <w:rPr>
                <w:rFonts w:hint="default" w:cs="Arial"/>
                <w:sz w:val="22"/>
                <w:szCs w:val="22"/>
                <w:lang w:val="en-US"/>
              </w:rPr>
              <w:t>, t</w:t>
            </w:r>
            <w:r>
              <w:rPr>
                <w:rFonts w:hint="eastAsia" w:cs="Arial"/>
                <w:sz w:val="22"/>
                <w:szCs w:val="22"/>
              </w:rPr>
              <w:t>his monotonous teaching method is easy to make students resist. Many students are able to persevere when they first start school, but they often struggle to maintain this passion as time goes on.</w:t>
            </w:r>
          </w:p>
          <w:p>
            <w:pPr>
              <w:autoSpaceDE w:val="0"/>
              <w:autoSpaceDN w:val="0"/>
              <w:adjustRightInd w:val="0"/>
              <w:contextualSpacing/>
              <w:rPr>
                <w:rFonts w:hint="eastAsia" w:cs="Arial"/>
                <w:sz w:val="22"/>
                <w:szCs w:val="22"/>
              </w:rPr>
            </w:pPr>
          </w:p>
          <w:p>
            <w:pPr>
              <w:autoSpaceDE w:val="0"/>
              <w:autoSpaceDN w:val="0"/>
              <w:adjustRightInd w:val="0"/>
              <w:contextualSpacing/>
              <w:rPr>
                <w:rFonts w:hint="eastAsia" w:cs="Arial"/>
                <w:sz w:val="22"/>
                <w:szCs w:val="22"/>
              </w:rPr>
            </w:pPr>
            <w:r>
              <w:rPr>
                <w:rFonts w:hint="default" w:ascii="Arial Bold" w:hAnsi="Arial Bold" w:cs="Arial Bold"/>
                <w:b/>
                <w:bCs/>
                <w:sz w:val="22"/>
                <w:szCs w:val="22"/>
              </w:rPr>
              <w:t>At present, some colleges and universities have begun to carry out innovative reforms in broadcasting vocalization courses</w:t>
            </w:r>
            <w:r>
              <w:rPr>
                <w:rFonts w:hint="eastAsia" w:cs="Arial"/>
                <w:sz w:val="22"/>
                <w:szCs w:val="22"/>
              </w:rPr>
              <w:t>,</w:t>
            </w:r>
            <w:r>
              <w:rPr>
                <w:rFonts w:hint="default" w:cs="Arial"/>
                <w:sz w:val="22"/>
                <w:szCs w:val="22"/>
                <w:lang w:val="en-US"/>
              </w:rPr>
              <w:t xml:space="preserve"> </w:t>
            </w:r>
            <w:r>
              <w:rPr>
                <w:rFonts w:hint="eastAsia" w:eastAsia="宋体" w:cs="Arial"/>
                <w:sz w:val="22"/>
                <w:szCs w:val="22"/>
                <w:lang w:val="en-US" w:eastAsia="zh-CN"/>
              </w:rPr>
              <w:t xml:space="preserve">such as </w:t>
            </w:r>
            <w:r>
              <w:rPr>
                <w:rFonts w:hint="eastAsia" w:cs="Arial"/>
                <w:sz w:val="22"/>
                <w:szCs w:val="22"/>
              </w:rPr>
              <w:t>Liu and Li (2023)</w:t>
            </w:r>
            <w:r>
              <w:rPr>
                <w:rFonts w:hint="default" w:cs="Arial"/>
                <w:sz w:val="22"/>
                <w:szCs w:val="22"/>
                <w:lang w:val="en-US"/>
              </w:rPr>
              <w:t xml:space="preserve">, they </w:t>
            </w:r>
            <w:r>
              <w:rPr>
                <w:rFonts w:hint="eastAsia" w:cs="Arial"/>
                <w:sz w:val="22"/>
                <w:szCs w:val="22"/>
              </w:rPr>
              <w:t>discussed the impact of online and offline mixed teaching based on SPOC model on students, and some researchers also proposed to use more intelligent software for word pronunciation correction. But in the actual teaching, have the teachers' teaching methods changed</w:t>
            </w:r>
            <w:r>
              <w:rPr>
                <w:rFonts w:hint="eastAsia" w:eastAsia="宋体" w:cs="Arial"/>
                <w:sz w:val="22"/>
                <w:szCs w:val="22"/>
                <w:lang w:eastAsia="zh-CN"/>
              </w:rPr>
              <w:t>？</w:t>
            </w:r>
            <w:r>
              <w:rPr>
                <w:rFonts w:hint="eastAsia" w:cs="Arial"/>
                <w:sz w:val="22"/>
                <w:szCs w:val="22"/>
              </w:rPr>
              <w:t xml:space="preserve"> and what changes have they made? What assistive software </w:t>
            </w:r>
            <w:r>
              <w:rPr>
                <w:rFonts w:hint="eastAsia" w:eastAsia="宋体" w:cs="Arial"/>
                <w:sz w:val="22"/>
                <w:szCs w:val="22"/>
                <w:lang w:val="en-US" w:eastAsia="zh-CN"/>
              </w:rPr>
              <w:t>they</w:t>
            </w:r>
            <w:r>
              <w:rPr>
                <w:rFonts w:hint="eastAsia" w:cs="Arial"/>
                <w:sz w:val="22"/>
                <w:szCs w:val="22"/>
              </w:rPr>
              <w:t xml:space="preserve"> used? </w:t>
            </w:r>
            <w:r>
              <w:rPr>
                <w:rFonts w:hint="default" w:ascii="Arial Bold" w:hAnsi="Arial Bold" w:cs="Arial Bold"/>
                <w:b/>
                <w:bCs/>
                <w:sz w:val="22"/>
                <w:szCs w:val="22"/>
              </w:rPr>
              <w:t>There are not many references found.</w:t>
            </w:r>
          </w:p>
          <w:p>
            <w:pPr>
              <w:autoSpaceDE w:val="0"/>
              <w:autoSpaceDN w:val="0"/>
              <w:adjustRightInd w:val="0"/>
              <w:contextualSpacing/>
              <w:rPr>
                <w:rFonts w:hint="eastAsia" w:cs="Arial"/>
                <w:sz w:val="22"/>
                <w:szCs w:val="22"/>
              </w:rPr>
            </w:pPr>
          </w:p>
          <w:p>
            <w:pPr>
              <w:autoSpaceDE w:val="0"/>
              <w:autoSpaceDN w:val="0"/>
              <w:adjustRightInd w:val="0"/>
              <w:contextualSpacing/>
              <w:rPr>
                <w:rFonts w:hint="default" w:cs="Arial"/>
                <w:sz w:val="22"/>
                <w:szCs w:val="22"/>
                <w:lang w:val="en-US"/>
              </w:rPr>
            </w:pPr>
            <w:r>
              <w:rPr>
                <w:rFonts w:hint="eastAsia" w:cs="Arial"/>
                <w:sz w:val="22"/>
                <w:szCs w:val="22"/>
              </w:rPr>
              <w:t>In general, it is very clear that with the change of media environment and the development of technology, the traditional single teaching method of broadcasting vocalization</w:t>
            </w:r>
            <w:r>
              <w:rPr>
                <w:rFonts w:hint="eastAsia" w:eastAsia="宋体" w:cs="Arial"/>
                <w:sz w:val="22"/>
                <w:szCs w:val="22"/>
                <w:lang w:val="en-US" w:eastAsia="zh-CN"/>
              </w:rPr>
              <w:t xml:space="preserve"> course</w:t>
            </w:r>
            <w:r>
              <w:rPr>
                <w:rFonts w:hint="eastAsia" w:cs="Arial"/>
                <w:sz w:val="22"/>
                <w:szCs w:val="22"/>
              </w:rPr>
              <w:t xml:space="preserve"> needs to be reformed, more diversified and more scientific teaching methods need to be explored and shared</w:t>
            </w:r>
            <w:r>
              <w:rPr>
                <w:rFonts w:hint="default" w:cs="Arial"/>
                <w:sz w:val="22"/>
                <w:szCs w:val="22"/>
                <w:lang w:val="en-US"/>
              </w:rPr>
              <w:t>.</w:t>
            </w:r>
          </w:p>
          <w:p>
            <w:pPr>
              <w:autoSpaceDE w:val="0"/>
              <w:autoSpaceDN w:val="0"/>
              <w:adjustRightInd w:val="0"/>
              <w:contextualSpacing/>
              <w:rPr>
                <w:rFonts w:hint="eastAsia" w:cs="Arial"/>
                <w:sz w:val="22"/>
                <w:szCs w:val="22"/>
              </w:rPr>
            </w:pPr>
            <w:r>
              <w:rPr>
                <w:rFonts w:hint="default" w:ascii="Arial Bold" w:hAnsi="Arial Bold" w:cs="Arial Bold"/>
                <w:b/>
                <w:bCs/>
                <w:sz w:val="22"/>
                <w:szCs w:val="22"/>
              </w:rPr>
              <w:t>Based on my interest and in-depth understanding of this subject, I hope to further study more scientific and effective teaching methods for broadcasting and voice production courses.</w:t>
            </w:r>
          </w:p>
          <w:p>
            <w:pPr>
              <w:autoSpaceDE w:val="0"/>
              <w:autoSpaceDN w:val="0"/>
              <w:adjustRightInd w:val="0"/>
              <w:contextualSpacing/>
              <w:rPr>
                <w:rFonts w:hint="default" w:cs="Arial"/>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Aims &amp; Objectives (approx. 250 – 500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pPr>
              <w:rPr>
                <w:rFonts w:hint="eastAsia" w:cs="Arial"/>
                <w:sz w:val="22"/>
                <w:szCs w:val="22"/>
              </w:rPr>
            </w:pPr>
          </w:p>
          <w:p>
            <w:pPr>
              <w:rPr>
                <w:rFonts w:hint="eastAsia" w:cs="Arial"/>
                <w:sz w:val="22"/>
                <w:szCs w:val="22"/>
              </w:rPr>
            </w:pPr>
            <w:r>
              <w:rPr>
                <w:rFonts w:hint="eastAsia" w:cs="Arial"/>
                <w:sz w:val="22"/>
                <w:szCs w:val="22"/>
              </w:rPr>
              <w:t xml:space="preserve">The goal of this study is to explore the teaching methods of broadcasting </w:t>
            </w:r>
            <w:r>
              <w:rPr>
                <w:rFonts w:hint="eastAsia" w:cs="Arial"/>
                <w:sz w:val="22"/>
                <w:szCs w:val="22"/>
              </w:rPr>
              <w:t>vocalization</w:t>
            </w:r>
            <w:r>
              <w:rPr>
                <w:rFonts w:hint="eastAsia" w:cs="Arial"/>
                <w:sz w:val="22"/>
                <w:szCs w:val="22"/>
              </w:rPr>
              <w:t xml:space="preserve"> courses in current Chinese universities. We can know what teaching methods are used by teachers of broadcasting </w:t>
            </w:r>
            <w:r>
              <w:rPr>
                <w:rFonts w:hint="eastAsia" w:cs="Arial"/>
                <w:sz w:val="22"/>
                <w:szCs w:val="22"/>
              </w:rPr>
              <w:t>vocalization</w:t>
            </w:r>
            <w:r>
              <w:rPr>
                <w:rFonts w:hint="eastAsia" w:cs="Arial"/>
                <w:sz w:val="22"/>
                <w:szCs w:val="22"/>
              </w:rPr>
              <w:t xml:space="preserve"> courses in current Chinese universities. At the same time, we can make optimization suggestions for existing teaching methods and explore more scientific and effective teaching methods to meet the needs of the development of the times.</w:t>
            </w:r>
          </w:p>
          <w:p>
            <w:pPr>
              <w:rPr>
                <w:rFonts w:hint="eastAsia" w:cs="Arial"/>
                <w:sz w:val="22"/>
                <w:szCs w:val="22"/>
              </w:rPr>
            </w:pPr>
          </w:p>
          <w:p>
            <w:pPr>
              <w:rPr>
                <w:rFonts w:hint="eastAsia" w:cs="Arial"/>
                <w:sz w:val="22"/>
                <w:szCs w:val="22"/>
              </w:rPr>
            </w:pPr>
            <w:r>
              <w:rPr>
                <w:rFonts w:hint="default" w:ascii="Arial Bold" w:hAnsi="Arial Bold" w:cs="Arial Bold"/>
                <w:b/>
                <w:bCs/>
                <w:sz w:val="22"/>
                <w:szCs w:val="22"/>
                <w:lang w:val="en-US"/>
              </w:rPr>
              <w:t>I</w:t>
            </w:r>
            <w:r>
              <w:rPr>
                <w:rFonts w:hint="default" w:ascii="Arial Bold" w:hAnsi="Arial Bold" w:cs="Arial Bold"/>
                <w:b/>
                <w:bCs/>
                <w:sz w:val="22"/>
                <w:szCs w:val="22"/>
                <w:lang w:val="en-US" w:eastAsia="zh-CN"/>
              </w:rPr>
              <w:t>n the first place,</w:t>
            </w:r>
            <w:r>
              <w:rPr>
                <w:rFonts w:hint="default" w:cs="Arial"/>
                <w:sz w:val="22"/>
                <w:szCs w:val="22"/>
                <w:lang w:val="en-US" w:eastAsia="zh-CN"/>
              </w:rPr>
              <w:t xml:space="preserve"> </w:t>
            </w:r>
            <w:r>
              <w:rPr>
                <w:rFonts w:hint="default" w:ascii="Arial Bold" w:hAnsi="Arial Bold" w:cs="Arial Bold"/>
                <w:b/>
                <w:bCs/>
                <w:sz w:val="22"/>
                <w:szCs w:val="22"/>
              </w:rPr>
              <w:t>I would like to analyze the current situation of the teaching methods of the teachers of broadcast vocalization courses in Chinese universities.</w:t>
            </w:r>
            <w:r>
              <w:rPr>
                <w:rFonts w:hint="eastAsia" w:cs="Arial"/>
                <w:sz w:val="22"/>
                <w:szCs w:val="22"/>
              </w:rPr>
              <w:t xml:space="preserve"> Through questionnaire survey and interview, we can understand the current common teaching methods and their application effects, and understand the common practices, teaching objectives and challenges of teachers in curriculum design and implementation.</w:t>
            </w:r>
          </w:p>
          <w:p>
            <w:pPr>
              <w:rPr>
                <w:rFonts w:hint="eastAsia" w:cs="Arial"/>
                <w:sz w:val="22"/>
                <w:szCs w:val="22"/>
              </w:rPr>
            </w:pPr>
          </w:p>
          <w:p>
            <w:pPr>
              <w:rPr>
                <w:rFonts w:hint="eastAsia" w:cs="Arial"/>
                <w:sz w:val="22"/>
                <w:szCs w:val="22"/>
              </w:rPr>
            </w:pPr>
            <w:r>
              <w:rPr>
                <w:rFonts w:hint="default" w:ascii="Arial Bold" w:hAnsi="Arial Bold" w:cs="Arial Bold"/>
                <w:b/>
                <w:bCs/>
                <w:sz w:val="22"/>
                <w:szCs w:val="22"/>
              </w:rPr>
              <w:t>Secondly, explore students' learning needs.</w:t>
            </w:r>
            <w:r>
              <w:rPr>
                <w:rFonts w:hint="eastAsia" w:cs="Arial"/>
                <w:sz w:val="22"/>
                <w:szCs w:val="22"/>
              </w:rPr>
              <w:t xml:space="preserve"> By means of semi-structured interviews and questionnaires, students' expectations and needs for broadcast courses were studied to gain an in-depth understanding of their difficulties in learning and their preferences for different teaching methods. </w:t>
            </w:r>
            <w:r>
              <w:rPr>
                <w:rFonts w:hint="eastAsia" w:eastAsia="宋体" w:cs="Arial"/>
                <w:sz w:val="22"/>
                <w:szCs w:val="22"/>
                <w:lang w:val="en-US" w:eastAsia="zh-CN"/>
              </w:rPr>
              <w:t>Furthermore</w:t>
            </w:r>
            <w:r>
              <w:rPr>
                <w:rFonts w:hint="default" w:eastAsia="宋体" w:cs="Arial"/>
                <w:sz w:val="22"/>
                <w:szCs w:val="22"/>
                <w:lang w:val="en-US" w:eastAsia="zh-CN"/>
              </w:rPr>
              <w:t xml:space="preserve">, </w:t>
            </w:r>
            <w:r>
              <w:rPr>
                <w:rFonts w:hint="eastAsia" w:cs="Arial"/>
                <w:sz w:val="22"/>
                <w:szCs w:val="22"/>
              </w:rPr>
              <w:t>we can make statistics on students' learning habits, such as whether they have the habit of taking classes online or whether they want to use software to complete homework, and analyze how these factors affect their learning results.</w:t>
            </w:r>
          </w:p>
          <w:p>
            <w:pPr>
              <w:rPr>
                <w:rFonts w:hint="default" w:cs="Arial"/>
                <w:sz w:val="22"/>
                <w:szCs w:val="22"/>
                <w:lang w:val="en-US"/>
              </w:rPr>
            </w:pPr>
          </w:p>
          <w:p>
            <w:pPr>
              <w:rPr>
                <w:rFonts w:hint="eastAsia" w:cs="Arial"/>
                <w:sz w:val="22"/>
                <w:szCs w:val="22"/>
              </w:rPr>
            </w:pPr>
            <w:r>
              <w:rPr>
                <w:rFonts w:hint="default" w:ascii="Arial Bold" w:hAnsi="Arial Bold" w:cs="Arial Bold"/>
                <w:b/>
                <w:bCs/>
                <w:sz w:val="22"/>
                <w:szCs w:val="22"/>
                <w:lang w:val="en-US"/>
              </w:rPr>
              <w:t>In addition,</w:t>
            </w:r>
            <w:r>
              <w:rPr>
                <w:rFonts w:hint="default" w:ascii="Arial Bold" w:hAnsi="Arial Bold" w:cs="Arial Bold"/>
                <w:b/>
                <w:bCs/>
                <w:sz w:val="22"/>
                <w:szCs w:val="22"/>
              </w:rPr>
              <w:t xml:space="preserve"> compare the effectiveness of different teaching methods.</w:t>
            </w:r>
            <w:r>
              <w:rPr>
                <w:rFonts w:hint="eastAsia" w:cs="Arial"/>
                <w:sz w:val="22"/>
                <w:szCs w:val="22"/>
              </w:rPr>
              <w:t xml:space="preserve"> According to the case study system, different teaching methods such as traditional classroom teaching, online learning, blended learning and practical teaching are compared to evaluate their impact on students' vocal ability, language expression and communication skills. Through experimental research, the effectiveness of different teaching methods in improving students' ability is quantified.</w:t>
            </w:r>
          </w:p>
          <w:p>
            <w:pPr>
              <w:rPr>
                <w:rFonts w:hint="eastAsia" w:cs="Arial"/>
                <w:sz w:val="22"/>
                <w:szCs w:val="22"/>
              </w:rPr>
            </w:pPr>
          </w:p>
          <w:p>
            <w:pPr>
              <w:rPr>
                <w:rFonts w:hint="default" w:eastAsia="宋体" w:cs="Arial"/>
                <w:sz w:val="22"/>
                <w:szCs w:val="22"/>
                <w:lang w:val="en-US" w:eastAsia="zh-CN"/>
              </w:rPr>
            </w:pPr>
            <w:r>
              <w:rPr>
                <w:rFonts w:hint="default" w:ascii="Arial Bold" w:hAnsi="Arial Bold" w:cs="Arial Bold"/>
                <w:b/>
                <w:bCs/>
                <w:sz w:val="22"/>
                <w:szCs w:val="22"/>
                <w:lang w:val="en-US"/>
              </w:rPr>
              <w:t>F</w:t>
            </w:r>
            <w:r>
              <w:rPr>
                <w:rFonts w:hint="default" w:ascii="Arial Bold" w:hAnsi="Arial Bold" w:eastAsia="宋体" w:cs="Arial Bold"/>
                <w:b/>
                <w:bCs/>
                <w:sz w:val="22"/>
                <w:szCs w:val="22"/>
                <w:lang w:val="en-US" w:eastAsia="zh-CN"/>
              </w:rPr>
              <w:t xml:space="preserve">inally, this study aims to make some optimization suggestions for the teaching methods of the broadcasting </w:t>
            </w:r>
            <w:r>
              <w:rPr>
                <w:rFonts w:hint="default" w:ascii="Arial Bold" w:hAnsi="Arial Bold" w:cs="Arial Bold"/>
                <w:b/>
                <w:bCs/>
                <w:sz w:val="22"/>
                <w:szCs w:val="22"/>
              </w:rPr>
              <w:t>vocalization</w:t>
            </w:r>
            <w:r>
              <w:rPr>
                <w:rFonts w:hint="default" w:ascii="Arial Bold" w:hAnsi="Arial Bold" w:eastAsia="宋体" w:cs="Arial Bold"/>
                <w:b/>
                <w:bCs/>
                <w:sz w:val="22"/>
                <w:szCs w:val="22"/>
                <w:lang w:val="en-US" w:eastAsia="zh-CN"/>
              </w:rPr>
              <w:t xml:space="preserve"> course</w:t>
            </w:r>
            <w:r>
              <w:rPr>
                <w:rFonts w:hint="eastAsia" w:eastAsia="宋体" w:cs="Arial"/>
                <w:sz w:val="22"/>
                <w:szCs w:val="22"/>
                <w:lang w:val="en-US" w:eastAsia="zh-CN"/>
              </w:rPr>
              <w:t>. Based on the results of the data analysis, recommendations are provided to enhance the teaching of the broadcasting voice course, enabling educators to better address the diverse learning needs of their students.Appropriate exploration of personalized teaching strategies suitable for different student groups can improve learning outcomes and student satisfaction</w:t>
            </w:r>
            <w:r>
              <w:rPr>
                <w:rFonts w:hint="default" w:eastAsia="宋体" w:cs="Arial"/>
                <w:sz w:val="22"/>
                <w:szCs w:val="22"/>
                <w:lang w:val="en-US" w:eastAsia="zh-CN"/>
              </w:rPr>
              <w:t>.</w:t>
            </w:r>
          </w:p>
          <w:p>
            <w:pPr>
              <w:autoSpaceDE w:val="0"/>
              <w:autoSpaceDN w:val="0"/>
              <w:adjustRightInd w:val="0"/>
              <w:contextualSpacing/>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Proposed Methodology (approx. 500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pPr>
              <w:rPr>
                <w:rFonts w:hint="eastAsia" w:cs="Arial"/>
                <w:sz w:val="22"/>
                <w:szCs w:val="22"/>
              </w:rPr>
            </w:pPr>
          </w:p>
          <w:p>
            <w:pPr>
              <w:rPr>
                <w:rFonts w:hint="default" w:ascii="Arial Bold" w:hAnsi="Arial Bold" w:cs="Arial Bold"/>
                <w:b/>
                <w:bCs/>
                <w:sz w:val="22"/>
                <w:szCs w:val="22"/>
              </w:rPr>
            </w:pPr>
            <w:r>
              <w:rPr>
                <w:rFonts w:hint="eastAsia" w:cs="Arial"/>
                <w:sz w:val="22"/>
                <w:szCs w:val="22"/>
              </w:rPr>
              <w:t>This study uses a mixed research method, combined with quantitative and qualitative analysis, to comprehensively explore the teaching methods of broadcast vocalization course. T</w:t>
            </w:r>
            <w:r>
              <w:rPr>
                <w:rFonts w:hint="default" w:ascii="Arial Bold" w:hAnsi="Arial Bold" w:cs="Arial Bold"/>
                <w:b/>
                <w:bCs/>
                <w:sz w:val="22"/>
                <w:szCs w:val="22"/>
              </w:rPr>
              <w:t>he research will use several methods:</w:t>
            </w:r>
          </w:p>
          <w:p>
            <w:pPr>
              <w:rPr>
                <w:rFonts w:hint="eastAsia" w:cs="Arial"/>
                <w:sz w:val="22"/>
                <w:szCs w:val="22"/>
              </w:rPr>
            </w:pPr>
          </w:p>
          <w:p>
            <w:pPr>
              <w:rPr>
                <w:rFonts w:hint="eastAsia" w:cs="Arial"/>
                <w:sz w:val="22"/>
                <w:szCs w:val="22"/>
              </w:rPr>
            </w:pPr>
            <w:r>
              <w:rPr>
                <w:rFonts w:hint="eastAsia" w:cs="Arial"/>
                <w:sz w:val="22"/>
                <w:szCs w:val="22"/>
              </w:rPr>
              <w:t xml:space="preserve">The first is the </w:t>
            </w:r>
            <w:r>
              <w:rPr>
                <w:rFonts w:hint="default" w:ascii="Arial Bold" w:hAnsi="Arial Bold" w:cs="Arial Bold"/>
                <w:b/>
                <w:bCs/>
                <w:sz w:val="22"/>
                <w:szCs w:val="22"/>
              </w:rPr>
              <w:t>literature review method</w:t>
            </w:r>
            <w:r>
              <w:rPr>
                <w:rFonts w:hint="eastAsia" w:cs="Arial"/>
                <w:sz w:val="22"/>
                <w:szCs w:val="22"/>
              </w:rPr>
              <w:t xml:space="preserve">. </w:t>
            </w:r>
            <w:r>
              <w:rPr>
                <w:rFonts w:hint="default" w:cs="Arial"/>
                <w:sz w:val="22"/>
                <w:szCs w:val="22"/>
                <w:lang w:val="en-US"/>
              </w:rPr>
              <w:t>“</w:t>
            </w:r>
            <w:r>
              <w:rPr>
                <w:rFonts w:hint="eastAsia" w:cs="Arial"/>
                <w:sz w:val="22"/>
                <w:szCs w:val="22"/>
              </w:rPr>
              <w:t xml:space="preserve">A literature review can be an end in and of itself;  it can be a preliminary stage in a larger research project;  and it can be a component of a finished research report </w:t>
            </w:r>
            <w:r>
              <w:rPr>
                <w:rFonts w:hint="default" w:cs="Arial"/>
                <w:sz w:val="22"/>
                <w:szCs w:val="22"/>
                <w:lang w:val="en-US"/>
              </w:rPr>
              <w:t>”</w:t>
            </w:r>
            <w:r>
              <w:rPr>
                <w:rFonts w:hint="eastAsia" w:cs="Arial"/>
                <w:sz w:val="22"/>
                <w:szCs w:val="22"/>
              </w:rPr>
              <w:t>(Knopf, 2006, para127).</w:t>
            </w:r>
            <w:r>
              <w:rPr>
                <w:rFonts w:hint="default" w:cs="Arial"/>
                <w:sz w:val="22"/>
                <w:szCs w:val="22"/>
                <w:lang w:val="en-US"/>
              </w:rPr>
              <w:t xml:space="preserve"> </w:t>
            </w:r>
            <w:r>
              <w:rPr>
                <w:rFonts w:hint="eastAsia" w:cs="Arial"/>
                <w:sz w:val="22"/>
                <w:szCs w:val="22"/>
              </w:rPr>
              <w:t xml:space="preserve">The role of using literature review for this study is consistent with what Knopf (2006) mentioned, </w:t>
            </w:r>
            <w:r>
              <w:rPr>
                <w:rFonts w:hint="eastAsia" w:eastAsia="宋体" w:cs="Arial"/>
                <w:sz w:val="22"/>
                <w:szCs w:val="22"/>
                <w:lang w:val="en-US" w:eastAsia="zh-CN"/>
              </w:rPr>
              <w:t>e</w:t>
            </w:r>
            <w:r>
              <w:rPr>
                <w:rFonts w:hint="eastAsia" w:cs="Arial"/>
                <w:sz w:val="22"/>
                <w:szCs w:val="22"/>
              </w:rPr>
              <w:t xml:space="preserve">xamining existing knowledge can serve as a primary objective if the goal is to understand the current </w:t>
            </w:r>
            <w:r>
              <w:rPr>
                <w:rFonts w:hint="default" w:cs="Arial"/>
                <w:sz w:val="22"/>
                <w:szCs w:val="22"/>
                <w:lang w:val="en-US"/>
              </w:rPr>
              <w:t>“</w:t>
            </w:r>
            <w:r>
              <w:rPr>
                <w:rFonts w:hint="eastAsia" w:cs="Arial"/>
                <w:sz w:val="22"/>
                <w:szCs w:val="22"/>
              </w:rPr>
              <w:t>state of the art</w:t>
            </w:r>
            <w:r>
              <w:rPr>
                <w:rFonts w:hint="default" w:cs="Arial"/>
                <w:sz w:val="22"/>
                <w:szCs w:val="22"/>
                <w:lang w:val="en-US"/>
              </w:rPr>
              <w:t>”</w:t>
            </w:r>
            <w:r>
              <w:rPr>
                <w:rFonts w:hint="eastAsia" w:cs="Arial"/>
                <w:sz w:val="22"/>
                <w:szCs w:val="22"/>
              </w:rPr>
              <w:t xml:space="preserve"> on a specific topic or issue . In this context, as well as in the other scenarios, it's essential not only to summarize the available research but also to engage in a critical evaluation. </w:t>
            </w:r>
          </w:p>
          <w:p>
            <w:pPr>
              <w:rPr>
                <w:rFonts w:hint="eastAsia" w:cs="Arial"/>
                <w:sz w:val="22"/>
                <w:szCs w:val="22"/>
              </w:rPr>
            </w:pPr>
          </w:p>
          <w:p>
            <w:pPr>
              <w:rPr>
                <w:rFonts w:hint="eastAsia" w:cs="Arial"/>
                <w:sz w:val="22"/>
                <w:szCs w:val="22"/>
              </w:rPr>
            </w:pPr>
            <w:r>
              <w:rPr>
                <w:rFonts w:hint="eastAsia" w:cs="Arial"/>
                <w:sz w:val="22"/>
                <w:szCs w:val="22"/>
              </w:rPr>
              <w:t>The research method of literature review can be used to collect and analyze the relevant literature on the teaching of broadcasting vocalization courses in China, understand the traditional teaching methods and the changing direction of teaching methods, and identify the shortcomings and gaps in the existing research. At the same time, the theoretical basis and practical cases of different teaching methods are sorted out to provide theoretical support for subsequent research.</w:t>
            </w:r>
          </w:p>
          <w:p>
            <w:pPr>
              <w:rPr>
                <w:rFonts w:hint="eastAsia" w:cs="Arial"/>
                <w:sz w:val="22"/>
                <w:szCs w:val="22"/>
              </w:rPr>
            </w:pPr>
          </w:p>
          <w:p>
            <w:pPr>
              <w:rPr>
                <w:rFonts w:hint="eastAsia" w:cs="Arial"/>
                <w:sz w:val="22"/>
                <w:szCs w:val="22"/>
              </w:rPr>
            </w:pPr>
            <w:r>
              <w:rPr>
                <w:rFonts w:hint="eastAsia" w:cs="Arial"/>
                <w:sz w:val="22"/>
                <w:szCs w:val="22"/>
              </w:rPr>
              <w:t xml:space="preserve">Secondly, </w:t>
            </w:r>
            <w:r>
              <w:rPr>
                <w:rFonts w:hint="default" w:ascii="Arial Bold" w:hAnsi="Arial Bold" w:cs="Arial Bold"/>
                <w:b/>
                <w:bCs/>
                <w:sz w:val="22"/>
                <w:szCs w:val="22"/>
              </w:rPr>
              <w:t>questionnaire survey</w:t>
            </w:r>
            <w:r>
              <w:rPr>
                <w:rFonts w:hint="eastAsia" w:cs="Arial"/>
                <w:sz w:val="22"/>
                <w:szCs w:val="22"/>
              </w:rPr>
              <w:t xml:space="preserve"> will be used to understand teachers' teaching methods and students' learning interests and expectations for the course. </w:t>
            </w:r>
          </w:p>
          <w:p>
            <w:pPr>
              <w:rPr>
                <w:rFonts w:hint="eastAsia" w:cs="Arial"/>
                <w:sz w:val="22"/>
                <w:szCs w:val="22"/>
              </w:rPr>
            </w:pPr>
          </w:p>
          <w:p>
            <w:pPr>
              <w:rPr>
                <w:rFonts w:hint="eastAsia" w:cs="Arial"/>
                <w:sz w:val="22"/>
                <w:szCs w:val="22"/>
              </w:rPr>
            </w:pPr>
            <w:r>
              <w:rPr>
                <w:rFonts w:hint="eastAsia" w:cs="Arial"/>
                <w:sz w:val="22"/>
                <w:szCs w:val="22"/>
              </w:rPr>
              <w:t xml:space="preserve">Combining the research objectives of this study </w:t>
            </w:r>
            <w:r>
              <w:rPr>
                <w:rFonts w:hint="eastAsia" w:eastAsia="宋体" w:cs="Arial"/>
                <w:sz w:val="22"/>
                <w:szCs w:val="22"/>
                <w:lang w:val="en-US" w:eastAsia="zh-CN"/>
              </w:rPr>
              <w:t>and</w:t>
            </w:r>
            <w:r>
              <w:rPr>
                <w:rFonts w:hint="eastAsia" w:cs="Arial"/>
                <w:sz w:val="22"/>
                <w:szCs w:val="22"/>
              </w:rPr>
              <w:t xml:space="preserve"> Martin's (2006) views, </w:t>
            </w:r>
            <w:r>
              <w:rPr>
                <w:rFonts w:hint="eastAsia" w:eastAsia="宋体" w:cs="Arial"/>
                <w:sz w:val="22"/>
                <w:szCs w:val="22"/>
                <w:lang w:val="en-US" w:eastAsia="zh-CN"/>
              </w:rPr>
              <w:t>q</w:t>
            </w:r>
            <w:r>
              <w:rPr>
                <w:rFonts w:hint="eastAsia" w:cs="Arial"/>
                <w:sz w:val="22"/>
                <w:szCs w:val="22"/>
              </w:rPr>
              <w:t>uestionnaires are utilized in sample surveys or censuses to gather information on facts, attitudes, and various subjective conditions. I think the research method of questionnaire survey is suitable for this study.</w:t>
            </w:r>
          </w:p>
          <w:p>
            <w:pPr>
              <w:rPr>
                <w:rFonts w:hint="eastAsia" w:cs="Arial"/>
                <w:sz w:val="22"/>
                <w:szCs w:val="22"/>
              </w:rPr>
            </w:pPr>
          </w:p>
          <w:p>
            <w:pPr>
              <w:rPr>
                <w:rFonts w:hint="eastAsia" w:cs="Arial"/>
                <w:sz w:val="22"/>
                <w:szCs w:val="22"/>
              </w:rPr>
            </w:pPr>
            <w:r>
              <w:rPr>
                <w:rFonts w:hint="eastAsia" w:cs="Arial"/>
                <w:sz w:val="22"/>
                <w:szCs w:val="22"/>
              </w:rPr>
              <w:t>This research method can help me collect a large amount of information in a short time, and the results of quadratic quantification can be obtained according to the questionnaire data.And because the research subjects are highly educated people - university teachers or college students, they all have a high academic education background, so it is conducive to the research subjects' understanding of the questionnaire questions and can improve the accuracy of the expression of the answers, which reduces the impact of the shortcomings of the questionnaire survey on the research results.</w:t>
            </w:r>
          </w:p>
          <w:p>
            <w:pPr>
              <w:rPr>
                <w:rFonts w:hint="eastAsia" w:cs="Arial"/>
                <w:sz w:val="22"/>
                <w:szCs w:val="22"/>
              </w:rPr>
            </w:pPr>
          </w:p>
          <w:p>
            <w:pPr>
              <w:rPr>
                <w:rFonts w:hint="eastAsia" w:cs="Arial"/>
                <w:sz w:val="22"/>
                <w:szCs w:val="22"/>
              </w:rPr>
            </w:pPr>
            <w:r>
              <w:rPr>
                <w:rFonts w:hint="eastAsia" w:cs="Arial"/>
                <w:sz w:val="22"/>
                <w:szCs w:val="22"/>
              </w:rPr>
              <w:t xml:space="preserve">This research also needs to use the </w:t>
            </w:r>
            <w:r>
              <w:rPr>
                <w:rFonts w:hint="default" w:ascii="Arial Bold" w:hAnsi="Arial Bold" w:cs="Arial Bold"/>
                <w:b/>
                <w:bCs/>
                <w:sz w:val="22"/>
                <w:szCs w:val="22"/>
              </w:rPr>
              <w:t>interview method</w:t>
            </w:r>
            <w:r>
              <w:rPr>
                <w:rFonts w:hint="eastAsia" w:cs="Arial"/>
                <w:sz w:val="22"/>
                <w:szCs w:val="22"/>
              </w:rPr>
              <w:t xml:space="preserve"> to conduct semi-structured interviews</w:t>
            </w:r>
            <w:r>
              <w:rPr>
                <w:rFonts w:hint="eastAsia" w:eastAsia="宋体" w:cs="Arial"/>
                <w:sz w:val="22"/>
                <w:szCs w:val="22"/>
                <w:lang w:eastAsia="zh-CN"/>
              </w:rPr>
              <w:t>（</w:t>
            </w:r>
            <w:r>
              <w:rPr>
                <w:rFonts w:hint="eastAsia" w:eastAsia="宋体" w:cs="Arial"/>
                <w:sz w:val="22"/>
                <w:szCs w:val="22"/>
                <w:lang w:val="en-US" w:eastAsia="zh-CN"/>
              </w:rPr>
              <w:t>online/telephone）</w:t>
            </w:r>
            <w:r>
              <w:rPr>
                <w:rFonts w:hint="eastAsia" w:cs="Arial"/>
                <w:sz w:val="22"/>
                <w:szCs w:val="22"/>
              </w:rPr>
              <w:t xml:space="preserve"> for some more in-depth and complex questions. </w:t>
            </w:r>
          </w:p>
          <w:p>
            <w:pPr>
              <w:rPr>
                <w:rFonts w:hint="eastAsia" w:cs="Arial"/>
                <w:sz w:val="22"/>
                <w:szCs w:val="22"/>
              </w:rPr>
            </w:pPr>
          </w:p>
          <w:p>
            <w:pPr>
              <w:rPr>
                <w:rFonts w:hint="eastAsia" w:cs="Arial"/>
                <w:sz w:val="22"/>
                <w:szCs w:val="22"/>
              </w:rPr>
            </w:pPr>
            <w:r>
              <w:rPr>
                <w:rFonts w:hint="eastAsia" w:cs="Arial"/>
                <w:sz w:val="22"/>
                <w:szCs w:val="22"/>
              </w:rPr>
              <w:t>Interviews are widely used in educational research to obtain in-depth qualitative data. According to Morgan et al.</w:t>
            </w:r>
            <w:r>
              <w:rPr>
                <w:rFonts w:hint="default" w:cs="Arial"/>
                <w:sz w:val="22"/>
                <w:szCs w:val="22"/>
                <w:lang w:val="en-US"/>
              </w:rPr>
              <w:t xml:space="preserve"> </w:t>
            </w:r>
            <w:r>
              <w:rPr>
                <w:rFonts w:hint="eastAsia" w:cs="Arial"/>
                <w:sz w:val="22"/>
                <w:szCs w:val="22"/>
              </w:rPr>
              <w:t>(2002), the first five to six in-depth interviews produced the majority of the data; approximately 80% t0 92% of concepts were identified within the first 10 interviews. Therefore, at present, I would like to select 10 teachers and students respectively to conduct semi-structured interviews. The interviews include views on existing teaching methods, challenges and opportunities in teaching, and expectations for future teaching. The interviews will be recorded and written for subsequent analysis.</w:t>
            </w:r>
          </w:p>
          <w:p>
            <w:pPr>
              <w:rPr>
                <w:rFonts w:hint="eastAsia" w:cs="Arial"/>
                <w:sz w:val="22"/>
                <w:szCs w:val="22"/>
              </w:rPr>
            </w:pPr>
          </w:p>
          <w:p>
            <w:pPr>
              <w:rPr>
                <w:rFonts w:hint="eastAsia" w:cs="Arial"/>
                <w:sz w:val="22"/>
                <w:szCs w:val="22"/>
              </w:rPr>
            </w:pPr>
            <w:r>
              <w:rPr>
                <w:rFonts w:hint="eastAsia" w:cs="Arial"/>
                <w:sz w:val="22"/>
                <w:szCs w:val="22"/>
              </w:rPr>
              <w:t xml:space="preserve">Finally, I also consider the use of </w:t>
            </w:r>
            <w:r>
              <w:rPr>
                <w:rFonts w:hint="default" w:ascii="Arial Bold" w:hAnsi="Arial Bold" w:cs="Arial Bold"/>
                <w:b/>
                <w:bCs/>
                <w:sz w:val="22"/>
                <w:szCs w:val="22"/>
              </w:rPr>
              <w:t>case studies</w:t>
            </w:r>
            <w:r>
              <w:rPr>
                <w:rFonts w:hint="eastAsia" w:cs="Arial"/>
                <w:sz w:val="22"/>
                <w:szCs w:val="22"/>
              </w:rPr>
              <w:t>, which can provide concrete practical experience and success factors</w:t>
            </w:r>
            <w:r>
              <w:rPr>
                <w:rFonts w:hint="default" w:cs="Arial"/>
                <w:sz w:val="22"/>
                <w:szCs w:val="22"/>
                <w:lang w:val="en-US"/>
              </w:rPr>
              <w:t>.</w:t>
            </w:r>
            <w:r>
              <w:rPr>
                <w:rFonts w:hint="eastAsia" w:cs="Arial"/>
                <w:sz w:val="22"/>
                <w:szCs w:val="22"/>
              </w:rPr>
              <w:t>This paper selects some teaching cases of online courses and mixed courses in colleges and universities to compare with traditional offline teaching, and analyzes its teaching mode, implementation effect and students' feedback. Through interviews and literature collection, in-depth understanding of the specific practice of the case.</w:t>
            </w:r>
          </w:p>
          <w:p>
            <w:pPr>
              <w:rPr>
                <w:rFonts w:hint="eastAsia" w:cs="Arial"/>
                <w:sz w:val="22"/>
                <w:szCs w:val="22"/>
              </w:rPr>
            </w:pPr>
          </w:p>
          <w:p>
            <w:pPr>
              <w:rPr>
                <w:rFonts w:hint="eastAsia" w:cs="Arial"/>
                <w:sz w:val="22"/>
                <w:szCs w:val="22"/>
              </w:rPr>
            </w:pPr>
            <w:r>
              <w:rPr>
                <w:rFonts w:hint="default" w:ascii="Arial Bold" w:hAnsi="Arial Bold" w:cs="Arial Bold"/>
                <w:b/>
                <w:bCs/>
                <w:sz w:val="22"/>
                <w:szCs w:val="22"/>
              </w:rPr>
              <w:t>The relevant data are mainly collected for questionnaire data, interview data and case study data.</w:t>
            </w:r>
            <w:r>
              <w:rPr>
                <w:rFonts w:hint="eastAsia" w:cs="Arial"/>
                <w:sz w:val="22"/>
                <w:szCs w:val="22"/>
              </w:rPr>
              <w:t xml:space="preserve"> I will collect quantitative data through questionnaire survey and use statistical software (such as SPSS) for data analysis. The interviews were transcribed and thematic analysis was used to extract key themes and ideas. Literature and materials related to the case were collected and comprehensively analyzed.</w:t>
            </w:r>
          </w:p>
          <w:p>
            <w:pPr>
              <w:rPr>
                <w:rFonts w:hint="eastAsia" w:cs="Arial"/>
                <w:sz w:val="22"/>
                <w:szCs w:val="22"/>
              </w:rPr>
            </w:pPr>
          </w:p>
          <w:p>
            <w:pPr>
              <w:rPr>
                <w:rFonts w:hint="eastAsia" w:cs="Arial"/>
                <w:sz w:val="22"/>
                <w:szCs w:val="22"/>
              </w:rPr>
            </w:pPr>
            <w:r>
              <w:rPr>
                <w:rFonts w:hint="eastAsia" w:cs="Arial"/>
                <w:sz w:val="22"/>
                <w:szCs w:val="22"/>
              </w:rPr>
              <w:t xml:space="preserve">Because this study is a mixed study,  </w:t>
            </w:r>
            <w:r>
              <w:rPr>
                <w:rFonts w:hint="default" w:ascii="Arial Bold" w:hAnsi="Arial Bold" w:cs="Arial Bold"/>
                <w:b/>
                <w:bCs/>
                <w:sz w:val="22"/>
                <w:szCs w:val="22"/>
              </w:rPr>
              <w:t>both quantitative and qualitative analysis will be conducted</w:t>
            </w:r>
            <w:r>
              <w:rPr>
                <w:rFonts w:hint="default" w:ascii="Arial Bold" w:hAnsi="Arial Bold" w:cs="Arial Bold"/>
                <w:b/>
                <w:bCs/>
                <w:sz w:val="22"/>
                <w:szCs w:val="22"/>
                <w:lang w:val="en-US"/>
              </w:rPr>
              <w:t xml:space="preserve">. </w:t>
            </w:r>
            <w:r>
              <w:rPr>
                <w:rFonts w:hint="eastAsia" w:cs="Arial"/>
                <w:sz w:val="22"/>
                <w:szCs w:val="22"/>
              </w:rPr>
              <w:t xml:space="preserve">Quantitative analysis will use descriptive statistical analysis (such as mean value and standard deviation) to describe the questionnaire data, and use correlation analysis and analysis of variance (ANOVA) to compare the influence of different teaching methods on learning results. </w:t>
            </w:r>
          </w:p>
          <w:p>
            <w:pPr>
              <w:rPr>
                <w:rFonts w:hint="eastAsia" w:cs="Arial"/>
                <w:sz w:val="22"/>
                <w:szCs w:val="22"/>
              </w:rPr>
            </w:pPr>
            <w:r>
              <w:rPr>
                <w:rFonts w:hint="eastAsia" w:cs="Arial"/>
                <w:sz w:val="22"/>
                <w:szCs w:val="22"/>
              </w:rPr>
              <w:t>Qualitative analysis will analyze interview data through coding and topic analysis to extract teachers' and students' opinions and suggestions on teaching methods, and integrate successful experiences and shortcomings from case studies to provide suggestions for curriculum optimization.</w:t>
            </w:r>
          </w:p>
          <w:p>
            <w:pPr>
              <w:rPr>
                <w:rFonts w:hint="eastAsia" w:cs="Arial"/>
                <w:sz w:val="22"/>
                <w:szCs w:val="22"/>
              </w:rPr>
            </w:pPr>
          </w:p>
          <w:p>
            <w:pPr>
              <w:rPr>
                <w:rFonts w:hint="eastAsia" w:cs="Arial"/>
                <w:sz w:val="22"/>
                <w:szCs w:val="22"/>
              </w:rPr>
            </w:pPr>
            <w:r>
              <w:rPr>
                <w:rFonts w:hint="eastAsia" w:cs="Arial"/>
                <w:sz w:val="22"/>
                <w:szCs w:val="22"/>
              </w:rPr>
              <w:t xml:space="preserve">As for the </w:t>
            </w:r>
            <w:r>
              <w:rPr>
                <w:rFonts w:hint="default" w:ascii="Arial Bold" w:hAnsi="Arial Bold" w:cs="Arial Bold"/>
                <w:b/>
                <w:bCs/>
                <w:sz w:val="22"/>
                <w:szCs w:val="22"/>
              </w:rPr>
              <w:t>sampling strategy,</w:t>
            </w:r>
            <w:r>
              <w:rPr>
                <w:rFonts w:hint="eastAsia" w:cs="Arial"/>
                <w:sz w:val="22"/>
                <w:szCs w:val="22"/>
              </w:rPr>
              <w:t xml:space="preserve"> this study will adopt stratified random sampling for the questionnaire survey to ensure the representativeness of the sample in terms of gender, grade and learning style. The goal is to collect 300 valid questionnaires. Teachers and students from different regions and backgrounds will be selected for the interviews to gain diverse perspectives and experiences.</w:t>
            </w:r>
          </w:p>
          <w:p>
            <w:pPr>
              <w:rPr>
                <w:rFonts w:hint="eastAsia" w:cs="Arial"/>
                <w:sz w:val="22"/>
                <w:szCs w:val="22"/>
              </w:rPr>
            </w:pPr>
          </w:p>
          <w:p>
            <w:pPr>
              <w:rPr>
                <w:rFonts w:hint="eastAsia" w:cs="Arial"/>
                <w:sz w:val="22"/>
                <w:szCs w:val="22"/>
              </w:rPr>
            </w:pPr>
            <w:r>
              <w:rPr>
                <w:rFonts w:hint="default" w:ascii="Arial Bold" w:hAnsi="Arial Bold" w:cs="Arial Bold"/>
                <w:b/>
                <w:bCs/>
                <w:sz w:val="22"/>
                <w:szCs w:val="22"/>
              </w:rPr>
              <w:t>Ethical considerations</w:t>
            </w:r>
            <w:r>
              <w:rPr>
                <w:rFonts w:hint="eastAsia" w:cs="Arial"/>
                <w:sz w:val="22"/>
                <w:szCs w:val="22"/>
              </w:rPr>
              <w:t xml:space="preserve"> in this study, Will comply with "Educational researchers should operate within an ethic of respect for all persons - including themselves - involved in or affected by the research they are undertaking. ((BERA, 2024, para11) ". In accordance with the requirements of BERA (2024), informed consent of all participants will be ensured before conducting questionnaires and interviews, and the purpose of the research and the way of data use will be informed, while protecting the privacy of participants, ensuring that their personal information is not leaked and the data is only used for academic research.</w:t>
            </w:r>
          </w:p>
          <w:p>
            <w:pPr>
              <w:rPr>
                <w:rFonts w:hint="eastAsia" w:cs="Arial"/>
                <w:sz w:val="22"/>
                <w:szCs w:val="22"/>
              </w:rPr>
            </w:pPr>
          </w:p>
          <w:p>
            <w:pPr>
              <w:rPr>
                <w:rFonts w:hint="eastAsia" w:cs="Arial"/>
                <w:sz w:val="22"/>
                <w:szCs w:val="22"/>
              </w:rPr>
            </w:pPr>
          </w:p>
          <w:p>
            <w:pPr>
              <w:rPr>
                <w:rFonts w:hint="eastAsia" w:cs="Arial"/>
                <w:sz w:val="22"/>
                <w:szCs w:val="22"/>
              </w:rPr>
            </w:pP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Introductory Bibliography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pPr>
              <w:pStyle w:val="2"/>
              <w:keepNext w:val="0"/>
              <w:keepLines w:val="0"/>
              <w:widowControl/>
              <w:suppressLineNumbers w:val="0"/>
              <w:spacing w:before="0" w:beforeAutospacing="0" w:after="210" w:afterAutospacing="0" w:line="360" w:lineRule="auto"/>
              <w:jc w:val="left"/>
              <w:rPr>
                <w:rFonts w:hint="default" w:ascii="Times New Roman" w:hAnsi="Times New Roman" w:cs="Times New Roman"/>
                <w:sz w:val="36"/>
                <w:szCs w:val="36"/>
              </w:rPr>
            </w:pPr>
            <w:r>
              <w:rPr>
                <w:rFonts w:hint="default" w:ascii="Times New Roman" w:hAnsi="Times New Roman" w:cs="Times New Roman"/>
                <w:sz w:val="36"/>
                <w:szCs w:val="36"/>
              </w:rPr>
              <w:t>Reference list</w:t>
            </w:r>
          </w:p>
          <w:p>
            <w:pPr>
              <w:pStyle w:val="11"/>
              <w:keepNext w:val="0"/>
              <w:keepLines w:val="0"/>
              <w:widowControl/>
              <w:suppressLineNumbers w:val="0"/>
              <w:spacing w:before="0" w:beforeAutospacing="0" w:after="210" w:afterAutospacing="0" w:line="360" w:lineRule="auto"/>
              <w:rPr>
                <w:rFonts w:hint="default" w:ascii="Arial Regular" w:hAnsi="Arial Regular" w:cs="Arial Regular"/>
                <w:sz w:val="22"/>
                <w:szCs w:val="22"/>
              </w:rPr>
            </w:pPr>
            <w:r>
              <w:rPr>
                <w:rFonts w:hint="default" w:ascii="Arial Regular" w:hAnsi="Arial Regular" w:cs="Arial Regular"/>
                <w:sz w:val="22"/>
                <w:szCs w:val="22"/>
                <w:lang w:val="en-US"/>
              </w:rPr>
              <w:t>1</w:t>
            </w:r>
            <w:r>
              <w:rPr>
                <w:rFonts w:hint="eastAsia" w:ascii="Arial Regular" w:hAnsi="Arial Regular" w:eastAsia="宋体" w:cs="Arial Regular"/>
                <w:sz w:val="22"/>
                <w:szCs w:val="22"/>
                <w:lang w:val="en-US" w:eastAsia="zh-CN"/>
              </w:rPr>
              <w:t>.</w:t>
            </w:r>
            <w:r>
              <w:rPr>
                <w:rFonts w:hint="default" w:ascii="Arial Regular" w:hAnsi="Arial Regular" w:cs="Arial Regular"/>
                <w:sz w:val="22"/>
                <w:szCs w:val="22"/>
              </w:rPr>
              <w:t xml:space="preserve">BERA (2024) </w:t>
            </w:r>
            <w:r>
              <w:rPr>
                <w:rFonts w:hint="default" w:ascii="Arial Regular" w:hAnsi="Arial Regular" w:cs="Arial Regular"/>
                <w:i/>
                <w:iCs/>
                <w:sz w:val="22"/>
                <w:szCs w:val="22"/>
              </w:rPr>
              <w:t>Ethical Guidelines for Educational Research, Fifth Edition (2024)</w:t>
            </w:r>
            <w:r>
              <w:rPr>
                <w:rFonts w:hint="default" w:ascii="Arial Regular" w:hAnsi="Arial Regular" w:cs="Arial Regular"/>
                <w:sz w:val="22"/>
                <w:szCs w:val="22"/>
              </w:rPr>
              <w:t xml:space="preserve">, </w:t>
            </w:r>
            <w:r>
              <w:rPr>
                <w:rFonts w:hint="default" w:ascii="Arial Regular" w:hAnsi="Arial Regular" w:cs="Arial Regular"/>
                <w:i/>
                <w:iCs/>
                <w:sz w:val="22"/>
                <w:szCs w:val="22"/>
              </w:rPr>
              <w:t>www.bera.ac.uk</w:t>
            </w:r>
            <w:r>
              <w:rPr>
                <w:rFonts w:hint="default" w:ascii="Arial Regular" w:hAnsi="Arial Regular" w:cs="Arial Regular"/>
                <w:sz w:val="22"/>
                <w:szCs w:val="22"/>
              </w:rPr>
              <w:t>. Available at: https://www.bera.ac.uk/publication/ethical-guidelines-for-educational-research-fifth-edition-2024.</w:t>
            </w:r>
          </w:p>
          <w:p>
            <w:pPr>
              <w:pStyle w:val="11"/>
              <w:keepNext w:val="0"/>
              <w:keepLines w:val="0"/>
              <w:widowControl/>
              <w:suppressLineNumbers w:val="0"/>
              <w:spacing w:before="0" w:beforeAutospacing="0" w:after="210" w:afterAutospacing="0" w:line="360" w:lineRule="auto"/>
              <w:rPr>
                <w:rFonts w:hint="default" w:ascii="Arial Regular" w:hAnsi="Arial Regular" w:cs="Arial Regular"/>
                <w:sz w:val="22"/>
                <w:szCs w:val="22"/>
              </w:rPr>
            </w:pPr>
            <w:r>
              <w:rPr>
                <w:rFonts w:hint="eastAsia" w:ascii="Arial Regular" w:hAnsi="Arial Regular" w:eastAsia="宋体" w:cs="Arial Regular"/>
                <w:sz w:val="22"/>
                <w:szCs w:val="22"/>
                <w:lang w:val="en-US" w:eastAsia="zh-CN"/>
              </w:rPr>
              <w:t>2.</w:t>
            </w:r>
            <w:r>
              <w:rPr>
                <w:rFonts w:hint="default" w:ascii="Arial Regular" w:hAnsi="Arial Regular" w:cs="Arial Regular"/>
                <w:sz w:val="22"/>
                <w:szCs w:val="22"/>
              </w:rPr>
              <w:t xml:space="preserve">Hu, Y. (2023) </w:t>
            </w:r>
            <w:r>
              <w:rPr>
                <w:rFonts w:hint="default" w:ascii="Arial Regular" w:hAnsi="Arial Regular" w:cs="Arial Regular"/>
                <w:i/>
                <w:iCs/>
                <w:sz w:val="22"/>
                <w:szCs w:val="22"/>
              </w:rPr>
              <w:t>An innovative research on the theory and practice of broadcasting phonology in the media perspective 融媒体视域下播音发声学理论与实践课程的创新性探究 - CNKI</w:t>
            </w:r>
            <w:r>
              <w:rPr>
                <w:rFonts w:hint="default" w:ascii="Arial Regular" w:hAnsi="Arial Regular" w:cs="Arial Regular"/>
                <w:sz w:val="22"/>
                <w:szCs w:val="22"/>
              </w:rPr>
              <w:t xml:space="preserve">, </w:t>
            </w:r>
            <w:r>
              <w:rPr>
                <w:rFonts w:hint="default" w:ascii="Arial Regular" w:hAnsi="Arial Regular" w:cs="Arial Regular"/>
                <w:i/>
                <w:iCs/>
                <w:sz w:val="22"/>
                <w:szCs w:val="22"/>
              </w:rPr>
              <w:t>Cnki.net</w:t>
            </w:r>
            <w:r>
              <w:rPr>
                <w:rFonts w:hint="default" w:ascii="Arial Regular" w:hAnsi="Arial Regular" w:cs="Arial Regular"/>
                <w:sz w:val="22"/>
                <w:szCs w:val="22"/>
              </w:rPr>
              <w:t>. Available at: https://www.cnki.net/KCMS/detail/detail.aspx?dbcode=CJFD&amp;dbname=CJFDLAST2023&amp;filename=PXWS202308037&amp;uniplatform=OVERSEA&amp;v=LYmp8TWHVigLn-Lw6oNZjdy0TUfmXWtmBv2BSGITgi9vSQPaCogTeWvV8k6Mzwwj (Accessed: 6 November 2024).</w:t>
            </w:r>
          </w:p>
          <w:p>
            <w:pPr>
              <w:pStyle w:val="11"/>
              <w:keepNext w:val="0"/>
              <w:keepLines w:val="0"/>
              <w:widowControl/>
              <w:suppressLineNumbers w:val="0"/>
              <w:spacing w:before="0" w:beforeAutospacing="0" w:after="210" w:afterAutospacing="0" w:line="360" w:lineRule="auto"/>
              <w:rPr>
                <w:rFonts w:hint="default" w:ascii="Arial Regular" w:hAnsi="Arial Regular" w:cs="Arial Regular"/>
                <w:sz w:val="22"/>
                <w:szCs w:val="22"/>
              </w:rPr>
            </w:pPr>
            <w:r>
              <w:rPr>
                <w:rFonts w:hint="eastAsia" w:ascii="Arial Regular" w:hAnsi="Arial Regular" w:eastAsia="宋体" w:cs="Arial Regular"/>
                <w:sz w:val="22"/>
                <w:szCs w:val="22"/>
                <w:lang w:val="en-US" w:eastAsia="zh-CN"/>
              </w:rPr>
              <w:t>3.</w:t>
            </w:r>
            <w:r>
              <w:rPr>
                <w:rFonts w:hint="default" w:ascii="Arial Regular" w:hAnsi="Arial Regular" w:cs="Arial Regular"/>
                <w:sz w:val="22"/>
                <w:szCs w:val="22"/>
              </w:rPr>
              <w:t xml:space="preserve">Knopf, J.W. (2006) ‘Doing a Literature Review’, </w:t>
            </w:r>
            <w:r>
              <w:rPr>
                <w:rFonts w:hint="default" w:ascii="Arial Regular" w:hAnsi="Arial Regular" w:cs="Arial Regular"/>
                <w:i/>
                <w:iCs/>
                <w:sz w:val="22"/>
                <w:szCs w:val="22"/>
              </w:rPr>
              <w:t>PS: Political Science &amp; Politics</w:t>
            </w:r>
            <w:r>
              <w:rPr>
                <w:rFonts w:hint="default" w:ascii="Arial Regular" w:hAnsi="Arial Regular" w:cs="Arial Regular"/>
                <w:sz w:val="22"/>
                <w:szCs w:val="22"/>
              </w:rPr>
              <w:t>, 39(01), pp. 127–132. Available at: https://doi.org/10.1017/s1049096506060264.</w:t>
            </w:r>
          </w:p>
          <w:p>
            <w:pPr>
              <w:pStyle w:val="11"/>
              <w:keepNext w:val="0"/>
              <w:keepLines w:val="0"/>
              <w:widowControl/>
              <w:suppressLineNumbers w:val="0"/>
              <w:spacing w:before="0" w:beforeAutospacing="0" w:after="210" w:afterAutospacing="0" w:line="360" w:lineRule="auto"/>
              <w:rPr>
                <w:rFonts w:hint="default" w:ascii="Arial Regular" w:hAnsi="Arial Regular" w:cs="Arial Regular"/>
                <w:sz w:val="22"/>
                <w:szCs w:val="22"/>
              </w:rPr>
            </w:pPr>
            <w:r>
              <w:rPr>
                <w:rFonts w:hint="eastAsia" w:ascii="Arial Regular" w:hAnsi="Arial Regular" w:eastAsia="宋体" w:cs="Arial Regular"/>
                <w:sz w:val="22"/>
                <w:szCs w:val="22"/>
                <w:lang w:val="en-US" w:eastAsia="zh-CN"/>
              </w:rPr>
              <w:t>4.</w:t>
            </w:r>
            <w:r>
              <w:rPr>
                <w:rFonts w:hint="default" w:ascii="Arial Regular" w:hAnsi="Arial Regular" w:cs="Arial Regular"/>
                <w:sz w:val="22"/>
                <w:szCs w:val="22"/>
              </w:rPr>
              <w:t xml:space="preserve">Li, S. (2023) </w:t>
            </w:r>
            <w:r>
              <w:rPr>
                <w:rFonts w:hint="default" w:ascii="Arial Regular" w:hAnsi="Arial Regular" w:cs="Arial Regular"/>
                <w:i/>
                <w:iCs/>
                <w:sz w:val="22"/>
                <w:szCs w:val="22"/>
              </w:rPr>
              <w:t>Exploration of Research-based Teaching Reform in the Broadcasting Phonation Technique Course - CNKI</w:t>
            </w:r>
            <w:r>
              <w:rPr>
                <w:rFonts w:hint="default" w:ascii="Arial Regular" w:hAnsi="Arial Regular" w:cs="Arial Regular"/>
                <w:sz w:val="22"/>
                <w:szCs w:val="22"/>
              </w:rPr>
              <w:t xml:space="preserve">, </w:t>
            </w:r>
            <w:r>
              <w:rPr>
                <w:rFonts w:hint="default" w:ascii="Arial Regular" w:hAnsi="Arial Regular" w:cs="Arial Regular"/>
                <w:i/>
                <w:iCs/>
                <w:sz w:val="22"/>
                <w:szCs w:val="22"/>
              </w:rPr>
              <w:t>Cnki.net</w:t>
            </w:r>
            <w:r>
              <w:rPr>
                <w:rFonts w:hint="default" w:ascii="Arial Regular" w:hAnsi="Arial Regular" w:cs="Arial Regular"/>
                <w:sz w:val="22"/>
                <w:szCs w:val="22"/>
              </w:rPr>
              <w:t>. Available at: https://www.cnki.net/KCMS/detail/detail.aspx?dbcode=CJFD&amp;dbname=CJFDLAST2023&amp;filename=XWDK202320052&amp;uniplatform=OVERSEA&amp;v=XLl2odPTs0U0AfY6vSaBnML9M1AJfO6V0QgeAXpQlSMQoy1zuhrHaHDf_0LTQNV2 (Accessed: 6 November 2024).</w:t>
            </w:r>
          </w:p>
          <w:p>
            <w:pPr>
              <w:pStyle w:val="11"/>
              <w:keepNext w:val="0"/>
              <w:keepLines w:val="0"/>
              <w:widowControl/>
              <w:suppressLineNumbers w:val="0"/>
              <w:spacing w:before="0" w:beforeAutospacing="0" w:after="210" w:afterAutospacing="0" w:line="360" w:lineRule="auto"/>
              <w:rPr>
                <w:rFonts w:hint="default" w:ascii="Arial Regular" w:hAnsi="Arial Regular" w:cs="Arial Regular"/>
                <w:sz w:val="22"/>
                <w:szCs w:val="22"/>
              </w:rPr>
            </w:pPr>
            <w:r>
              <w:rPr>
                <w:rFonts w:hint="eastAsia" w:ascii="Arial Regular" w:hAnsi="Arial Regular" w:eastAsia="宋体" w:cs="Arial Regular"/>
                <w:sz w:val="22"/>
                <w:szCs w:val="22"/>
                <w:lang w:val="en-US" w:eastAsia="zh-CN"/>
              </w:rPr>
              <w:t>5.</w:t>
            </w:r>
            <w:r>
              <w:rPr>
                <w:rFonts w:hint="default" w:ascii="Arial Regular" w:hAnsi="Arial Regular" w:cs="Arial Regular"/>
                <w:sz w:val="22"/>
                <w:szCs w:val="22"/>
              </w:rPr>
              <w:t xml:space="preserve">Li, Y. (2017) </w:t>
            </w:r>
            <w:r>
              <w:rPr>
                <w:rFonts w:hint="default" w:ascii="Arial Regular" w:hAnsi="Arial Regular" w:cs="Arial Regular"/>
                <w:i/>
                <w:iCs/>
                <w:sz w:val="22"/>
                <w:szCs w:val="22"/>
              </w:rPr>
              <w:t>Research on the innovation mode of course reform of Pronunciation and Vocalization for broadcasting and hosting majors under the new situation 新形势下播音与主持专业《语音与发声》课程改革创新模式探究 - CNKI</w:t>
            </w:r>
            <w:r>
              <w:rPr>
                <w:rFonts w:hint="default" w:ascii="Arial Regular" w:hAnsi="Arial Regular" w:cs="Arial Regular"/>
                <w:sz w:val="22"/>
                <w:szCs w:val="22"/>
              </w:rPr>
              <w:t xml:space="preserve">, </w:t>
            </w:r>
            <w:r>
              <w:rPr>
                <w:rFonts w:hint="default" w:ascii="Arial Regular" w:hAnsi="Arial Regular" w:cs="Arial Regular"/>
                <w:i/>
                <w:iCs/>
                <w:sz w:val="22"/>
                <w:szCs w:val="22"/>
              </w:rPr>
              <w:t>Cnki.net</w:t>
            </w:r>
            <w:r>
              <w:rPr>
                <w:rFonts w:hint="default" w:ascii="Arial Regular" w:hAnsi="Arial Regular" w:cs="Arial Regular"/>
                <w:sz w:val="22"/>
                <w:szCs w:val="22"/>
              </w:rPr>
              <w:t>. Available at: https://www.cnki.net/KCMS/detail/detail.aspx?dbcode=CJFD&amp;dbname=CJFDLAST2017&amp;filename=XJZT201717144&amp;uniplatform=OVERSEA&amp;v=G-eJ0RMZ_uOIH6l8yM4eyYSXySmgpDSYLsDqyojLYa520JZcV9verUw-hE__vDlj (Accessed: 6 November 2024).</w:t>
            </w:r>
          </w:p>
          <w:p>
            <w:pPr>
              <w:pStyle w:val="11"/>
              <w:keepNext w:val="0"/>
              <w:keepLines w:val="0"/>
              <w:widowControl/>
              <w:suppressLineNumbers w:val="0"/>
              <w:spacing w:before="0" w:beforeAutospacing="0" w:after="210" w:afterAutospacing="0" w:line="360" w:lineRule="auto"/>
              <w:rPr>
                <w:rFonts w:hint="default" w:ascii="Arial Regular" w:hAnsi="Arial Regular" w:cs="Arial Regular"/>
                <w:sz w:val="22"/>
                <w:szCs w:val="22"/>
              </w:rPr>
            </w:pPr>
            <w:r>
              <w:rPr>
                <w:rFonts w:hint="eastAsia" w:ascii="Arial Regular" w:hAnsi="Arial Regular" w:eastAsia="宋体" w:cs="Arial Regular"/>
                <w:sz w:val="22"/>
                <w:szCs w:val="22"/>
                <w:lang w:val="en-US" w:eastAsia="zh-CN"/>
              </w:rPr>
              <w:t>6.</w:t>
            </w:r>
            <w:r>
              <w:rPr>
                <w:rFonts w:hint="default" w:ascii="Arial Regular" w:hAnsi="Arial Regular" w:cs="Arial Regular"/>
                <w:sz w:val="22"/>
                <w:szCs w:val="22"/>
              </w:rPr>
              <w:t xml:space="preserve">Liu, J. and Li, Z. (2022) </w:t>
            </w:r>
            <w:r>
              <w:rPr>
                <w:rFonts w:hint="default" w:ascii="Arial Regular" w:hAnsi="Arial Regular" w:cs="Arial Regular"/>
                <w:i/>
                <w:iCs/>
                <w:sz w:val="22"/>
                <w:szCs w:val="22"/>
              </w:rPr>
              <w:t>Online and offline mixed teaching practice of ‘Broadcast and sound’ course based on SPOC model 基于SPOC模式的‘播音发声’课程线上线下混合式教学实践 - CNKI</w:t>
            </w:r>
            <w:r>
              <w:rPr>
                <w:rFonts w:hint="default" w:ascii="Arial Regular" w:hAnsi="Arial Regular" w:cs="Arial Regular"/>
                <w:sz w:val="22"/>
                <w:szCs w:val="22"/>
              </w:rPr>
              <w:t xml:space="preserve">, </w:t>
            </w:r>
            <w:r>
              <w:rPr>
                <w:rFonts w:hint="default" w:ascii="Arial Regular" w:hAnsi="Arial Regular" w:cs="Arial Regular"/>
                <w:i/>
                <w:iCs/>
                <w:sz w:val="22"/>
                <w:szCs w:val="22"/>
              </w:rPr>
              <w:t>Cnki.net</w:t>
            </w:r>
            <w:r>
              <w:rPr>
                <w:rFonts w:hint="default" w:ascii="Arial Regular" w:hAnsi="Arial Regular" w:cs="Arial Regular"/>
                <w:sz w:val="22"/>
                <w:szCs w:val="22"/>
              </w:rPr>
              <w:t>. Available at: https://www.cnki.net/KCMS/detail/detail.aspx?dbcode=CJFD&amp;dbname=CJFDLAST2022&amp;filename=CMEI202219032&amp;uniplatform=OVERSEA&amp;v=gVlrdNMe88Dya9qMDVzPLJ9VwyG4C_0lurzBHUFT7ss9VBOfvReun0kd3jd5kZF0 (Accessed: 6 November 2024).</w:t>
            </w:r>
          </w:p>
          <w:p>
            <w:pPr>
              <w:pStyle w:val="11"/>
              <w:keepNext w:val="0"/>
              <w:keepLines w:val="0"/>
              <w:widowControl/>
              <w:suppressLineNumbers w:val="0"/>
              <w:spacing w:before="0" w:beforeAutospacing="0" w:after="210" w:afterAutospacing="0" w:line="360" w:lineRule="auto"/>
              <w:rPr>
                <w:rFonts w:hint="default" w:ascii="Arial Regular" w:hAnsi="Arial Regular" w:cs="Arial Regular"/>
                <w:sz w:val="22"/>
                <w:szCs w:val="22"/>
              </w:rPr>
            </w:pPr>
            <w:r>
              <w:rPr>
                <w:rFonts w:hint="eastAsia" w:ascii="Arial Regular" w:hAnsi="Arial Regular" w:eastAsia="宋体" w:cs="Arial Regular"/>
                <w:sz w:val="22"/>
                <w:szCs w:val="22"/>
                <w:lang w:val="en-US" w:eastAsia="zh-CN"/>
              </w:rPr>
              <w:t>7.</w:t>
            </w:r>
            <w:r>
              <w:rPr>
                <w:rFonts w:hint="default" w:ascii="Arial Regular" w:hAnsi="Arial Regular" w:cs="Arial Regular"/>
                <w:sz w:val="22"/>
                <w:szCs w:val="22"/>
              </w:rPr>
              <w:t xml:space="preserve">Liu, N. (2017) </w:t>
            </w:r>
            <w:r>
              <w:rPr>
                <w:rFonts w:hint="default" w:ascii="Arial Regular" w:hAnsi="Arial Regular" w:cs="Arial Regular"/>
                <w:i/>
                <w:iCs/>
                <w:sz w:val="22"/>
                <w:szCs w:val="22"/>
              </w:rPr>
              <w:t>Discussion on the practical reform of Mandarin Pronunciation and Broadcasting Pronunciation Course《普通话语音和播音发声》课程实践改革探讨 - CNKI</w:t>
            </w:r>
            <w:r>
              <w:rPr>
                <w:rFonts w:hint="default" w:ascii="Arial Regular" w:hAnsi="Arial Regular" w:cs="Arial Regular"/>
                <w:sz w:val="22"/>
                <w:szCs w:val="22"/>
              </w:rPr>
              <w:t xml:space="preserve">, </w:t>
            </w:r>
            <w:r>
              <w:rPr>
                <w:rFonts w:hint="default" w:ascii="Arial Regular" w:hAnsi="Arial Regular" w:cs="Arial Regular"/>
                <w:i/>
                <w:iCs/>
                <w:sz w:val="22"/>
                <w:szCs w:val="22"/>
              </w:rPr>
              <w:t>Cnki.net</w:t>
            </w:r>
            <w:r>
              <w:rPr>
                <w:rFonts w:hint="default" w:ascii="Arial Regular" w:hAnsi="Arial Regular" w:cs="Arial Regular"/>
                <w:sz w:val="22"/>
                <w:szCs w:val="22"/>
              </w:rPr>
              <w:t>. Available at: https://www.cnki.net/KCMS/detail/detail.aspx?dbcode=CJFD&amp;dbname=CJFDLAST2018&amp;filename=ZNDS201716193&amp;uniplatform=OVERSEA&amp;v=ZzzmOvhjASYVcUp32AcaAKuw7soilepmavwyA9VJ9QOLdOtR7QvMYqRU5crKxjKU (Accessed: 6 November 2024).</w:t>
            </w:r>
          </w:p>
          <w:p>
            <w:pPr>
              <w:pStyle w:val="11"/>
              <w:keepNext w:val="0"/>
              <w:keepLines w:val="0"/>
              <w:widowControl/>
              <w:suppressLineNumbers w:val="0"/>
              <w:spacing w:before="0" w:beforeAutospacing="0" w:after="210" w:afterAutospacing="0" w:line="360" w:lineRule="auto"/>
              <w:rPr>
                <w:rFonts w:hint="default" w:ascii="Arial Regular" w:hAnsi="Arial Regular" w:cs="Arial Regular"/>
                <w:sz w:val="22"/>
                <w:szCs w:val="22"/>
              </w:rPr>
            </w:pPr>
            <w:r>
              <w:rPr>
                <w:rFonts w:hint="eastAsia" w:ascii="Arial Regular" w:hAnsi="Arial Regular" w:eastAsia="宋体" w:cs="Arial Regular"/>
                <w:sz w:val="22"/>
                <w:szCs w:val="22"/>
                <w:lang w:val="en-US" w:eastAsia="zh-CN"/>
              </w:rPr>
              <w:t>8.</w:t>
            </w:r>
            <w:r>
              <w:rPr>
                <w:rFonts w:hint="default" w:ascii="Arial Regular" w:hAnsi="Arial Regular" w:cs="Arial Regular"/>
                <w:sz w:val="22"/>
                <w:szCs w:val="22"/>
              </w:rPr>
              <w:t xml:space="preserve">Martin, E. (2006) </w:t>
            </w:r>
            <w:r>
              <w:rPr>
                <w:rFonts w:hint="default" w:ascii="Arial Regular" w:hAnsi="Arial Regular" w:cs="Arial Regular"/>
                <w:i/>
                <w:iCs/>
                <w:sz w:val="22"/>
                <w:szCs w:val="22"/>
              </w:rPr>
              <w:t>Survey Questionnaire Construction</w:t>
            </w:r>
            <w:r>
              <w:rPr>
                <w:rFonts w:hint="default" w:ascii="Arial Regular" w:hAnsi="Arial Regular" w:cs="Arial Regular"/>
                <w:sz w:val="22"/>
                <w:szCs w:val="22"/>
              </w:rPr>
              <w:t>. Available at: https://www.census.gov/content/dam/Census/library/working-papers/2006/adrm/rsm2006-13.pdf.</w:t>
            </w:r>
          </w:p>
          <w:p>
            <w:pPr>
              <w:pStyle w:val="11"/>
              <w:keepNext w:val="0"/>
              <w:keepLines w:val="0"/>
              <w:widowControl/>
              <w:suppressLineNumbers w:val="0"/>
              <w:spacing w:before="0" w:beforeAutospacing="0" w:after="210" w:afterAutospacing="0" w:line="360" w:lineRule="auto"/>
              <w:rPr>
                <w:rFonts w:hint="default" w:ascii="Arial Regular" w:hAnsi="Arial Regular" w:cs="Arial Regular"/>
                <w:sz w:val="22"/>
                <w:szCs w:val="22"/>
              </w:rPr>
            </w:pPr>
            <w:r>
              <w:rPr>
                <w:rFonts w:hint="eastAsia" w:ascii="Arial Regular" w:hAnsi="Arial Regular" w:eastAsia="宋体" w:cs="Arial Regular"/>
                <w:sz w:val="22"/>
                <w:szCs w:val="22"/>
                <w:lang w:val="en-US" w:eastAsia="zh-CN"/>
              </w:rPr>
              <w:t>9.</w:t>
            </w:r>
            <w:r>
              <w:rPr>
                <w:rFonts w:hint="default" w:ascii="Arial Regular" w:hAnsi="Arial Regular" w:cs="Arial Regular"/>
                <w:sz w:val="22"/>
                <w:szCs w:val="22"/>
              </w:rPr>
              <w:t xml:space="preserve">Morgan, G.M. and Al, E. (2002) </w:t>
            </w:r>
            <w:r>
              <w:rPr>
                <w:rFonts w:hint="default" w:ascii="Arial Regular" w:hAnsi="Arial Regular" w:cs="Arial Regular"/>
                <w:i/>
                <w:iCs/>
                <w:sz w:val="22"/>
                <w:szCs w:val="22"/>
              </w:rPr>
              <w:t>Risk communication : a mental models approach</w:t>
            </w:r>
            <w:r>
              <w:rPr>
                <w:rFonts w:hint="default" w:ascii="Arial Regular" w:hAnsi="Arial Regular" w:cs="Arial Regular"/>
                <w:sz w:val="22"/>
                <w:szCs w:val="22"/>
              </w:rPr>
              <w:t>. Cambridge: Cambridge University Press.</w:t>
            </w:r>
          </w:p>
          <w:p>
            <w:pPr>
              <w:pStyle w:val="11"/>
              <w:keepNext w:val="0"/>
              <w:keepLines w:val="0"/>
              <w:widowControl/>
              <w:suppressLineNumbers w:val="0"/>
              <w:spacing w:before="0" w:beforeAutospacing="0" w:after="210" w:afterAutospacing="0" w:line="360" w:lineRule="auto"/>
              <w:rPr>
                <w:rFonts w:hint="default" w:ascii="Arial Regular" w:hAnsi="Arial Regular" w:cs="Arial Regular"/>
                <w:sz w:val="22"/>
                <w:szCs w:val="22"/>
              </w:rPr>
            </w:pPr>
            <w:r>
              <w:rPr>
                <w:rFonts w:hint="eastAsia" w:ascii="Arial Regular" w:hAnsi="Arial Regular" w:eastAsia="宋体" w:cs="Arial Regular"/>
                <w:sz w:val="22"/>
                <w:szCs w:val="22"/>
                <w:lang w:val="en-US" w:eastAsia="zh-CN"/>
              </w:rPr>
              <w:t>10.</w:t>
            </w:r>
            <w:r>
              <w:rPr>
                <w:rFonts w:hint="default" w:ascii="Arial Regular" w:hAnsi="Arial Regular" w:cs="Arial Regular"/>
                <w:sz w:val="22"/>
                <w:szCs w:val="22"/>
              </w:rPr>
              <w:t xml:space="preserve">Xie, C. (2024) </w:t>
            </w:r>
            <w:r>
              <w:rPr>
                <w:rFonts w:hint="default" w:ascii="Arial Regular" w:hAnsi="Arial Regular" w:cs="Arial Regular"/>
                <w:i/>
                <w:iCs/>
                <w:sz w:val="22"/>
                <w:szCs w:val="22"/>
              </w:rPr>
              <w:t>Research on Talent Cultivation Strategies for Broadcasting and Hosting Majors in Universities - CNKI</w:t>
            </w:r>
            <w:r>
              <w:rPr>
                <w:rFonts w:hint="default" w:ascii="Arial Regular" w:hAnsi="Arial Regular" w:cs="Arial Regular"/>
                <w:sz w:val="22"/>
                <w:szCs w:val="22"/>
              </w:rPr>
              <w:t xml:space="preserve">, </w:t>
            </w:r>
            <w:r>
              <w:rPr>
                <w:rFonts w:hint="default" w:ascii="Arial Regular" w:hAnsi="Arial Regular" w:cs="Arial Regular"/>
                <w:i/>
                <w:iCs/>
                <w:sz w:val="22"/>
                <w:szCs w:val="22"/>
              </w:rPr>
              <w:t>Cnki.net</w:t>
            </w:r>
            <w:r>
              <w:rPr>
                <w:rFonts w:hint="default" w:ascii="Arial Regular" w:hAnsi="Arial Regular" w:cs="Arial Regular"/>
                <w:sz w:val="22"/>
                <w:szCs w:val="22"/>
              </w:rPr>
              <w:t>. Available at: https://www.cnki.net/KCMS/detail/detail.aspx?dbcode=CJFD&amp;dbname=CJFDAUTO&amp;filename=XWDK202418027&amp;uniplatform=OVERSEA&amp;v=HikDnwt74qCWDwju0WcQdHtyat3QIEwy4luin_YJ-eGDKgrMhQTcOjAfUioxyTyi (Accessed: 6 November 2024).</w:t>
            </w:r>
          </w:p>
          <w:p>
            <w:pPr>
              <w:rPr>
                <w:rFonts w:cs="Arial"/>
                <w:sz w:val="22"/>
                <w:szCs w:val="22"/>
              </w:rPr>
            </w:pPr>
          </w:p>
          <w:p>
            <w:pPr>
              <w:rPr>
                <w:rFonts w:cs="Arial"/>
                <w:sz w:val="22"/>
                <w:szCs w:val="22"/>
              </w:rPr>
            </w:pPr>
          </w:p>
        </w:tc>
      </w:tr>
    </w:tbl>
    <w:p>
      <w:pPr>
        <w:jc w:val="center"/>
        <w:rPr>
          <w:rFonts w:cs="Arial"/>
          <w:sz w:val="22"/>
          <w:szCs w:val="22"/>
        </w:rPr>
      </w:pPr>
    </w:p>
    <w:sectPr>
      <w:headerReference r:id="rId3" w:type="default"/>
      <w:footerReference r:id="rId4" w:type="default"/>
      <w:pgSz w:w="11906" w:h="16838"/>
      <w:pgMar w:top="1701" w:right="1440" w:bottom="1440" w:left="1440" w:header="284" w:footer="709"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Arial">
    <w:panose1 w:val="020B0604020202090204"/>
    <w:charset w:val="00"/>
    <w:family w:val="swiss"/>
    <w:pitch w:val="default"/>
    <w:sig w:usb0="E0000AFF" w:usb1="00007843" w:usb2="00000001" w:usb3="00000000" w:csb0="400001BF" w:csb1="DFF70000"/>
  </w:font>
  <w:font w:name="Tahoma">
    <w:panose1 w:val="020B0604030504040204"/>
    <w:charset w:val="00"/>
    <w:family w:val="swiss"/>
    <w:pitch w:val="default"/>
    <w:sig w:usb0="E1002AFF" w:usb1="C000605B" w:usb2="00000029" w:usb3="00000000" w:csb0="200101FF" w:csb1="20280000"/>
  </w:font>
  <w:font w:name="MS Gothic">
    <w:altName w:val="Hiragino Sans"/>
    <w:panose1 w:val="020B0609070205080204"/>
    <w:charset w:val="80"/>
    <w:family w:val="modern"/>
    <w:pitch w:val="default"/>
    <w:sig w:usb0="00000000" w:usb1="00000000" w:usb2="08000012" w:usb3="00000000" w:csb0="0002009F" w:csb1="00000000"/>
  </w:font>
  <w:font w:name="冬青黑体简体中文">
    <w:panose1 w:val="020B0300000000000000"/>
    <w:charset w:val="86"/>
    <w:family w:val="auto"/>
    <w:pitch w:val="default"/>
    <w:sig w:usb0="A00002BF" w:usb1="1ACF7CFA" w:usb2="00000016" w:usb3="00000000" w:csb0="00060007" w:csb1="00000000"/>
  </w:font>
  <w:font w:name="Hiragino Sans">
    <w:panose1 w:val="020B0300000000000000"/>
    <w:charset w:val="80"/>
    <w:family w:val="auto"/>
    <w:pitch w:val="default"/>
    <w:sig w:usb0="E00002FF" w:usb1="7AE7FFFF" w:usb2="00000012" w:usb3="00000000" w:csb0="0002000D" w:csb1="00000000"/>
  </w:font>
  <w:font w:name="Arial Unicode MS">
    <w:panose1 w:val="020B0604020202020204"/>
    <w:charset w:val="86"/>
    <w:family w:val="auto"/>
    <w:pitch w:val="default"/>
    <w:sig w:usb0="FFFFFFFF" w:usb1="E9FFFFFF" w:usb2="0000003F" w:usb3="00000000" w:csb0="603F01FF" w:csb1="FFFF0000"/>
  </w:font>
  <w:font w:name="PingFang SC">
    <w:panose1 w:val="020B0400000000000000"/>
    <w:charset w:val="86"/>
    <w:family w:val="auto"/>
    <w:pitch w:val="default"/>
    <w:sig w:usb0="A00002FF" w:usb1="7ACFFDFB" w:usb2="00000017" w:usb3="00000000" w:csb0="00040001"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宋体-简">
    <w:panose1 w:val="02010800040101010101"/>
    <w:charset w:val="86"/>
    <w:family w:val="auto"/>
    <w:pitch w:val="default"/>
    <w:sig w:usb0="00000001" w:usb1="080F0000" w:usb2="00000000" w:usb3="00000000" w:csb0="00040000" w:csb1="00000000"/>
  </w:font>
  <w:font w:name="Arial Bold">
    <w:panose1 w:val="020B0604020202090204"/>
    <w:charset w:val="00"/>
    <w:family w:val="auto"/>
    <w:pitch w:val="default"/>
    <w:sig w:usb0="E0000AFF" w:usb1="00007843" w:usb2="00000001" w:usb3="00000000" w:csb0="400001BF" w:csb1="DFF70000"/>
  </w:font>
  <w:font w:name="Arial Regular">
    <w:panose1 w:val="020B0604020202090204"/>
    <w:charset w:val="00"/>
    <w:family w:val="auto"/>
    <w:pitch w:val="default"/>
    <w:sig w:usb0="E0000AFF" w:usb1="00007843" w:usb2="00000001" w:usb3="00000000" w:csb0="4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sdt>
      <w:sdtPr>
        <w:id w:val="1691110303"/>
        <w:docPartObj>
          <w:docPartGallery w:val="AutoText"/>
        </w:docPartObj>
      </w:sdtPr>
      <w:sdtContent>
        <w:r>
          <w:t>E</w:t>
        </w:r>
      </w:sdtContent>
    </w:sdt>
    <w:r>
      <w:t>CDE7018 Proposal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p>
    <w:pPr>
      <w:pStyle w:val="9"/>
      <w:jc w:val="right"/>
    </w:pPr>
    <w:r>
      <w:drawing>
        <wp:anchor distT="0" distB="0" distL="114300" distR="114300" simplePos="0" relativeHeight="251659264" behindDoc="0" locked="0" layoutInCell="1" allowOverlap="1">
          <wp:simplePos x="0" y="0"/>
          <wp:positionH relativeFrom="margin">
            <wp:posOffset>0</wp:posOffset>
          </wp:positionH>
          <wp:positionV relativeFrom="topMargin">
            <wp:posOffset>325755</wp:posOffset>
          </wp:positionV>
          <wp:extent cx="1788795" cy="596265"/>
          <wp:effectExtent l="0" t="0" r="1905" b="0"/>
          <wp:wrapNone/>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88795" cy="596265"/>
                  </a:xfrm>
                  <a:prstGeom prst="rect">
                    <a:avLst/>
                  </a:prstGeom>
                  <a:noFill/>
                </pic:spPr>
              </pic:pic>
            </a:graphicData>
          </a:graphic>
        </wp:anchor>
      </w:drawing>
    </w:r>
    <w:r>
      <w:tab/>
    </w:r>
    <w:r>
      <w:tab/>
    </w:r>
    <w:r>
      <w:t>Assessment Component 1</w:t>
    </w:r>
  </w:p>
  <w:p>
    <w:pPr>
      <w:pStyle w:val="9"/>
    </w:pPr>
  </w:p>
  <w:p>
    <w:pPr>
      <w:pStyle w:val="9"/>
    </w:pPr>
  </w:p>
  <w:p>
    <w:pPr>
      <w:pStyle w:val="9"/>
    </w:pPr>
  </w:p>
  <w:p>
    <w:pPr>
      <w:pStyle w:val="9"/>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6"/>
  <w:doNotDisplayPageBoundaries w:val="1"/>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isplayHorizontalDrawingGridEvery w:val="1"/>
  <w:displayVerticalDrawingGridEvery w:val="1"/>
  <w:doNotUseMarginsForDrawingGridOrigin w:val="1"/>
  <w:drawingGridHorizontalOrigin w:val="1800"/>
  <w:drawingGridVerticalOrigin w:val="1440"/>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54D"/>
    <w:rsid w:val="0000503B"/>
    <w:rsid w:val="00005E62"/>
    <w:rsid w:val="00013F62"/>
    <w:rsid w:val="00015367"/>
    <w:rsid w:val="00016D31"/>
    <w:rsid w:val="00027160"/>
    <w:rsid w:val="00030DDF"/>
    <w:rsid w:val="00041A6B"/>
    <w:rsid w:val="00047225"/>
    <w:rsid w:val="00054BFD"/>
    <w:rsid w:val="00055046"/>
    <w:rsid w:val="00056718"/>
    <w:rsid w:val="00095F33"/>
    <w:rsid w:val="000B43A7"/>
    <w:rsid w:val="000C1D53"/>
    <w:rsid w:val="000C4198"/>
    <w:rsid w:val="000C6D22"/>
    <w:rsid w:val="000D166A"/>
    <w:rsid w:val="000D3D72"/>
    <w:rsid w:val="000F5B56"/>
    <w:rsid w:val="0010084E"/>
    <w:rsid w:val="001217FD"/>
    <w:rsid w:val="00121AC3"/>
    <w:rsid w:val="001400B5"/>
    <w:rsid w:val="00141DF3"/>
    <w:rsid w:val="0015311B"/>
    <w:rsid w:val="00154D0F"/>
    <w:rsid w:val="00157905"/>
    <w:rsid w:val="00165D23"/>
    <w:rsid w:val="00166B83"/>
    <w:rsid w:val="00172F4C"/>
    <w:rsid w:val="00173CC3"/>
    <w:rsid w:val="00176160"/>
    <w:rsid w:val="00185554"/>
    <w:rsid w:val="001B1EEF"/>
    <w:rsid w:val="001C367F"/>
    <w:rsid w:val="001C6B27"/>
    <w:rsid w:val="001D074C"/>
    <w:rsid w:val="001F47B0"/>
    <w:rsid w:val="001F5E3E"/>
    <w:rsid w:val="002114E6"/>
    <w:rsid w:val="0022098F"/>
    <w:rsid w:val="00221A9E"/>
    <w:rsid w:val="00222D05"/>
    <w:rsid w:val="0022643E"/>
    <w:rsid w:val="002370BA"/>
    <w:rsid w:val="0024548B"/>
    <w:rsid w:val="00246903"/>
    <w:rsid w:val="00261C5C"/>
    <w:rsid w:val="00280DF9"/>
    <w:rsid w:val="00284E60"/>
    <w:rsid w:val="00287BD7"/>
    <w:rsid w:val="00291900"/>
    <w:rsid w:val="00293B33"/>
    <w:rsid w:val="002B16CB"/>
    <w:rsid w:val="002B5804"/>
    <w:rsid w:val="002E0D27"/>
    <w:rsid w:val="002E240C"/>
    <w:rsid w:val="002F3407"/>
    <w:rsid w:val="002F62BD"/>
    <w:rsid w:val="00303F2E"/>
    <w:rsid w:val="003064A7"/>
    <w:rsid w:val="0031458B"/>
    <w:rsid w:val="003155A9"/>
    <w:rsid w:val="00325CBE"/>
    <w:rsid w:val="003275B0"/>
    <w:rsid w:val="003317EE"/>
    <w:rsid w:val="00332B43"/>
    <w:rsid w:val="00335D74"/>
    <w:rsid w:val="0034191A"/>
    <w:rsid w:val="003519CA"/>
    <w:rsid w:val="00353C75"/>
    <w:rsid w:val="00363F74"/>
    <w:rsid w:val="00370831"/>
    <w:rsid w:val="00376A02"/>
    <w:rsid w:val="00391D2C"/>
    <w:rsid w:val="003A11E9"/>
    <w:rsid w:val="003A748D"/>
    <w:rsid w:val="003B4AF0"/>
    <w:rsid w:val="003C062E"/>
    <w:rsid w:val="003C5892"/>
    <w:rsid w:val="003C7969"/>
    <w:rsid w:val="003D62AF"/>
    <w:rsid w:val="003D7CD9"/>
    <w:rsid w:val="003E5663"/>
    <w:rsid w:val="003E7D6B"/>
    <w:rsid w:val="003F068E"/>
    <w:rsid w:val="003F4C86"/>
    <w:rsid w:val="003F7948"/>
    <w:rsid w:val="003F7D77"/>
    <w:rsid w:val="00404C72"/>
    <w:rsid w:val="004262CD"/>
    <w:rsid w:val="00430E87"/>
    <w:rsid w:val="004310AE"/>
    <w:rsid w:val="004375FD"/>
    <w:rsid w:val="004448A0"/>
    <w:rsid w:val="0045240A"/>
    <w:rsid w:val="00452942"/>
    <w:rsid w:val="00455BEF"/>
    <w:rsid w:val="00474F13"/>
    <w:rsid w:val="00475B50"/>
    <w:rsid w:val="00476944"/>
    <w:rsid w:val="00476E74"/>
    <w:rsid w:val="004971D4"/>
    <w:rsid w:val="004B251B"/>
    <w:rsid w:val="004B2A69"/>
    <w:rsid w:val="004E363A"/>
    <w:rsid w:val="004F22A4"/>
    <w:rsid w:val="004F5A06"/>
    <w:rsid w:val="00512288"/>
    <w:rsid w:val="005140FB"/>
    <w:rsid w:val="00516A38"/>
    <w:rsid w:val="005302A6"/>
    <w:rsid w:val="005363FE"/>
    <w:rsid w:val="005419D3"/>
    <w:rsid w:val="00541CFE"/>
    <w:rsid w:val="00542F6F"/>
    <w:rsid w:val="005513E3"/>
    <w:rsid w:val="0055230D"/>
    <w:rsid w:val="00555319"/>
    <w:rsid w:val="00556BFF"/>
    <w:rsid w:val="00557BD7"/>
    <w:rsid w:val="005608A4"/>
    <w:rsid w:val="005831C1"/>
    <w:rsid w:val="00595F5B"/>
    <w:rsid w:val="00595FC4"/>
    <w:rsid w:val="005A6F56"/>
    <w:rsid w:val="005B0886"/>
    <w:rsid w:val="005C0918"/>
    <w:rsid w:val="005C59F8"/>
    <w:rsid w:val="005D3C0C"/>
    <w:rsid w:val="005E0345"/>
    <w:rsid w:val="005E3CF6"/>
    <w:rsid w:val="005E60A7"/>
    <w:rsid w:val="005E73D5"/>
    <w:rsid w:val="00605A69"/>
    <w:rsid w:val="006151C5"/>
    <w:rsid w:val="00616987"/>
    <w:rsid w:val="00623825"/>
    <w:rsid w:val="0063119B"/>
    <w:rsid w:val="0063456A"/>
    <w:rsid w:val="00635A88"/>
    <w:rsid w:val="00643766"/>
    <w:rsid w:val="0064556F"/>
    <w:rsid w:val="00654638"/>
    <w:rsid w:val="00654D91"/>
    <w:rsid w:val="006551B2"/>
    <w:rsid w:val="00660727"/>
    <w:rsid w:val="006731F3"/>
    <w:rsid w:val="00677F77"/>
    <w:rsid w:val="00682636"/>
    <w:rsid w:val="0069594C"/>
    <w:rsid w:val="006B0899"/>
    <w:rsid w:val="006B20A7"/>
    <w:rsid w:val="006B582D"/>
    <w:rsid w:val="006C0F0D"/>
    <w:rsid w:val="006C170C"/>
    <w:rsid w:val="006C40EC"/>
    <w:rsid w:val="006C45FB"/>
    <w:rsid w:val="006D04D5"/>
    <w:rsid w:val="006D05CF"/>
    <w:rsid w:val="006D4C27"/>
    <w:rsid w:val="006D503F"/>
    <w:rsid w:val="006D7C2A"/>
    <w:rsid w:val="006F1BDC"/>
    <w:rsid w:val="006F4865"/>
    <w:rsid w:val="00702A7E"/>
    <w:rsid w:val="00703A24"/>
    <w:rsid w:val="00707BDE"/>
    <w:rsid w:val="0071332A"/>
    <w:rsid w:val="00717DFA"/>
    <w:rsid w:val="00753EDE"/>
    <w:rsid w:val="00763457"/>
    <w:rsid w:val="00795C79"/>
    <w:rsid w:val="007A0692"/>
    <w:rsid w:val="007A3641"/>
    <w:rsid w:val="007C2004"/>
    <w:rsid w:val="007C2A63"/>
    <w:rsid w:val="007C512A"/>
    <w:rsid w:val="007C755A"/>
    <w:rsid w:val="007E550E"/>
    <w:rsid w:val="007F6FC1"/>
    <w:rsid w:val="00802E0D"/>
    <w:rsid w:val="00816ED8"/>
    <w:rsid w:val="00820E04"/>
    <w:rsid w:val="00825E70"/>
    <w:rsid w:val="0083144B"/>
    <w:rsid w:val="00831EF8"/>
    <w:rsid w:val="00832FEA"/>
    <w:rsid w:val="00836FA9"/>
    <w:rsid w:val="008422EE"/>
    <w:rsid w:val="00855925"/>
    <w:rsid w:val="008571F8"/>
    <w:rsid w:val="00877A6B"/>
    <w:rsid w:val="008812C3"/>
    <w:rsid w:val="008859B3"/>
    <w:rsid w:val="0088683F"/>
    <w:rsid w:val="008876C0"/>
    <w:rsid w:val="008944DE"/>
    <w:rsid w:val="00896244"/>
    <w:rsid w:val="008A397A"/>
    <w:rsid w:val="008B15C8"/>
    <w:rsid w:val="008C0ACE"/>
    <w:rsid w:val="008C1EE6"/>
    <w:rsid w:val="008D129A"/>
    <w:rsid w:val="008D2E5D"/>
    <w:rsid w:val="008D505E"/>
    <w:rsid w:val="008E7086"/>
    <w:rsid w:val="008F0225"/>
    <w:rsid w:val="008F150A"/>
    <w:rsid w:val="008F3C22"/>
    <w:rsid w:val="008F5522"/>
    <w:rsid w:val="0090452C"/>
    <w:rsid w:val="00910A1E"/>
    <w:rsid w:val="0091552C"/>
    <w:rsid w:val="00915EFA"/>
    <w:rsid w:val="009178C4"/>
    <w:rsid w:val="00930CC7"/>
    <w:rsid w:val="0093374F"/>
    <w:rsid w:val="009353AC"/>
    <w:rsid w:val="009363F3"/>
    <w:rsid w:val="009368DD"/>
    <w:rsid w:val="009435B2"/>
    <w:rsid w:val="00950A56"/>
    <w:rsid w:val="00961E02"/>
    <w:rsid w:val="00962D90"/>
    <w:rsid w:val="00963EBE"/>
    <w:rsid w:val="009803A2"/>
    <w:rsid w:val="009905BC"/>
    <w:rsid w:val="00994CF9"/>
    <w:rsid w:val="009A0D4E"/>
    <w:rsid w:val="009A2302"/>
    <w:rsid w:val="009A654D"/>
    <w:rsid w:val="009A7385"/>
    <w:rsid w:val="009C7898"/>
    <w:rsid w:val="009E1467"/>
    <w:rsid w:val="009F3BE4"/>
    <w:rsid w:val="00A048DE"/>
    <w:rsid w:val="00A13514"/>
    <w:rsid w:val="00A15A7C"/>
    <w:rsid w:val="00A17E0A"/>
    <w:rsid w:val="00A26705"/>
    <w:rsid w:val="00A27F4D"/>
    <w:rsid w:val="00A4205A"/>
    <w:rsid w:val="00A45333"/>
    <w:rsid w:val="00A47731"/>
    <w:rsid w:val="00A62C1D"/>
    <w:rsid w:val="00A67160"/>
    <w:rsid w:val="00A80816"/>
    <w:rsid w:val="00A830D5"/>
    <w:rsid w:val="00AB0FB7"/>
    <w:rsid w:val="00AC147B"/>
    <w:rsid w:val="00AC4DCF"/>
    <w:rsid w:val="00AC6903"/>
    <w:rsid w:val="00AD4651"/>
    <w:rsid w:val="00AD516F"/>
    <w:rsid w:val="00AD5A94"/>
    <w:rsid w:val="00AF2941"/>
    <w:rsid w:val="00AF2AA3"/>
    <w:rsid w:val="00AF7BA9"/>
    <w:rsid w:val="00B079A2"/>
    <w:rsid w:val="00B12AB0"/>
    <w:rsid w:val="00B273A5"/>
    <w:rsid w:val="00B3408B"/>
    <w:rsid w:val="00B40C3F"/>
    <w:rsid w:val="00B65D5E"/>
    <w:rsid w:val="00B70B7E"/>
    <w:rsid w:val="00B718D3"/>
    <w:rsid w:val="00B84A54"/>
    <w:rsid w:val="00B8515A"/>
    <w:rsid w:val="00B95514"/>
    <w:rsid w:val="00BA3707"/>
    <w:rsid w:val="00BB2F10"/>
    <w:rsid w:val="00BD2727"/>
    <w:rsid w:val="00BD589F"/>
    <w:rsid w:val="00BD7EF3"/>
    <w:rsid w:val="00BE24D4"/>
    <w:rsid w:val="00BF0916"/>
    <w:rsid w:val="00C037ED"/>
    <w:rsid w:val="00C056C2"/>
    <w:rsid w:val="00C14717"/>
    <w:rsid w:val="00C20E5F"/>
    <w:rsid w:val="00C31ED6"/>
    <w:rsid w:val="00C45CE3"/>
    <w:rsid w:val="00C477B6"/>
    <w:rsid w:val="00C525D4"/>
    <w:rsid w:val="00C66E9A"/>
    <w:rsid w:val="00C74109"/>
    <w:rsid w:val="00C75F44"/>
    <w:rsid w:val="00C75F7C"/>
    <w:rsid w:val="00C856A1"/>
    <w:rsid w:val="00C943DE"/>
    <w:rsid w:val="00CA1E71"/>
    <w:rsid w:val="00CA4FBE"/>
    <w:rsid w:val="00CA65FC"/>
    <w:rsid w:val="00CA796D"/>
    <w:rsid w:val="00CB3E7A"/>
    <w:rsid w:val="00CB652D"/>
    <w:rsid w:val="00CC4AC2"/>
    <w:rsid w:val="00CC5FEA"/>
    <w:rsid w:val="00CD0196"/>
    <w:rsid w:val="00CD2785"/>
    <w:rsid w:val="00CD5B6B"/>
    <w:rsid w:val="00D01434"/>
    <w:rsid w:val="00D03BB7"/>
    <w:rsid w:val="00D122D0"/>
    <w:rsid w:val="00D215F0"/>
    <w:rsid w:val="00D25A52"/>
    <w:rsid w:val="00D46D22"/>
    <w:rsid w:val="00D56242"/>
    <w:rsid w:val="00D60565"/>
    <w:rsid w:val="00D62737"/>
    <w:rsid w:val="00D63189"/>
    <w:rsid w:val="00D70714"/>
    <w:rsid w:val="00D732FC"/>
    <w:rsid w:val="00D81082"/>
    <w:rsid w:val="00D83BB1"/>
    <w:rsid w:val="00DB03EA"/>
    <w:rsid w:val="00DB3960"/>
    <w:rsid w:val="00DC2AE7"/>
    <w:rsid w:val="00DD1E66"/>
    <w:rsid w:val="00DE3885"/>
    <w:rsid w:val="00DE54F9"/>
    <w:rsid w:val="00DF2827"/>
    <w:rsid w:val="00DF3FF2"/>
    <w:rsid w:val="00DF7459"/>
    <w:rsid w:val="00E03A7C"/>
    <w:rsid w:val="00E127C8"/>
    <w:rsid w:val="00E17B09"/>
    <w:rsid w:val="00E26E40"/>
    <w:rsid w:val="00E60894"/>
    <w:rsid w:val="00E76DFC"/>
    <w:rsid w:val="00E800B4"/>
    <w:rsid w:val="00E8752A"/>
    <w:rsid w:val="00E90E39"/>
    <w:rsid w:val="00E90FFB"/>
    <w:rsid w:val="00EA4DDB"/>
    <w:rsid w:val="00EB29E8"/>
    <w:rsid w:val="00EC2239"/>
    <w:rsid w:val="00ED34D1"/>
    <w:rsid w:val="00EE3F65"/>
    <w:rsid w:val="00EE49AE"/>
    <w:rsid w:val="00EE4E91"/>
    <w:rsid w:val="00F02051"/>
    <w:rsid w:val="00F15764"/>
    <w:rsid w:val="00F20553"/>
    <w:rsid w:val="00F26723"/>
    <w:rsid w:val="00F274DA"/>
    <w:rsid w:val="00F340BA"/>
    <w:rsid w:val="00F343C8"/>
    <w:rsid w:val="00F377CD"/>
    <w:rsid w:val="00F41F11"/>
    <w:rsid w:val="00F50670"/>
    <w:rsid w:val="00F6356A"/>
    <w:rsid w:val="00F65BA4"/>
    <w:rsid w:val="00F65ECA"/>
    <w:rsid w:val="00F678E5"/>
    <w:rsid w:val="00F7569E"/>
    <w:rsid w:val="00F77B80"/>
    <w:rsid w:val="00F8710D"/>
    <w:rsid w:val="00F90183"/>
    <w:rsid w:val="00F901BB"/>
    <w:rsid w:val="00F9606E"/>
    <w:rsid w:val="00FC1870"/>
    <w:rsid w:val="00FD60D8"/>
    <w:rsid w:val="00FD70D5"/>
    <w:rsid w:val="00FE3258"/>
    <w:rsid w:val="00FF5FBE"/>
    <w:rsid w:val="0EAFDD84"/>
    <w:rsid w:val="5BFB1D28"/>
    <w:rsid w:val="5F7D8736"/>
    <w:rsid w:val="7F378143"/>
    <w:rsid w:val="7FF352D1"/>
    <w:rsid w:val="8EDF6212"/>
    <w:rsid w:val="CE1FE234"/>
    <w:rsid w:val="D71CCEA5"/>
    <w:rsid w:val="EFBCFB7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Arial" w:hAnsi="Arial" w:eastAsia="Times New Roman" w:cs="Times New Roman"/>
      <w:lang w:val="en-GB" w:eastAsia="en-GB" w:bidi="ar-SA"/>
    </w:rPr>
  </w:style>
  <w:style w:type="paragraph" w:styleId="2">
    <w:name w:val="heading 1"/>
    <w:basedOn w:val="1"/>
    <w:next w:val="1"/>
    <w:qFormat/>
    <w:uiPriority w:val="0"/>
    <w:pPr>
      <w:keepNext/>
      <w:outlineLvl w:val="0"/>
    </w:pPr>
    <w:rPr>
      <w:b/>
    </w:rPr>
  </w:style>
  <w:style w:type="paragraph" w:styleId="3">
    <w:name w:val="heading 2"/>
    <w:basedOn w:val="1"/>
    <w:next w:val="1"/>
    <w:qFormat/>
    <w:uiPriority w:val="0"/>
    <w:pPr>
      <w:keepNext/>
      <w:spacing w:before="240" w:after="60"/>
      <w:outlineLvl w:val="1"/>
    </w:pPr>
    <w:rPr>
      <w:b/>
      <w:i/>
      <w:sz w:val="24"/>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3"/>
    <w:semiHidden/>
    <w:unhideWhenUsed/>
    <w:qFormat/>
    <w:uiPriority w:val="99"/>
    <w:rPr>
      <w:lang w:val="zh-CN" w:eastAsia="zh-CN"/>
    </w:rPr>
  </w:style>
  <w:style w:type="paragraph" w:styleId="5">
    <w:name w:val="Body Text"/>
    <w:basedOn w:val="1"/>
    <w:qFormat/>
    <w:uiPriority w:val="0"/>
    <w:pPr>
      <w:jc w:val="both"/>
    </w:pPr>
    <w:rPr>
      <w:b/>
    </w:rPr>
  </w:style>
  <w:style w:type="paragraph" w:styleId="6">
    <w:name w:val="Block Text"/>
    <w:basedOn w:val="1"/>
    <w:uiPriority w:val="0"/>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7">
    <w:name w:val="Balloon Text"/>
    <w:basedOn w:val="1"/>
    <w:semiHidden/>
    <w:qFormat/>
    <w:uiPriority w:val="0"/>
    <w:rPr>
      <w:rFonts w:ascii="Tahoma" w:hAnsi="Tahoma" w:cs="Tahoma"/>
      <w:sz w:val="16"/>
      <w:szCs w:val="16"/>
    </w:rPr>
  </w:style>
  <w:style w:type="paragraph" w:styleId="8">
    <w:name w:val="footer"/>
    <w:basedOn w:val="1"/>
    <w:link w:val="25"/>
    <w:qFormat/>
    <w:uiPriority w:val="99"/>
    <w:pPr>
      <w:tabs>
        <w:tab w:val="center" w:pos="4320"/>
        <w:tab w:val="right" w:pos="8640"/>
      </w:tabs>
    </w:pPr>
  </w:style>
  <w:style w:type="paragraph" w:styleId="9">
    <w:name w:val="header"/>
    <w:basedOn w:val="1"/>
    <w:qFormat/>
    <w:uiPriority w:val="0"/>
    <w:pPr>
      <w:tabs>
        <w:tab w:val="center" w:pos="4320"/>
        <w:tab w:val="right" w:pos="8640"/>
      </w:tabs>
    </w:pPr>
  </w:style>
  <w:style w:type="paragraph" w:styleId="10">
    <w:name w:val="footnote text"/>
    <w:basedOn w:val="1"/>
    <w:semiHidden/>
    <w:qFormat/>
    <w:uiPriority w:val="0"/>
  </w:style>
  <w:style w:type="paragraph" w:styleId="11">
    <w:name w:val="Normal (Web)"/>
    <w:basedOn w:val="1"/>
    <w:semiHidden/>
    <w:unhideWhenUsed/>
    <w:uiPriority w:val="99"/>
    <w:pPr>
      <w:spacing w:before="100" w:beforeAutospacing="1" w:after="100" w:afterAutospacing="1"/>
    </w:pPr>
    <w:rPr>
      <w:rFonts w:ascii="Times New Roman" w:hAnsi="Times New Roman"/>
      <w:sz w:val="24"/>
      <w:szCs w:val="24"/>
    </w:rPr>
  </w:style>
  <w:style w:type="paragraph" w:styleId="12">
    <w:name w:val="annotation subject"/>
    <w:basedOn w:val="4"/>
    <w:next w:val="4"/>
    <w:link w:val="24"/>
    <w:semiHidden/>
    <w:unhideWhenUsed/>
    <w:qFormat/>
    <w:uiPriority w:val="99"/>
    <w:rPr>
      <w:b/>
      <w:bCs/>
    </w:rPr>
  </w:style>
  <w:style w:type="table" w:styleId="14">
    <w:name w:val="Table Grid"/>
    <w:basedOn w:val="1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qFormat/>
    <w:uiPriority w:val="22"/>
    <w:rPr>
      <w:b/>
      <w:bCs/>
    </w:rPr>
  </w:style>
  <w:style w:type="character" w:styleId="17">
    <w:name w:val="FollowedHyperlink"/>
    <w:qFormat/>
    <w:uiPriority w:val="0"/>
    <w:rPr>
      <w:color w:val="800080"/>
      <w:u w:val="single"/>
    </w:rPr>
  </w:style>
  <w:style w:type="character" w:styleId="18">
    <w:name w:val="Hyperlink"/>
    <w:qFormat/>
    <w:uiPriority w:val="0"/>
    <w:rPr>
      <w:color w:val="0000FF"/>
      <w:u w:val="single"/>
    </w:rPr>
  </w:style>
  <w:style w:type="character" w:styleId="19">
    <w:name w:val="annotation reference"/>
    <w:semiHidden/>
    <w:unhideWhenUsed/>
    <w:qFormat/>
    <w:uiPriority w:val="99"/>
    <w:rPr>
      <w:sz w:val="16"/>
      <w:szCs w:val="16"/>
    </w:rPr>
  </w:style>
  <w:style w:type="character" w:styleId="20">
    <w:name w:val="footnote reference"/>
    <w:semiHidden/>
    <w:qFormat/>
    <w:uiPriority w:val="0"/>
    <w:rPr>
      <w:vertAlign w:val="superscript"/>
    </w:rPr>
  </w:style>
  <w:style w:type="paragraph" w:customStyle="1" w:styleId="21">
    <w:name w:val="Heading Erasmod"/>
    <w:basedOn w:val="3"/>
    <w:qFormat/>
    <w:uiPriority w:val="0"/>
    <w:pPr>
      <w:pBdr>
        <w:top w:val="single" w:color="auto" w:sz="6" w:space="1"/>
        <w:left w:val="single" w:color="auto" w:sz="6" w:space="1"/>
        <w:bottom w:val="single" w:color="auto" w:sz="6" w:space="1"/>
        <w:right w:val="single" w:color="auto" w:sz="6" w:space="1"/>
      </w:pBdr>
      <w:spacing w:before="0" w:after="120"/>
    </w:pPr>
    <w:rPr>
      <w:i w:val="0"/>
      <w:caps/>
      <w:sz w:val="28"/>
    </w:rPr>
  </w:style>
  <w:style w:type="paragraph" w:customStyle="1" w:styleId="22">
    <w:name w:val="Medium List 2 - Accent 21"/>
    <w:hidden/>
    <w:semiHidden/>
    <w:qFormat/>
    <w:uiPriority w:val="99"/>
    <w:rPr>
      <w:rFonts w:ascii="Arial" w:hAnsi="Arial" w:eastAsia="Times New Roman" w:cs="Times New Roman"/>
      <w:lang w:val="en-GB" w:eastAsia="en-GB" w:bidi="ar-SA"/>
    </w:rPr>
  </w:style>
  <w:style w:type="character" w:customStyle="1" w:styleId="23">
    <w:name w:val="Comment Text Char"/>
    <w:link w:val="4"/>
    <w:semiHidden/>
    <w:qFormat/>
    <w:uiPriority w:val="99"/>
    <w:rPr>
      <w:rFonts w:ascii="Arial" w:hAnsi="Arial"/>
    </w:rPr>
  </w:style>
  <w:style w:type="character" w:customStyle="1" w:styleId="24">
    <w:name w:val="Comment Subject Char"/>
    <w:link w:val="12"/>
    <w:semiHidden/>
    <w:uiPriority w:val="99"/>
    <w:rPr>
      <w:rFonts w:ascii="Arial" w:hAnsi="Arial"/>
      <w:b/>
      <w:bCs/>
    </w:rPr>
  </w:style>
  <w:style w:type="character" w:customStyle="1" w:styleId="25">
    <w:name w:val="Footer Char"/>
    <w:link w:val="8"/>
    <w:uiPriority w:val="99"/>
    <w:rPr>
      <w:rFonts w:ascii="Arial" w:hAnsi="Arial"/>
    </w:rPr>
  </w:style>
  <w:style w:type="paragraph" w:styleId="26">
    <w:name w:val="List Paragraph"/>
    <w:basedOn w:val="1"/>
    <w:qFormat/>
    <w:uiPriority w:val="99"/>
    <w:pPr>
      <w:ind w:left="720"/>
    </w:pPr>
  </w:style>
  <w:style w:type="paragraph" w:customStyle="1" w:styleId="27">
    <w:name w:val="Revision"/>
    <w:hidden/>
    <w:semiHidden/>
    <w:qFormat/>
    <w:uiPriority w:val="99"/>
    <w:rPr>
      <w:rFonts w:ascii="Arial" w:hAnsi="Arial" w:eastAsia="Times New Roman" w:cs="Times New Roman"/>
      <w:lang w:val="en-GB" w:eastAsia="en-GB" w:bidi="ar-SA"/>
    </w:rPr>
  </w:style>
  <w:style w:type="paragraph" w:styleId="28">
    <w:name w:val="No Spacing"/>
    <w:qFormat/>
    <w:uiPriority w:val="99"/>
    <w:pPr>
      <w:overflowPunct w:val="0"/>
      <w:autoSpaceDE w:val="0"/>
      <w:autoSpaceDN w:val="0"/>
      <w:adjustRightInd w:val="0"/>
    </w:pPr>
    <w:rPr>
      <w:rFonts w:ascii="Calibri" w:hAnsi="Calibri" w:eastAsia="Times New Roman" w:cs="Times New Roman"/>
      <w:sz w:val="22"/>
      <w:lang w:val="en-GB" w:eastAsia="en-US" w:bidi="ar-SA"/>
    </w:rPr>
  </w:style>
  <w:style w:type="character" w:customStyle="1" w:styleId="29">
    <w:name w:val="Unresolved Mention1"/>
    <w:basedOn w:val="15"/>
    <w:semiHidden/>
    <w:unhideWhenUsed/>
    <w:qFormat/>
    <w:uiPriority w:val="99"/>
    <w:rPr>
      <w:color w:val="605E5C"/>
      <w:shd w:val="clear" w:color="auto" w:fill="E1DFDD"/>
    </w:rPr>
  </w:style>
  <w:style w:type="character" w:customStyle="1" w:styleId="30">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UWTSD</Company>
  <Pages>1</Pages>
  <Words>97</Words>
  <Characters>554</Characters>
  <Lines>4</Lines>
  <Paragraphs>1</Paragraphs>
  <TotalTime>47</TotalTime>
  <ScaleCrop>false</ScaleCrop>
  <LinksUpToDate>false</LinksUpToDate>
  <CharactersWithSpaces>650</CharactersWithSpaces>
  <Application>WPS Office_6.2.0.8299_F1E327BC-269C-435d-A152-05C5408002CA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2024-10-29T14:04:00Z</dcterms:created>
  <dc:creator>Academic Office</dc:creator>
  <cp:lastModifiedBy>join</cp:lastModifiedBy>
  <cp:lastPrinted>2016-11-02T15:01:00Z</cp:lastPrinted>
  <dcterms:modified xsi:type="dcterms:W3CDTF">2024-11-07T13:20:54Z</dcterms:modified>
  <dc:title>PG1</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MediaServiceImageTags">
    <vt:lpwstr/>
  </property>
  <property fmtid="{D5CDD505-2E9C-101B-9397-08002B2CF9AE}" pid="7" name="KSOProductBuildVer">
    <vt:lpwstr>2052-6.2.0.8299</vt:lpwstr>
  </property>
  <property fmtid="{D5CDD505-2E9C-101B-9397-08002B2CF9AE}" pid="8" name="ICV">
    <vt:lpwstr>B2D1743ECD32F112011B2C67F986C282_42</vt:lpwstr>
  </property>
</Properties>
</file>