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ttf" ContentType="application/x-font-tt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F3E4C" w14:textId="77777777" w:rsidR="00DE1772" w:rsidRDefault="00A1764A">
      <w:pPr>
        <w:rPr>
          <w:rFonts w:ascii="Helvetica Neue" w:eastAsia="Helvetica Neue" w:hAnsi="Helvetica Neue" w:cs="Helvetica Neue"/>
          <w:b/>
          <w:bCs/>
        </w:rPr>
      </w:pPr>
      <w:r>
        <w:rPr>
          <w:rFonts w:ascii="Helvetica Neue" w:eastAsia="Helvetica Neue" w:hAnsi="Helvetica Neue" w:cs="Helvetica Neue"/>
          <w:b/>
          <w:bCs/>
          <w:noProof/>
        </w:rPr>
        <w:drawing>
          <wp:inline distT="114300" distB="114300" distL="114300" distR="114300" wp14:anchorId="1B338753" wp14:editId="22DB433C">
            <wp:extent cx="2857500" cy="1590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857500" cy="1590675"/>
                    </a:xfrm>
                    <a:prstGeom prst="rect">
                      <a:avLst/>
                    </a:prstGeom>
                    <a:ln/>
                  </pic:spPr>
                </pic:pic>
              </a:graphicData>
            </a:graphic>
          </wp:inline>
        </w:drawing>
      </w:r>
    </w:p>
    <w:p w14:paraId="1E35B67D" w14:textId="77777777" w:rsidR="00DE1772" w:rsidRDefault="00DE1772">
      <w:pPr>
        <w:rPr>
          <w:rFonts w:ascii="Helvetica Neue" w:eastAsia="Helvetica Neue" w:hAnsi="Helvetica Neue" w:cs="Helvetica Neue"/>
          <w:b/>
          <w:bCs/>
        </w:rPr>
      </w:pPr>
    </w:p>
    <w:p w14:paraId="0DA69AD3" w14:textId="77777777" w:rsidR="00DE1772" w:rsidRDefault="00A1764A">
      <w:pPr>
        <w:jc w:val="center"/>
        <w:rPr>
          <w:sz w:val="56"/>
          <w:szCs w:val="56"/>
        </w:rPr>
      </w:pPr>
      <w:r>
        <w:rPr>
          <w:rFonts w:ascii="Helvetica Neue" w:eastAsia="Helvetica Neue" w:hAnsi="Helvetica Neue" w:cs="Helvetica Neue"/>
          <w:b/>
          <w:bCs/>
          <w:color w:val="000000"/>
          <w:sz w:val="56"/>
          <w:szCs w:val="56"/>
        </w:rPr>
        <w:t xml:space="preserve">Module Name: </w:t>
      </w:r>
      <w:r>
        <w:rPr>
          <w:rFonts w:ascii="Helvetica Neue" w:eastAsia="Helvetica Neue" w:hAnsi="Helvetica Neue" w:cs="Helvetica Neue"/>
          <w:sz w:val="56"/>
          <w:szCs w:val="56"/>
        </w:rPr>
        <w:t>Problem Solving and Innovation</w:t>
      </w:r>
    </w:p>
    <w:p w14:paraId="4B8E5A15" w14:textId="77777777" w:rsidR="00DE1772" w:rsidRDefault="00A1764A">
      <w:pPr>
        <w:shd w:val="clear" w:color="auto" w:fill="FFFFFF"/>
        <w:spacing w:before="75" w:after="0"/>
        <w:jc w:val="center"/>
        <w:rPr>
          <w:sz w:val="56"/>
          <w:szCs w:val="56"/>
        </w:rPr>
      </w:pPr>
      <w:r>
        <w:rPr>
          <w:rFonts w:ascii="Helvetica Neue" w:eastAsia="Helvetica Neue" w:hAnsi="Helvetica Neue" w:cs="Helvetica Neue"/>
          <w:b/>
          <w:bCs/>
          <w:color w:val="000000"/>
          <w:sz w:val="56"/>
          <w:szCs w:val="56"/>
        </w:rPr>
        <w:t xml:space="preserve">Module Code:  </w:t>
      </w:r>
      <w:r>
        <w:rPr>
          <w:rFonts w:ascii="Helvetica Neue" w:eastAsia="Helvetica Neue" w:hAnsi="Helvetica Neue" w:cs="Helvetica Neue"/>
          <w:color w:val="000000"/>
          <w:sz w:val="56"/>
          <w:szCs w:val="56"/>
        </w:rPr>
        <w:t>BMSW401</w:t>
      </w:r>
      <w:r>
        <w:rPr>
          <w:rFonts w:ascii="Helvetica Neue" w:eastAsia="Helvetica Neue" w:hAnsi="Helvetica Neue" w:cs="Helvetica Neue"/>
          <w:sz w:val="56"/>
          <w:szCs w:val="56"/>
        </w:rPr>
        <w:t>4</w:t>
      </w:r>
    </w:p>
    <w:p w14:paraId="2F22B1C5" w14:textId="77777777" w:rsidR="00DE1772" w:rsidRDefault="00A1764A">
      <w:pPr>
        <w:shd w:val="clear" w:color="auto" w:fill="FFFFFF"/>
        <w:spacing w:before="75" w:after="0"/>
        <w:jc w:val="center"/>
        <w:rPr>
          <w:sz w:val="56"/>
          <w:szCs w:val="56"/>
        </w:rPr>
      </w:pPr>
      <w:r>
        <w:rPr>
          <w:rFonts w:ascii="Helvetica Neue" w:eastAsia="Helvetica Neue" w:hAnsi="Helvetica Neue" w:cs="Helvetica Neue"/>
          <w:b/>
          <w:bCs/>
          <w:color w:val="000000"/>
          <w:sz w:val="56"/>
          <w:szCs w:val="56"/>
        </w:rPr>
        <w:t xml:space="preserve">Assignment Name: </w:t>
      </w:r>
      <w:r>
        <w:rPr>
          <w:rFonts w:ascii="Helvetica Neue" w:eastAsia="Helvetica Neue" w:hAnsi="Helvetica Neue" w:cs="Helvetica Neue"/>
          <w:sz w:val="56"/>
          <w:szCs w:val="56"/>
        </w:rPr>
        <w:t>Greenwashing in the Automobile Industry</w:t>
      </w:r>
    </w:p>
    <w:p w14:paraId="610A99BF" w14:textId="77777777" w:rsidR="00DE1772" w:rsidRDefault="00A1764A">
      <w:pPr>
        <w:shd w:val="clear" w:color="auto" w:fill="FFFFFF"/>
        <w:spacing w:before="75" w:after="0"/>
        <w:jc w:val="center"/>
        <w:rPr>
          <w:rFonts w:ascii="Helvetica Neue" w:eastAsia="Helvetica Neue" w:hAnsi="Helvetica Neue" w:cs="Helvetica Neue"/>
          <w:color w:val="000000"/>
          <w:sz w:val="56"/>
          <w:szCs w:val="56"/>
        </w:rPr>
      </w:pPr>
      <w:r>
        <w:rPr>
          <w:rFonts w:ascii="Helvetica Neue" w:eastAsia="Helvetica Neue" w:hAnsi="Helvetica Neue" w:cs="Helvetica Neue"/>
          <w:b/>
          <w:bCs/>
          <w:color w:val="000000"/>
          <w:sz w:val="56"/>
          <w:szCs w:val="56"/>
        </w:rPr>
        <w:t xml:space="preserve">Student Name: </w:t>
      </w:r>
      <w:r>
        <w:rPr>
          <w:rFonts w:ascii="Helvetica Neue" w:eastAsia="Helvetica Neue" w:hAnsi="Helvetica Neue" w:cs="Helvetica Neue"/>
          <w:color w:val="000000"/>
          <w:sz w:val="56"/>
          <w:szCs w:val="56"/>
        </w:rPr>
        <w:t xml:space="preserve">Jodie Hughes </w:t>
      </w:r>
    </w:p>
    <w:p w14:paraId="6EB923A7" w14:textId="77777777" w:rsidR="00DE1772" w:rsidRDefault="00A1764A">
      <w:pPr>
        <w:shd w:val="clear" w:color="auto" w:fill="FFFFFF"/>
        <w:spacing w:before="75" w:after="0"/>
        <w:jc w:val="center"/>
        <w:rPr>
          <w:rFonts w:ascii="Helvetica Neue" w:eastAsia="Helvetica Neue" w:hAnsi="Helvetica Neue" w:cs="Helvetica Neue"/>
          <w:color w:val="000000"/>
          <w:sz w:val="56"/>
          <w:szCs w:val="56"/>
        </w:rPr>
      </w:pPr>
      <w:r>
        <w:rPr>
          <w:rFonts w:ascii="Helvetica Neue" w:eastAsia="Helvetica Neue" w:hAnsi="Helvetica Neue" w:cs="Helvetica Neue"/>
          <w:b/>
          <w:bCs/>
          <w:color w:val="000000"/>
          <w:sz w:val="56"/>
          <w:szCs w:val="56"/>
        </w:rPr>
        <w:t xml:space="preserve">Student Number: </w:t>
      </w:r>
      <w:r>
        <w:rPr>
          <w:rFonts w:ascii="Helvetica Neue" w:eastAsia="Helvetica Neue" w:hAnsi="Helvetica Neue" w:cs="Helvetica Neue"/>
          <w:color w:val="000000"/>
          <w:sz w:val="56"/>
          <w:szCs w:val="56"/>
        </w:rPr>
        <w:t>2438497</w:t>
      </w:r>
    </w:p>
    <w:p w14:paraId="4F99B3C1" w14:textId="77777777" w:rsidR="00DE1772" w:rsidRDefault="00A1764A">
      <w:pPr>
        <w:shd w:val="clear" w:color="auto" w:fill="FFFFFF"/>
        <w:spacing w:before="75" w:after="0"/>
        <w:jc w:val="center"/>
        <w:rPr>
          <w:sz w:val="56"/>
          <w:szCs w:val="56"/>
        </w:rPr>
      </w:pPr>
      <w:r>
        <w:rPr>
          <w:rFonts w:ascii="Helvetica Neue" w:eastAsia="Helvetica Neue" w:hAnsi="Helvetica Neue" w:cs="Helvetica Neue"/>
          <w:b/>
          <w:bCs/>
          <w:color w:val="000000"/>
          <w:sz w:val="56"/>
          <w:szCs w:val="56"/>
        </w:rPr>
        <w:t xml:space="preserve">Lecturer: </w:t>
      </w:r>
      <w:r>
        <w:rPr>
          <w:rFonts w:ascii="Helvetica Neue" w:eastAsia="Helvetica Neue" w:hAnsi="Helvetica Neue" w:cs="Helvetica Neue"/>
          <w:sz w:val="56"/>
          <w:szCs w:val="56"/>
        </w:rPr>
        <w:t>Jaliya de Silva</w:t>
      </w:r>
    </w:p>
    <w:p w14:paraId="5691D724" w14:textId="77777777" w:rsidR="00DE1772" w:rsidRDefault="00DE1772">
      <w:pPr>
        <w:shd w:val="clear" w:color="auto" w:fill="FFFFFF"/>
        <w:spacing w:before="75" w:after="0"/>
      </w:pPr>
    </w:p>
    <w:p w14:paraId="33F76CBA" w14:textId="77777777" w:rsidR="00DE1772" w:rsidRDefault="00A1764A">
      <w:pPr>
        <w:shd w:val="clear" w:color="auto" w:fill="FFFFFF"/>
        <w:spacing w:before="75" w:after="0"/>
        <w:rPr>
          <w:rFonts w:ascii="Helvetica Neue" w:eastAsia="Helvetica Neue" w:hAnsi="Helvetica Neue" w:cs="Helvetica Neue"/>
        </w:rPr>
      </w:pPr>
      <w:r>
        <w:rPr>
          <w:rFonts w:ascii="Helvetica Neue" w:eastAsia="Helvetica Neue" w:hAnsi="Helvetica Neue" w:cs="Helvetica Neue"/>
        </w:rPr>
        <w:t xml:space="preserve"> </w:t>
      </w:r>
    </w:p>
    <w:p w14:paraId="3612DD95" w14:textId="77777777" w:rsidR="00DE1772" w:rsidRDefault="00DE1772">
      <w:pPr>
        <w:shd w:val="clear" w:color="auto" w:fill="FFFFFF"/>
        <w:spacing w:before="75" w:after="0"/>
        <w:rPr>
          <w:rFonts w:ascii="Roboto" w:eastAsia="Roboto" w:hAnsi="Roboto" w:cs="Roboto"/>
          <w:color w:val="1D2228"/>
        </w:rPr>
      </w:pPr>
    </w:p>
    <w:p w14:paraId="0CCB77F2" w14:textId="77777777" w:rsidR="00DE1772" w:rsidRDefault="00DE1772"/>
    <w:p w14:paraId="74C53815" w14:textId="77777777" w:rsidR="00DE1772" w:rsidRDefault="00DE1772"/>
    <w:p w14:paraId="4D056E2C" w14:textId="77777777" w:rsidR="00DE1772" w:rsidRDefault="00DE1772"/>
    <w:p w14:paraId="64606114" w14:textId="77777777" w:rsidR="00DE1772" w:rsidRDefault="00DE1772"/>
    <w:p w14:paraId="607926F6" w14:textId="77777777" w:rsidR="00DE1772" w:rsidRDefault="00DE1772">
      <w:pPr>
        <w:ind w:left="720"/>
      </w:pPr>
    </w:p>
    <w:p w14:paraId="22D89E62" w14:textId="77777777" w:rsidR="00DE1772" w:rsidRDefault="00A1764A">
      <w:pPr>
        <w:shd w:val="clear" w:color="auto" w:fill="FFFFFF"/>
        <w:ind w:left="720"/>
        <w:rPr>
          <w:rFonts w:ascii="Roboto" w:eastAsia="Roboto" w:hAnsi="Roboto" w:cs="Roboto"/>
          <w:color w:val="212121"/>
        </w:rPr>
      </w:pPr>
      <w:r>
        <w:rPr>
          <w:rFonts w:ascii="Roboto" w:eastAsia="Roboto" w:hAnsi="Roboto" w:cs="Roboto"/>
          <w:color w:val="212121"/>
        </w:rPr>
        <w:lastRenderedPageBreak/>
        <w:t>Greenwashing has become a big issue in the car industry. It happens when companies make their cars sound more environmentally friendly than they really are. One of the biggest examples of this was the Volkswagen Dieselgate scandal, which changed how people think about “green” claims in the auto world.</w:t>
      </w:r>
    </w:p>
    <w:p w14:paraId="6B40E878" w14:textId="77777777" w:rsidR="00DE1772" w:rsidRDefault="00A1764A">
      <w:pPr>
        <w:shd w:val="clear" w:color="auto" w:fill="FFFFFF"/>
        <w:ind w:left="720"/>
        <w:rPr>
          <w:rFonts w:ascii="Roboto" w:eastAsia="Roboto" w:hAnsi="Roboto" w:cs="Roboto"/>
          <w:color w:val="212121"/>
        </w:rPr>
      </w:pPr>
      <w:r>
        <w:rPr>
          <w:rFonts w:ascii="Roboto" w:eastAsia="Roboto" w:hAnsi="Roboto" w:cs="Roboto"/>
          <w:color w:val="212121"/>
        </w:rPr>
        <w:t>Back in 2015, Volkswagen was caught using software to cheat emissions tests. The cars looked clean and eco-friendly in testing, but in real life, they were releasing much higher levels of pollution. This caused a huge public backlash. The company had to pay billions in fines, some managers lost their jobs, and Volkswagen’s reputation was badly damaged. Many customers felt betrayed, and it took years for the brand to start rebuilding trust. Since then, VW has focused on electric vehicles to try to prove it’s</w:t>
      </w:r>
      <w:r>
        <w:rPr>
          <w:rFonts w:ascii="Roboto" w:eastAsia="Roboto" w:hAnsi="Roboto" w:cs="Roboto"/>
          <w:color w:val="212121"/>
        </w:rPr>
        <w:t xml:space="preserve"> serious about being greener.</w:t>
      </w:r>
    </w:p>
    <w:p w14:paraId="34233FC0" w14:textId="77777777" w:rsidR="00DE1772" w:rsidRDefault="00A1764A">
      <w:pPr>
        <w:shd w:val="clear" w:color="auto" w:fill="FFFFFF"/>
        <w:ind w:left="720"/>
        <w:rPr>
          <w:rFonts w:ascii="Roboto" w:eastAsia="Roboto" w:hAnsi="Roboto" w:cs="Roboto"/>
          <w:color w:val="212121"/>
        </w:rPr>
      </w:pPr>
      <w:r>
        <w:rPr>
          <w:rFonts w:ascii="Roboto" w:eastAsia="Roboto" w:hAnsi="Roboto" w:cs="Roboto"/>
          <w:color w:val="212121"/>
        </w:rPr>
        <w:t>The effects of Dieselgate spread across the whole car industry. People started to doubt green claims from other car makers too. Governments brought in tougher rules on emissions and advertising, to stop companies from misleading customers again. Now, there’s more focus on real-world emissions tests instead of lab tests, to make sure results can’t be faked.</w:t>
      </w:r>
    </w:p>
    <w:p w14:paraId="475181D7" w14:textId="77777777" w:rsidR="00DE1772" w:rsidRDefault="00A1764A">
      <w:pPr>
        <w:shd w:val="clear" w:color="auto" w:fill="FFFFFF"/>
        <w:ind w:left="720"/>
        <w:rPr>
          <w:rFonts w:ascii="Roboto" w:eastAsia="Roboto" w:hAnsi="Roboto" w:cs="Roboto"/>
          <w:color w:val="212121"/>
        </w:rPr>
      </w:pPr>
      <w:r>
        <w:rPr>
          <w:rFonts w:ascii="Roboto" w:eastAsia="Roboto" w:hAnsi="Roboto" w:cs="Roboto"/>
          <w:color w:val="212121"/>
        </w:rPr>
        <w:t>Even though rules are tighter, greenwashing still happens. Some companies use vague phrases like “carbon neutral” or “eco-friendly” without proper evidence. This makes it hard for consumers to know what’s true. As a result, people are becoming more cautious and sometimes don’t believe any green claims at all. This lack of trust affects even the companies that really are trying to make a difference.</w:t>
      </w:r>
    </w:p>
    <w:p w14:paraId="1CEEEDD3" w14:textId="77777777" w:rsidR="00DE1772" w:rsidRDefault="00A1764A">
      <w:pPr>
        <w:shd w:val="clear" w:color="auto" w:fill="FFFFFF"/>
        <w:ind w:left="720"/>
        <w:rPr>
          <w:rFonts w:ascii="Roboto" w:eastAsia="Roboto" w:hAnsi="Roboto" w:cs="Roboto"/>
          <w:color w:val="212121"/>
        </w:rPr>
      </w:pPr>
      <w:r>
        <w:rPr>
          <w:rFonts w:ascii="Roboto" w:eastAsia="Roboto" w:hAnsi="Roboto" w:cs="Roboto"/>
          <w:color w:val="212121"/>
        </w:rPr>
        <w:t>The impact of greenwashing goes beyond just image problems. It affects investor confidence, brand loyalty, and even sales. When a company is caught being dishonest, share prices can drop, and it can take years to recover its reputation. According to Koch and Denner (2025), these scandals also make people question genuine sustainability efforts, which slows down progress across the whole industry.</w:t>
      </w:r>
    </w:p>
    <w:p w14:paraId="15266D87" w14:textId="77777777" w:rsidR="00DE1772" w:rsidRDefault="00A1764A">
      <w:pPr>
        <w:shd w:val="clear" w:color="auto" w:fill="FFFFFF"/>
        <w:ind w:left="720"/>
        <w:rPr>
          <w:rFonts w:ascii="Roboto" w:eastAsia="Roboto" w:hAnsi="Roboto" w:cs="Roboto"/>
          <w:color w:val="212121"/>
        </w:rPr>
      </w:pPr>
      <w:r>
        <w:rPr>
          <w:rFonts w:ascii="Roboto" w:eastAsia="Roboto" w:hAnsi="Roboto" w:cs="Roboto"/>
          <w:color w:val="212121"/>
        </w:rPr>
        <w:t xml:space="preserve">In short, greenwashing in the car industry has serious consequences. The Volkswagen scandal shows how easily trust can be lost when a company tries to look greener than it is. The industry is now under more pressure to be open and honest about emissions and sustainability. Going forward, car </w:t>
      </w:r>
      <w:r>
        <w:rPr>
          <w:rFonts w:ascii="Roboto" w:eastAsia="Roboto" w:hAnsi="Roboto" w:cs="Roboto"/>
          <w:color w:val="212121"/>
        </w:rPr>
        <w:lastRenderedPageBreak/>
        <w:t>makers need to prove their green claims with real data and transparency, not clever marketing.</w:t>
      </w:r>
    </w:p>
    <w:p w14:paraId="7E449E85" w14:textId="77777777" w:rsidR="00DE1772" w:rsidRDefault="00DE1772">
      <w:pPr>
        <w:shd w:val="clear" w:color="auto" w:fill="FFFFFF"/>
        <w:rPr>
          <w:rFonts w:ascii="Roboto" w:eastAsia="Roboto" w:hAnsi="Roboto" w:cs="Roboto"/>
          <w:color w:val="212121"/>
        </w:rPr>
      </w:pPr>
    </w:p>
    <w:p w14:paraId="29824349" w14:textId="77777777" w:rsidR="00DE1772" w:rsidRDefault="00DE1772">
      <w:pPr>
        <w:shd w:val="clear" w:color="auto" w:fill="FFFFFF"/>
        <w:rPr>
          <w:rFonts w:ascii="Roboto" w:eastAsia="Roboto" w:hAnsi="Roboto" w:cs="Roboto"/>
          <w:color w:val="212121"/>
        </w:rPr>
      </w:pPr>
    </w:p>
    <w:p w14:paraId="055C21D0" w14:textId="77777777" w:rsidR="00DE1772" w:rsidRDefault="00A1764A">
      <w:pPr>
        <w:shd w:val="clear" w:color="auto" w:fill="FFFFFF"/>
        <w:ind w:left="720"/>
        <w:rPr>
          <w:rFonts w:ascii="Roboto" w:eastAsia="Roboto" w:hAnsi="Roboto" w:cs="Roboto"/>
          <w:color w:val="212121"/>
        </w:rPr>
      </w:pPr>
      <w:r>
        <w:rPr>
          <w:rFonts w:ascii="Roboto" w:eastAsia="Roboto" w:hAnsi="Roboto" w:cs="Roboto"/>
          <w:color w:val="212121"/>
        </w:rPr>
        <w:t>References</w:t>
      </w:r>
    </w:p>
    <w:p w14:paraId="3A89D752" w14:textId="77777777" w:rsidR="00DE1772" w:rsidRDefault="00DE1772">
      <w:pPr>
        <w:shd w:val="clear" w:color="auto" w:fill="FFFFFF"/>
        <w:ind w:left="720"/>
        <w:rPr>
          <w:rFonts w:ascii="Roboto" w:eastAsia="Roboto" w:hAnsi="Roboto" w:cs="Roboto"/>
          <w:color w:val="212121"/>
        </w:rPr>
      </w:pPr>
    </w:p>
    <w:p w14:paraId="55162574" w14:textId="77777777" w:rsidR="00DE1772" w:rsidRDefault="00A1764A">
      <w:pPr>
        <w:shd w:val="clear" w:color="auto" w:fill="FFFFFF"/>
        <w:ind w:left="720"/>
        <w:rPr>
          <w:rFonts w:ascii="Roboto" w:eastAsia="Roboto" w:hAnsi="Roboto" w:cs="Roboto"/>
          <w:color w:val="212121"/>
        </w:rPr>
      </w:pPr>
      <w:r>
        <w:rPr>
          <w:rFonts w:ascii="Roboto" w:eastAsia="Roboto" w:hAnsi="Roboto" w:cs="Roboto"/>
          <w:color w:val="212121"/>
        </w:rPr>
        <w:t xml:space="preserve">Kell, G. (2022) Volkswagen’s “Dieselgate” scandal continues to shape debates on greenwashing in the auto sector. Forbes. Available at: </w:t>
      </w:r>
      <w:hyperlink r:id="rId5">
        <w:r>
          <w:rPr>
            <w:rFonts w:ascii="Roboto" w:eastAsia="Roboto" w:hAnsi="Roboto" w:cs="Roboto"/>
            <w:color w:val="1155CC"/>
            <w:u w:val="single"/>
          </w:rPr>
          <w:t>https://www.forbes.com</w:t>
        </w:r>
      </w:hyperlink>
    </w:p>
    <w:p w14:paraId="4DA7A39D" w14:textId="77777777" w:rsidR="00DE1772" w:rsidRDefault="00DE1772">
      <w:pPr>
        <w:shd w:val="clear" w:color="auto" w:fill="FFFFFF"/>
        <w:ind w:left="720"/>
        <w:rPr>
          <w:rFonts w:ascii="Roboto" w:eastAsia="Roboto" w:hAnsi="Roboto" w:cs="Roboto"/>
          <w:color w:val="212121"/>
        </w:rPr>
      </w:pPr>
    </w:p>
    <w:p w14:paraId="333C9B06" w14:textId="77777777" w:rsidR="00DE1772" w:rsidRDefault="00A1764A">
      <w:pPr>
        <w:shd w:val="clear" w:color="auto" w:fill="FFFFFF"/>
        <w:ind w:left="720"/>
        <w:rPr>
          <w:rFonts w:ascii="Roboto" w:eastAsia="Roboto" w:hAnsi="Roboto" w:cs="Roboto"/>
          <w:color w:val="212121"/>
        </w:rPr>
      </w:pPr>
      <w:r>
        <w:rPr>
          <w:rFonts w:ascii="Roboto" w:eastAsia="Roboto" w:hAnsi="Roboto" w:cs="Roboto"/>
          <w:color w:val="212121"/>
        </w:rPr>
        <w:t>Boiral, O., Brotherton, M.-C. and Talbot, D. (2022) Through the Smokescreen of the Dieselgate Disclosure. Journal of Business Ethics, 179(3), pp. 623–639.</w:t>
      </w:r>
    </w:p>
    <w:p w14:paraId="3713F89E" w14:textId="77777777" w:rsidR="00DE1772" w:rsidRDefault="00DE1772">
      <w:pPr>
        <w:shd w:val="clear" w:color="auto" w:fill="FFFFFF"/>
        <w:ind w:left="720"/>
        <w:rPr>
          <w:rFonts w:ascii="Roboto" w:eastAsia="Roboto" w:hAnsi="Roboto" w:cs="Roboto"/>
          <w:color w:val="212121"/>
        </w:rPr>
      </w:pPr>
    </w:p>
    <w:p w14:paraId="14358B29" w14:textId="77777777" w:rsidR="00DE1772" w:rsidRDefault="00A1764A">
      <w:pPr>
        <w:shd w:val="clear" w:color="auto" w:fill="FFFFFF"/>
        <w:ind w:left="720"/>
        <w:rPr>
          <w:rFonts w:ascii="Roboto" w:eastAsia="Roboto" w:hAnsi="Roboto" w:cs="Roboto"/>
          <w:color w:val="212121"/>
        </w:rPr>
      </w:pPr>
      <w:r>
        <w:rPr>
          <w:rFonts w:ascii="Roboto" w:eastAsia="Roboto" w:hAnsi="Roboto" w:cs="Roboto"/>
          <w:color w:val="212121"/>
        </w:rPr>
        <w:t>Syal, R. (2025) Green claims under scrutiny: how carmakers mislead consumers. The Guardian.</w:t>
      </w:r>
    </w:p>
    <w:p w14:paraId="65285B7D" w14:textId="77777777" w:rsidR="00DE1772" w:rsidRDefault="00DE1772">
      <w:pPr>
        <w:shd w:val="clear" w:color="auto" w:fill="FFFFFF"/>
        <w:ind w:left="720"/>
        <w:rPr>
          <w:rFonts w:ascii="Roboto" w:eastAsia="Roboto" w:hAnsi="Roboto" w:cs="Roboto"/>
          <w:color w:val="212121"/>
        </w:rPr>
      </w:pPr>
    </w:p>
    <w:p w14:paraId="584AC212" w14:textId="77777777" w:rsidR="00DE1772" w:rsidRDefault="00A1764A">
      <w:pPr>
        <w:shd w:val="clear" w:color="auto" w:fill="FFFFFF"/>
        <w:rPr>
          <w:rFonts w:ascii="Roboto" w:eastAsia="Roboto" w:hAnsi="Roboto" w:cs="Roboto"/>
          <w:color w:val="212121"/>
        </w:rPr>
      </w:pPr>
      <w:r>
        <w:rPr>
          <w:rFonts w:ascii="Roboto" w:eastAsia="Roboto" w:hAnsi="Roboto" w:cs="Roboto"/>
          <w:color w:val="212121"/>
        </w:rPr>
        <w:t xml:space="preserve">            Koch, M. and Denner, J. (2025) Different Shades of Green Deception.     Corporate Reputation Review, 28(2), pp. 201–219.</w:t>
      </w:r>
    </w:p>
    <w:p w14:paraId="47040973" w14:textId="77777777" w:rsidR="00DE1772" w:rsidRDefault="00DE1772">
      <w:pPr>
        <w:shd w:val="clear" w:color="auto" w:fill="FFFFFF"/>
        <w:ind w:left="720"/>
        <w:rPr>
          <w:rFonts w:ascii="Roboto" w:eastAsia="Roboto" w:hAnsi="Roboto" w:cs="Roboto"/>
          <w:color w:val="212121"/>
        </w:rPr>
      </w:pPr>
    </w:p>
    <w:p w14:paraId="00EB639D" w14:textId="77777777" w:rsidR="00DE1772" w:rsidRDefault="00A1764A">
      <w:pPr>
        <w:shd w:val="clear" w:color="auto" w:fill="FFFFFF"/>
        <w:ind w:left="720"/>
        <w:rPr>
          <w:rFonts w:ascii="Roboto" w:eastAsia="Roboto" w:hAnsi="Roboto" w:cs="Roboto"/>
          <w:color w:val="212121"/>
        </w:rPr>
      </w:pPr>
      <w:r>
        <w:rPr>
          <w:rFonts w:ascii="Roboto" w:eastAsia="Roboto" w:hAnsi="Roboto" w:cs="Roboto"/>
          <w:color w:val="212121"/>
        </w:rPr>
        <w:t>European Commission (2023) Guidelines on Environmental Claims in the Automotive Sector. Brussels: European Commission.</w:t>
      </w:r>
    </w:p>
    <w:p w14:paraId="6159218D" w14:textId="77777777" w:rsidR="00DE1772" w:rsidRDefault="00DE1772">
      <w:pPr>
        <w:shd w:val="clear" w:color="auto" w:fill="FFFFFF"/>
        <w:ind w:left="720"/>
        <w:rPr>
          <w:rFonts w:ascii="Roboto" w:eastAsia="Roboto" w:hAnsi="Roboto" w:cs="Roboto"/>
          <w:color w:val="212121"/>
        </w:rPr>
      </w:pPr>
    </w:p>
    <w:p w14:paraId="3368FBCF" w14:textId="77777777" w:rsidR="00DE1772" w:rsidRDefault="00DE1772">
      <w:pPr>
        <w:shd w:val="clear" w:color="auto" w:fill="FFFFFF"/>
        <w:ind w:left="720"/>
        <w:rPr>
          <w:rFonts w:ascii="Roboto" w:eastAsia="Roboto" w:hAnsi="Roboto" w:cs="Roboto"/>
          <w:color w:val="212121"/>
        </w:rPr>
      </w:pPr>
    </w:p>
    <w:p w14:paraId="5D91147B" w14:textId="77777777" w:rsidR="00DE1772" w:rsidRDefault="00DE1772">
      <w:pPr>
        <w:shd w:val="clear" w:color="auto" w:fill="FFFFFF"/>
        <w:ind w:left="720"/>
        <w:rPr>
          <w:rFonts w:ascii="Roboto" w:eastAsia="Roboto" w:hAnsi="Roboto" w:cs="Roboto"/>
          <w:color w:val="212121"/>
        </w:rPr>
      </w:pPr>
    </w:p>
    <w:p w14:paraId="21CB9C2F" w14:textId="77777777" w:rsidR="00DE1772" w:rsidRDefault="00DE1772">
      <w:pPr>
        <w:ind w:left="720"/>
      </w:pPr>
    </w:p>
    <w:sectPr w:rsidR="00DE1772">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lay">
    <w:charset w:val="00"/>
    <w:family w:val="auto"/>
    <w:pitch w:val="default"/>
    <w:embedRegular r:id="rId1" w:fontKey="{465C5CFF-DABC-2248-B9E7-4A77FDFD520B}"/>
    <w:embedBold r:id="rId2" w:fontKey="{C90DE745-A32F-D946-8BD3-DBD5E0CCFC21}"/>
  </w:font>
  <w:font w:name="Times New Roman">
    <w:panose1 w:val="02020603050405020304"/>
    <w:charset w:val="00"/>
    <w:family w:val="roman"/>
    <w:pitch w:val="variable"/>
    <w:sig w:usb0="00000003" w:usb1="00000000" w:usb2="00000000" w:usb3="00000000" w:csb0="00000001" w:csb1="00000000"/>
  </w:font>
  <w:font w:name="Helvetica Neue">
    <w:charset w:val="00"/>
    <w:family w:val="auto"/>
    <w:pitch w:val="default"/>
    <w:embedRegular r:id="rId3" w:fontKey="{9C5AF760-BBF7-064A-A4E2-CAD822E1FDB2}"/>
    <w:embedBold r:id="rId4" w:fontKey="{0AC25138-CC17-EC4F-9E8A-CA5892042F96}"/>
    <w:embedItalic r:id="rId5" w:fontKey="{54D0A52A-2D17-4F4B-98FF-0D531F9148C9}"/>
    <w:embedBoldItalic r:id="rId6" w:fontKey="{CFD8686C-A45D-C340-A34A-6B4C4066BBB1}"/>
  </w:font>
  <w:font w:name="Roboto">
    <w:panose1 w:val="02000000000000000000"/>
    <w:charset w:val="00"/>
    <w:family w:val="auto"/>
    <w:pitch w:val="variable"/>
    <w:sig w:usb0="E00002FF" w:usb1="5000217F" w:usb2="00000021" w:usb3="00000000" w:csb0="0000019F" w:csb1="00000000"/>
    <w:embedRegular r:id="rId7" w:fontKey="{00000000-0000-0000-0000-000000000000}"/>
    <w:embedBold r:id="rId8" w:fontKey="{00000000-0000-0000-0000-000000000000}"/>
    <w:embedItalic r:id="rId9" w:fontKey="{00000000-0000-0000-0000-000000000000}"/>
    <w:embedBoldItalic r:id="rId10" w:fontKey="{00000000-0000-0000-0000-0000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772"/>
    <w:rsid w:val="00602081"/>
    <w:rsid w:val="00A1764A"/>
    <w:rsid w:val="00DE1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A57178"/>
  <w15:docId w15:val="{B338E717-519D-2849-B1AD-5E9A18A98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hyperlink" Target="https://www.forbes.com" TargetMode="External" /><Relationship Id="rId4" Type="http://schemas.openxmlformats.org/officeDocument/2006/relationships/image" Target="media/image1.png" /></Relationships>
</file>

<file path=word/_rels/fontTable.xml.rels><?xml version="1.0" encoding="UTF-8" standalone="yes"?>
<Relationships xmlns="http://schemas.openxmlformats.org/package/2006/relationships"><Relationship Id="rId8" Type="http://schemas.openxmlformats.org/officeDocument/2006/relationships/font" Target="fonts/Roboto-bold.ttf" /><Relationship Id="rId3" Type="http://schemas.openxmlformats.org/officeDocument/2006/relationships/font" Target="fonts/font3.odttf" /><Relationship Id="rId7" Type="http://schemas.openxmlformats.org/officeDocument/2006/relationships/font" Target="fonts/Roboto-regular.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10" Type="http://schemas.openxmlformats.org/officeDocument/2006/relationships/font" Target="fonts/Roboto-boldItalic.ttf" /><Relationship Id="rId4" Type="http://schemas.openxmlformats.org/officeDocument/2006/relationships/font" Target="fonts/font4.odttf" /><Relationship Id="rId9" Type="http://schemas.openxmlformats.org/officeDocument/2006/relationships/font" Target="fonts/Roboto-italic.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496</Words>
  <Characters>2832</Characters>
  <Application>Microsoft Office Word</Application>
  <DocSecurity>0</DocSecurity>
  <Lines>23</Lines>
  <Paragraphs>6</Paragraphs>
  <ScaleCrop>false</ScaleCrop>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Jodie Hughes (2438497)</cp:lastModifiedBy>
  <cp:revision>2</cp:revision>
  <dcterms:created xsi:type="dcterms:W3CDTF">2025-11-13T21:03:00Z</dcterms:created>
  <dcterms:modified xsi:type="dcterms:W3CDTF">2025-11-13T21:03:00Z</dcterms:modified>
</cp:coreProperties>
</file>