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38F68" w14:textId="77777777" w:rsidR="000801C0" w:rsidRDefault="000801C0"/>
    <w:p w14:paraId="29C6EA5F" w14:textId="5A020576" w:rsidR="000801C0" w:rsidRDefault="000801C0" w:rsidP="000801C0">
      <w:pPr>
        <w:tabs>
          <w:tab w:val="left" w:pos="3705"/>
        </w:tabs>
      </w:pPr>
      <w:r>
        <w:tab/>
        <w:t>Aisha Begum</w:t>
      </w:r>
    </w:p>
    <w:p w14:paraId="661A33DB" w14:textId="38865146" w:rsidR="000801C0" w:rsidRDefault="000801C0" w:rsidP="000801C0">
      <w:pPr>
        <w:tabs>
          <w:tab w:val="left" w:pos="3705"/>
        </w:tabs>
        <w:jc w:val="center"/>
      </w:pPr>
      <w:r>
        <w:t>2321254</w:t>
      </w:r>
    </w:p>
    <w:p w14:paraId="632323B8" w14:textId="10DF6E46" w:rsidR="000801C0" w:rsidRDefault="00783799" w:rsidP="000801C0">
      <w:pPr>
        <w:tabs>
          <w:tab w:val="left" w:pos="3705"/>
        </w:tabs>
        <w:jc w:val="center"/>
      </w:pPr>
      <w:r>
        <w:t>BMHP5019</w:t>
      </w:r>
    </w:p>
    <w:p w14:paraId="284E503E" w14:textId="17060D66" w:rsidR="00783799" w:rsidRDefault="009D373D" w:rsidP="000801C0">
      <w:pPr>
        <w:tabs>
          <w:tab w:val="left" w:pos="3705"/>
        </w:tabs>
        <w:jc w:val="center"/>
      </w:pPr>
      <w:r>
        <w:t>Introduction to Independent Research Skills</w:t>
      </w:r>
    </w:p>
    <w:p w14:paraId="51E41D68" w14:textId="4839CB84" w:rsidR="00CC6058" w:rsidRDefault="00CC6058" w:rsidP="000801C0">
      <w:pPr>
        <w:tabs>
          <w:tab w:val="left" w:pos="3705"/>
        </w:tabs>
        <w:jc w:val="center"/>
      </w:pPr>
      <w:r>
        <w:t xml:space="preserve">Component </w:t>
      </w:r>
      <w:r w:rsidR="00CD725E">
        <w:t>2</w:t>
      </w:r>
    </w:p>
    <w:p w14:paraId="35255D63" w14:textId="77777777" w:rsidR="000801C0" w:rsidRDefault="000801C0"/>
    <w:p w14:paraId="43D44144" w14:textId="77777777" w:rsidR="000801C0" w:rsidRDefault="000801C0"/>
    <w:p w14:paraId="527DD2B8" w14:textId="77777777" w:rsidR="000801C0" w:rsidRDefault="000801C0"/>
    <w:p w14:paraId="514A56E2" w14:textId="77777777" w:rsidR="000801C0" w:rsidRDefault="000801C0"/>
    <w:p w14:paraId="47A801D0" w14:textId="77777777" w:rsidR="000801C0" w:rsidRDefault="000801C0"/>
    <w:p w14:paraId="0B2DB5BC" w14:textId="77777777" w:rsidR="000801C0" w:rsidRDefault="000801C0"/>
    <w:p w14:paraId="1B4E15D8" w14:textId="77777777" w:rsidR="000801C0" w:rsidRDefault="000801C0"/>
    <w:p w14:paraId="6F0A9B5F" w14:textId="77777777" w:rsidR="000801C0" w:rsidRDefault="000801C0"/>
    <w:p w14:paraId="2733832E" w14:textId="77777777" w:rsidR="000801C0" w:rsidRDefault="000801C0"/>
    <w:p w14:paraId="668EEEBC" w14:textId="77777777" w:rsidR="000801C0" w:rsidRDefault="000801C0"/>
    <w:p w14:paraId="32C862F8" w14:textId="77777777" w:rsidR="000801C0" w:rsidRDefault="000801C0"/>
    <w:p w14:paraId="526C1A50" w14:textId="77777777" w:rsidR="000801C0" w:rsidRDefault="000801C0"/>
    <w:p w14:paraId="0E539FDF" w14:textId="77777777" w:rsidR="000801C0" w:rsidRDefault="000801C0"/>
    <w:p w14:paraId="6F961322" w14:textId="77777777" w:rsidR="000801C0" w:rsidRDefault="000801C0"/>
    <w:p w14:paraId="334C5CED" w14:textId="77777777" w:rsidR="000801C0" w:rsidRDefault="000801C0"/>
    <w:p w14:paraId="70158009" w14:textId="77777777" w:rsidR="000801C0" w:rsidRDefault="000801C0"/>
    <w:p w14:paraId="6F041EB0" w14:textId="77777777" w:rsidR="000801C0" w:rsidRDefault="000801C0"/>
    <w:p w14:paraId="63BD2A62" w14:textId="77777777" w:rsidR="000801C0" w:rsidRDefault="000801C0"/>
    <w:p w14:paraId="59698F4C" w14:textId="77777777" w:rsidR="000801C0" w:rsidRDefault="000801C0"/>
    <w:p w14:paraId="616E266D" w14:textId="77777777" w:rsidR="000801C0" w:rsidRDefault="000801C0"/>
    <w:p w14:paraId="7A37C9EF" w14:textId="77777777" w:rsidR="000801C0" w:rsidRDefault="000801C0"/>
    <w:p w14:paraId="0DE3F79A" w14:textId="77777777" w:rsidR="000801C0" w:rsidRDefault="000801C0"/>
    <w:p w14:paraId="4870B334" w14:textId="77777777" w:rsidR="000801C0" w:rsidRDefault="000801C0"/>
    <w:p w14:paraId="11046978" w14:textId="256FFA9C" w:rsidR="00607523" w:rsidRPr="00343C80" w:rsidRDefault="00607523">
      <w:pPr>
        <w:rPr>
          <w:b/>
          <w:bCs/>
        </w:rPr>
      </w:pPr>
      <w:r w:rsidRPr="00343C80">
        <w:rPr>
          <w:b/>
          <w:bCs/>
        </w:rPr>
        <w:t>WHY ARE ADOLESCENTS UNABLE TO ACCESS MENTAL HEALTH SERVICES IN SECONDARY SCHOOLS A SCOPI</w:t>
      </w:r>
      <w:r w:rsidR="00343C80">
        <w:rPr>
          <w:b/>
          <w:bCs/>
        </w:rPr>
        <w:t>N</w:t>
      </w:r>
      <w:r w:rsidRPr="00343C80">
        <w:rPr>
          <w:b/>
          <w:bCs/>
        </w:rPr>
        <w:t>G REVIEW</w:t>
      </w:r>
    </w:p>
    <w:p w14:paraId="0B4E51BE" w14:textId="787AE339" w:rsidR="006455F8" w:rsidRDefault="006455F8">
      <w:r>
        <w:t>Introduction</w:t>
      </w:r>
    </w:p>
    <w:p w14:paraId="68267A04" w14:textId="03B48F54" w:rsidR="006455F8" w:rsidRDefault="006455F8">
      <w:r w:rsidRPr="006455F8">
        <w:t>Adolescence is a critical and transformative stage of development, marked by rapid physical, emotional, and social changes. During this pivotal period, young people become particularly susceptible to mental health challenges, such as anxiety, depression, and behavioral disorders</w:t>
      </w:r>
      <w:r w:rsidR="00C301E9">
        <w:t>(Patalay</w:t>
      </w:r>
      <w:r w:rsidR="00C3442B">
        <w:t xml:space="preserve"> &amp; Fitzsimons, 2018)</w:t>
      </w:r>
      <w:r w:rsidRPr="006455F8">
        <w:t>. Alarmingly, research indicates that one in five adolescents globally faces a mental health condition, yet the vast majority lack access to the essential care and support they need. Schools, especially secondary schools, serve as crucial arenas for the early identification, prevention, and delivery of mental health services</w:t>
      </w:r>
      <w:r w:rsidR="00C3442B">
        <w:t xml:space="preserve"> NHS Digital, 2021)</w:t>
      </w:r>
      <w:r w:rsidRPr="006455F8">
        <w:t>. Despite this potential, significant barriers still obstruct adolescents from accessing these vital resources within educational environments. It is imperative that we address these challenges to ensure that every young person receives the support they deserve.</w:t>
      </w:r>
    </w:p>
    <w:p w14:paraId="5E836880" w14:textId="447E4148" w:rsidR="006455F8" w:rsidRPr="00E46077" w:rsidRDefault="000B5AE7">
      <w:pPr>
        <w:rPr>
          <w:b/>
          <w:bCs/>
        </w:rPr>
      </w:pPr>
      <w:r w:rsidRPr="00E46077">
        <w:rPr>
          <w:b/>
          <w:bCs/>
        </w:rPr>
        <w:t>Key concepts</w:t>
      </w:r>
    </w:p>
    <w:p w14:paraId="1882448A" w14:textId="77777777" w:rsidR="000B5AE7" w:rsidRDefault="000B5AE7" w:rsidP="000B5AE7">
      <w:r>
        <w:t>In this review, "adolescents" refers to individuals aged approximately 10 to 19 years, aligned with the World Health Organization's definition. We define "mental health services" as essential formal or semi-formal supports designed to enhance mental well-being, prevent mental illness, and deliver critical assessment, counseling, or treatment for mental health challenges. This encompasses on-site school-based resources—such as counselors, psychologists, and well-being programs—alongside pathways to external services that schools facilitate.</w:t>
      </w:r>
    </w:p>
    <w:p w14:paraId="588C1EB6" w14:textId="77777777" w:rsidR="000B5AE7" w:rsidRDefault="000B5AE7" w:rsidP="000B5AE7"/>
    <w:p w14:paraId="711F080C" w14:textId="46EE629F" w:rsidR="000B5AE7" w:rsidRDefault="000B5AE7" w:rsidP="000B5AE7">
      <w:r>
        <w:t>"Access" signifies not just the ability of adolescents to obtain appropriate services, but also their capacity to engage meaningfully with those services</w:t>
      </w:r>
      <w:r w:rsidR="00DB01C8">
        <w:t xml:space="preserve"> (</w:t>
      </w:r>
      <w:r w:rsidR="00DB01C8">
        <w:tab/>
        <w:t xml:space="preserve">NHS,England, </w:t>
      </w:r>
      <w:r w:rsidR="004A1666">
        <w:t>2019)</w:t>
      </w:r>
      <w:r>
        <w:t>. This engagement is shaped by various factors, including awareness of available resources, the accessibility of services, affordability, social acceptability, and the organizational structures within the school system. By understanding these elements, we can better advocate for improved mental health supports for adolescents, ultimately fostering healthier futures.</w:t>
      </w:r>
    </w:p>
    <w:p w14:paraId="55573726" w14:textId="77777777" w:rsidR="000B5AE7" w:rsidRDefault="000B5AE7" w:rsidP="000B5AE7"/>
    <w:p w14:paraId="42CF6406" w14:textId="39A7A351" w:rsidR="000B5AE7" w:rsidRDefault="000B5AE7" w:rsidP="000B5AE7">
      <w:r>
        <w:t>Rationale for the review</w:t>
      </w:r>
    </w:p>
    <w:p w14:paraId="4C0299A5" w14:textId="066C6DD8" w:rsidR="000B5AE7" w:rsidRDefault="000B5AE7" w:rsidP="000B5AE7">
      <w:r w:rsidRPr="000B5AE7">
        <w:t>As the importance of mental health services in schools gains increasing recognition, it is alarming that many adolescents still face significant barriers to accessing these essential resources</w:t>
      </w:r>
      <w:r w:rsidR="00D828B2">
        <w:t xml:space="preserve"> </w:t>
      </w:r>
      <w:r w:rsidR="008A30B9">
        <w:t>(Patalay &amp; Fitzsimons, 2018</w:t>
      </w:r>
      <w:r w:rsidR="009857BD">
        <w:t>; NHS Digital, 2021)</w:t>
      </w:r>
      <w:r w:rsidRPr="000B5AE7">
        <w:t xml:space="preserve">. Factors such as </w:t>
      </w:r>
      <w:r w:rsidRPr="000B5AE7">
        <w:lastRenderedPageBreak/>
        <w:t>stigma, lack of awareness, concerns about confidentiality, insufficient school resources, and systemic inequalities tied to socioeconomic and cultural backgrounds hinder their access</w:t>
      </w:r>
      <w:r w:rsidR="00DA5B59">
        <w:t xml:space="preserve"> (Deighton, et al., 2019;</w:t>
      </w:r>
      <w:r w:rsidR="004E54D1">
        <w:t xml:space="preserve"> Place2Be, 2018)</w:t>
      </w:r>
      <w:r w:rsidRPr="000B5AE7">
        <w:t>. It is imperative to understand these barriers in order to develop targeted interventions, robust policies, and comprehensive frameworks that ensure all students receive equitable and effective mental health support. Conducting a scoping review is a powerful approach to not only map the existing evidence but also to uncover critical gaps in the literature and clarify the various factors that influence adolescents' ability to obtain mental health services in secondary schools.</w:t>
      </w:r>
    </w:p>
    <w:p w14:paraId="2D943CA8" w14:textId="5697F817" w:rsidR="000B5AE7" w:rsidRPr="00E46077" w:rsidRDefault="000B5AE7" w:rsidP="000B5AE7">
      <w:pPr>
        <w:rPr>
          <w:b/>
          <w:bCs/>
        </w:rPr>
      </w:pPr>
      <w:r w:rsidRPr="00E46077">
        <w:rPr>
          <w:b/>
          <w:bCs/>
        </w:rPr>
        <w:t>Aim</w:t>
      </w:r>
    </w:p>
    <w:p w14:paraId="165D998D" w14:textId="05F26D70" w:rsidR="000B5AE7" w:rsidRDefault="000B5AE7" w:rsidP="000B5AE7">
      <w:r w:rsidRPr="000B5AE7">
        <w:t>To thoroughly investigate and articulate the barriers that prevent adolescents from accessing vital mental health services in secondary schools.</w:t>
      </w:r>
    </w:p>
    <w:p w14:paraId="185DF217" w14:textId="7C23F0D3" w:rsidR="000B5AE7" w:rsidRDefault="000B5AE7" w:rsidP="000B5AE7">
      <w:r>
        <w:t>Review Question:</w:t>
      </w:r>
    </w:p>
    <w:p w14:paraId="27337C48" w14:textId="0F2CCDEA" w:rsidR="000B5AE7" w:rsidRDefault="00000235" w:rsidP="000B5AE7">
      <w:r w:rsidRPr="00000235">
        <w:t>What obstacles hinder adolescents from effectively accessing mental health services within secondary schools?</w:t>
      </w:r>
    </w:p>
    <w:p w14:paraId="5B602D4A" w14:textId="1C0D030C" w:rsidR="00000235" w:rsidRPr="00E46077" w:rsidRDefault="00000235" w:rsidP="000B5AE7">
      <w:pPr>
        <w:rPr>
          <w:b/>
          <w:bCs/>
        </w:rPr>
      </w:pPr>
      <w:r w:rsidRPr="00E46077">
        <w:rPr>
          <w:b/>
          <w:bCs/>
        </w:rPr>
        <w:t>Objectives:</w:t>
      </w:r>
    </w:p>
    <w:p w14:paraId="747954AF" w14:textId="77777777" w:rsidR="00000235" w:rsidRDefault="00000235" w:rsidP="00000235">
      <w:r>
        <w:t xml:space="preserve">- Identify and analyze the key individual, social, and systemic factors that significantly impact access to school-based mental health services.  </w:t>
      </w:r>
    </w:p>
    <w:p w14:paraId="6DB2B1C9" w14:textId="77777777" w:rsidR="00000235" w:rsidRDefault="00000235" w:rsidP="00000235">
      <w:r>
        <w:t xml:space="preserve">- Investigate the varying nature of these barriers across diverse contexts, populations, and service types to uncover specific challenges.  </w:t>
      </w:r>
    </w:p>
    <w:p w14:paraId="7B5B61BB" w14:textId="77777777" w:rsidR="00000235" w:rsidRDefault="00000235" w:rsidP="00000235">
      <w:r>
        <w:t xml:space="preserve">- Illuminate critical gaps in existing literature and propose targeted areas for future research and policy advancement.  </w:t>
      </w:r>
    </w:p>
    <w:p w14:paraId="58B0F79B" w14:textId="7BC12A8E" w:rsidR="00000235" w:rsidRDefault="00000235" w:rsidP="00000235">
      <w:r>
        <w:t xml:space="preserve">- Establish a robust, evidence-based foundation aimed at enhancing access to vital mental health support within secondary schools.  </w:t>
      </w:r>
    </w:p>
    <w:p w14:paraId="3E3EF86F" w14:textId="77777777" w:rsidR="00000235" w:rsidRDefault="00000235" w:rsidP="00000235"/>
    <w:p w14:paraId="5425B347" w14:textId="77777777" w:rsidR="00813EEB" w:rsidRDefault="00813EEB" w:rsidP="00000235"/>
    <w:p w14:paraId="6677246E" w14:textId="77777777" w:rsidR="00813EEB" w:rsidRDefault="00813EEB" w:rsidP="00000235"/>
    <w:p w14:paraId="188481A0" w14:textId="77777777" w:rsidR="00813EEB" w:rsidRDefault="00813EEB" w:rsidP="00000235"/>
    <w:p w14:paraId="3C6DBBFA" w14:textId="77777777" w:rsidR="00813EEB" w:rsidRDefault="00813EEB" w:rsidP="00000235"/>
    <w:p w14:paraId="705B72DB" w14:textId="77777777" w:rsidR="00813EEB" w:rsidRDefault="00813EEB" w:rsidP="00000235"/>
    <w:p w14:paraId="0D2DE33C" w14:textId="77777777" w:rsidR="00813EEB" w:rsidRDefault="00813EEB" w:rsidP="00000235"/>
    <w:p w14:paraId="2263C33A" w14:textId="77777777" w:rsidR="00813EEB" w:rsidRDefault="00813EEB" w:rsidP="00000235"/>
    <w:p w14:paraId="3794D9A2" w14:textId="3F6509EB" w:rsidR="00000235" w:rsidRPr="00E46077" w:rsidRDefault="00000235" w:rsidP="00000235">
      <w:pPr>
        <w:rPr>
          <w:b/>
          <w:bCs/>
        </w:rPr>
      </w:pPr>
      <w:r w:rsidRPr="00E46077">
        <w:rPr>
          <w:b/>
          <w:bCs/>
        </w:rPr>
        <w:lastRenderedPageBreak/>
        <w:t>Background</w:t>
      </w:r>
    </w:p>
    <w:p w14:paraId="445E5312" w14:textId="77777777" w:rsidR="00000235" w:rsidRDefault="00000235" w:rsidP="00000235">
      <w:r>
        <w:t xml:space="preserve">Adolescent mental health has emerged as a critical public health priority on a global scale. There is substantial evidence that timely intervention can not only prevent long-term mental illness but also significantly enhance educational and social outcomes for young people. Schools are ideally positioned to serve as essential access points for mental health support, reaching a large population of adolescents in an environment that is both familiar and non-stigmatizing. </w:t>
      </w:r>
    </w:p>
    <w:p w14:paraId="71A5B852" w14:textId="77777777" w:rsidR="00000235" w:rsidRDefault="00000235" w:rsidP="00000235"/>
    <w:p w14:paraId="7D9D195F" w14:textId="77777777" w:rsidR="00000235" w:rsidRDefault="00000235" w:rsidP="00000235">
      <w:r>
        <w:t>Despite this potential, countless adolescents still encounter formidable barriers to accessing mental health care. These obstacles often stem from the complex interplay between health, education, and social care systems, emphasizing the urgent need for coordinated, multi-sectoral approaches that can effectively address these challenges.</w:t>
      </w:r>
    </w:p>
    <w:p w14:paraId="0EE34DD2" w14:textId="77777777" w:rsidR="00000235" w:rsidRDefault="00000235" w:rsidP="00000235"/>
    <w:p w14:paraId="3060E5F1" w14:textId="783E78B2" w:rsidR="00000235" w:rsidRDefault="00000235" w:rsidP="00000235">
      <w:r>
        <w:t>Within secondary schools, the responsibility for fostering students' mental well-being is shared among school counselors, pastoral staff, and external health professionals. However, disparities in resource allocation, training, and referral processes frequently lead to inconsistent service delivery</w:t>
      </w:r>
      <w:r w:rsidR="00EF6E9E">
        <w:t xml:space="preserve"> (Gaside, </w:t>
      </w:r>
      <w:r w:rsidR="00E548B6">
        <w:t>2021; Griffin et al., 2022)</w:t>
      </w:r>
      <w:r>
        <w:t>. Furthermore, social determinants such as poverty, cultural background, and family dynamics play a pivotal role in shaping both the prevalence of mental health issues and students' willingness to seek assistance. It is imperative that we recognize and address these disparities to create a more equitable and supportive mental health framework for all adolescents.</w:t>
      </w:r>
    </w:p>
    <w:p w14:paraId="33546E07" w14:textId="62145EB3" w:rsidR="00000235" w:rsidRPr="00A34E71" w:rsidRDefault="00000235" w:rsidP="00000235">
      <w:pPr>
        <w:rPr>
          <w:b/>
          <w:bCs/>
        </w:rPr>
      </w:pPr>
      <w:r w:rsidRPr="00A34E71">
        <w:rPr>
          <w:b/>
          <w:bCs/>
        </w:rPr>
        <w:t>Relevant policies, legislations, and guidelines</w:t>
      </w:r>
    </w:p>
    <w:p w14:paraId="0E96A5DE" w14:textId="0A5D3841" w:rsidR="00000235" w:rsidRDefault="00ED678B" w:rsidP="00000235">
      <w:r w:rsidRPr="00ED678B">
        <w:t>In the United Kingdom, the policy landscape robustly champions the integration of mental health services within educational settings. The Children and Families Act (2014) and the Education Act (2011) assert the critical responsibility of schools to safeguard and promote the well-being of their students</w:t>
      </w:r>
      <w:r w:rsidR="00B45F04">
        <w:t xml:space="preserve"> </w:t>
      </w:r>
      <w:r w:rsidR="00196861">
        <w:t>(Department for Education, 2014)</w:t>
      </w:r>
      <w:r w:rsidRPr="00ED678B">
        <w:t>. The Government's Green Paper, "Transforming Children and Young People’s Mental Health Provision" (Department of Health &amp; Department for Education, 2017), lays out a compelling vision to enhance early intervention and establish dedicated mental health support teams within schools. This ambitious agenda is further strengthened by the NHS Long Term Plan (2019), which pledges to expand access to vital mental health services for children and young people, particularly through education-based initiatives. By prioritizing mental health in schools, we can significantly improve the well-being and future prospects of the next generation.</w:t>
      </w:r>
    </w:p>
    <w:p w14:paraId="35726A66" w14:textId="3FE20AFA" w:rsidR="00ED678B" w:rsidRDefault="00ED678B" w:rsidP="00ED678B">
      <w:r>
        <w:t xml:space="preserve">Additional frameworks, such as Public Health England's "Promoting Children and Young People's Emotional Health and Wellbeing: A Whole School and College Approach" </w:t>
      </w:r>
      <w:r>
        <w:lastRenderedPageBreak/>
        <w:t>(2015), champion a comprehensive model that embeds mental health promotion into every facet of school life. Similarly, on the global stage, the World Health Organization (WHO) and UNICEF have underscored the urgent necessity for enhanced focus on adolescent mental health as a critical global health and human rights priority, particularly through initiatives like the WHO Global School Health Initiative</w:t>
      </w:r>
      <w:r w:rsidR="00425D05" w:rsidRPr="00425D05">
        <w:rPr>
          <w:rFonts w:ascii="Times New Roman" w:eastAsia="Times New Roman" w:hAnsi="Times New Roman" w:cs="Times New Roman"/>
          <w:kern w:val="0"/>
          <w:lang w:eastAsia="en-GB"/>
          <w14:ligatures w14:val="none"/>
        </w:rPr>
        <w:t xml:space="preserve"> </w:t>
      </w:r>
      <w:r w:rsidR="00425D05" w:rsidRPr="00425D05">
        <w:t>(WHO, 2020)</w:t>
      </w:r>
      <w:r>
        <w:t>.</w:t>
      </w:r>
    </w:p>
    <w:p w14:paraId="0168A413" w14:textId="77777777" w:rsidR="00ED678B" w:rsidRDefault="00ED678B" w:rsidP="00ED678B"/>
    <w:p w14:paraId="00671871" w14:textId="266B184A" w:rsidR="00ED678B" w:rsidRDefault="00ED678B" w:rsidP="00ED678B">
      <w:r>
        <w:t>However, despite these strong policy commitments, implementation often falls short. Significant gaps remain between the aspirational goals outlined in these policies and the realities of practice in schools. These discrepancies are largely due to insufficient funding, a shortage of qualified personnel, and the varying abilities of schools to deliver robust mental health services. It is imperative that we address these challenges to ensure that every child has access to the mental health support they need for a thriving future.</w:t>
      </w:r>
    </w:p>
    <w:p w14:paraId="7FE09A13" w14:textId="132B91C2" w:rsidR="00ED678B" w:rsidRPr="00931561" w:rsidRDefault="00ED678B" w:rsidP="00ED678B">
      <w:pPr>
        <w:rPr>
          <w:b/>
          <w:bCs/>
        </w:rPr>
      </w:pPr>
      <w:r w:rsidRPr="00931561">
        <w:rPr>
          <w:b/>
          <w:bCs/>
        </w:rPr>
        <w:t>Services/Practices related to barriers in secondary schools in accessing mental health services for adolescents</w:t>
      </w:r>
    </w:p>
    <w:p w14:paraId="7EBA4715" w14:textId="77777777" w:rsidR="00ED678B" w:rsidRDefault="00ED678B" w:rsidP="00ED678B">
      <w:r>
        <w:t>Secondary schools hold a pivotal role in promoting mental health among students by offering a diverse array of support services, which can be effectively categorized into three key types: universal, targeted, and specialist interventions.</w:t>
      </w:r>
    </w:p>
    <w:p w14:paraId="169F8AC4" w14:textId="2E5490FE" w:rsidR="00ED678B" w:rsidRDefault="00ED678B" w:rsidP="00ED678B">
      <w:r>
        <w:t>Universal services</w:t>
      </w:r>
      <w:r>
        <w:t xml:space="preserve"> encompass comprehensive school-wide well-being programs, resilience training, anti-bullying initiatives, and proactive mental health awareness campaigns that engage all students, fostering a culture of support and understanding.</w:t>
      </w:r>
      <w:r w:rsidR="00A03F47">
        <w:t xml:space="preserve"> </w:t>
      </w:r>
      <w:r>
        <w:t>Targeted services are specifically tailored for students identified as at risk of mental health challenges. These may include focused small group interventions, personalized mentoring schemes, and accessible short-term counseling designed to address individual needs</w:t>
      </w:r>
      <w:r w:rsidR="00993158">
        <w:t xml:space="preserve"> (Griffin et al., 2022)</w:t>
      </w:r>
      <w:r>
        <w:t>.</w:t>
      </w:r>
    </w:p>
    <w:p w14:paraId="019B51D5" w14:textId="77777777" w:rsidR="00ED678B" w:rsidRDefault="00ED678B" w:rsidP="00ED678B"/>
    <w:p w14:paraId="3E9EF693" w14:textId="22D05BD3" w:rsidR="00ED678B" w:rsidRDefault="00ED678B" w:rsidP="00ED678B">
      <w:r>
        <w:t>Specialist services involve vital referrals to external professionals such as Child and Adolescent Mental Health Services (CAMHS), educational psychologists, and clinical counselors, ensuring that students receive the specialized care they require</w:t>
      </w:r>
      <w:r w:rsidR="00A03F47">
        <w:t xml:space="preserve"> (Department for Education</w:t>
      </w:r>
      <w:r w:rsidR="002B16AC">
        <w:t xml:space="preserve"> </w:t>
      </w:r>
      <w:r w:rsidR="00A03F47">
        <w:t>&amp; DHSC</w:t>
      </w:r>
      <w:r w:rsidR="002B16AC">
        <w:t>, 201; Garside, 2021)</w:t>
      </w:r>
      <w:r>
        <w:t>.</w:t>
      </w:r>
    </w:p>
    <w:p w14:paraId="736646F5" w14:textId="77777777" w:rsidR="00ED678B" w:rsidRDefault="00ED678B" w:rsidP="00ED678B"/>
    <w:p w14:paraId="35BD1D57" w14:textId="08E3652D" w:rsidR="00ED678B" w:rsidRDefault="00ED678B" w:rsidP="00ED678B">
      <w:r>
        <w:t>In an era of innovation, many schools are embracing multi-agency and digital solutions, including online counseling platforms, school-based mental health teams, and strategic partnerships with local NHS trusts and voluntary organizations</w:t>
      </w:r>
      <w:r w:rsidR="009905F4">
        <w:t xml:space="preserve"> (NHS England, 2019)</w:t>
      </w:r>
      <w:r>
        <w:t xml:space="preserve">. Despite these advancements, access to these essential services remains hindered by critical barriers such as limited staff capacity, long waiting lists for CAMHS, </w:t>
      </w:r>
      <w:r>
        <w:lastRenderedPageBreak/>
        <w:t>a lack of awareness among students, and the pervasive stigma surrounding seeking help.</w:t>
      </w:r>
    </w:p>
    <w:p w14:paraId="331B61A8" w14:textId="77777777" w:rsidR="00ED678B" w:rsidRDefault="00ED678B" w:rsidP="00ED678B"/>
    <w:p w14:paraId="1F3CE486" w14:textId="1D243377" w:rsidR="00ED678B" w:rsidRDefault="00ED678B" w:rsidP="00ED678B">
      <w:r>
        <w:t>This scoping review seeks to illuminate the current evidence on these barriers, fostering a deeper understanding of why adolescents often disengage from school-based mental health services. Given the policy frameworks advocating for improved accessibility and timely intervention, it is imperative that we address these challenges to ensure that every student can thrive mentally and emotionally</w:t>
      </w:r>
      <w:r w:rsidR="00B579DC">
        <w:t xml:space="preserve"> (Department for Education, </w:t>
      </w:r>
      <w:r w:rsidR="00D13721">
        <w:t>&amp; DHSC, 2017; Griffin et al.,</w:t>
      </w:r>
      <w:r w:rsidR="00DE6AC1">
        <w:t xml:space="preserve"> 2022)</w:t>
      </w:r>
      <w:r>
        <w:t>.</w:t>
      </w:r>
    </w:p>
    <w:p w14:paraId="194019CE" w14:textId="74F20F48" w:rsidR="000661D6" w:rsidRDefault="000661D6" w:rsidP="000661D6">
      <w:r>
        <w:t xml:space="preserve">To summarise the background of my review, </w:t>
      </w:r>
      <w:r w:rsidR="00B72070">
        <w:t>despite</w:t>
      </w:r>
      <w:r>
        <w:t xml:space="preserve"> growing policy attention and the expansion of school-based mental health initiatives, significant numbers of adolescents continue to struggle with accessing the support offered in secondary schools. This critical gap between policy aspirations and real-world implementation underscores an urgent need for a deeper understanding of the barriers that obstruct access. Factors such as stigma, service availability, staff capacity, confidentiality concerns, and socioeconomic disparities may all contribute to this issue, yet the extent of their influence remains poorly understood</w:t>
      </w:r>
      <w:r w:rsidR="001B3F87">
        <w:t xml:space="preserve"> (Deighton et al., </w:t>
      </w:r>
      <w:r w:rsidR="00841FFE">
        <w:t>2019; Garside, 2021)</w:t>
      </w:r>
      <w:r>
        <w:t>.</w:t>
      </w:r>
    </w:p>
    <w:p w14:paraId="4B2AABBB" w14:textId="77777777" w:rsidR="000661D6" w:rsidRDefault="000661D6" w:rsidP="000661D6"/>
    <w:p w14:paraId="4B0D2D66" w14:textId="532CC1FC" w:rsidR="00ED678B" w:rsidRDefault="000661D6" w:rsidP="000661D6">
      <w:r>
        <w:t>This scoping review endeavors to systematically map the existing research to address the fundamental question: What barriers thwart adolescents from accessing mental health services in secondary school settings? By identifying, categorizing, and synthesizing these barriers across diverse contexts and service models, the review aims to inform impactful policy development, enhance school-based practices, and steer future research efforts towards strengthening adolescents’ access to timely and effective mental health care</w:t>
      </w:r>
      <w:r w:rsidR="00AD3DB9">
        <w:t xml:space="preserve"> (Deighton </w:t>
      </w:r>
      <w:r w:rsidR="00EC27C1">
        <w:t>et al., 2019; Garside, 2021).</w:t>
      </w:r>
    </w:p>
    <w:p w14:paraId="361D04FC" w14:textId="77777777" w:rsidR="00931561" w:rsidRDefault="00931561" w:rsidP="000661D6"/>
    <w:p w14:paraId="6069E419" w14:textId="77777777" w:rsidR="00931561" w:rsidRDefault="00931561" w:rsidP="000661D6"/>
    <w:p w14:paraId="659DF01E" w14:textId="77777777" w:rsidR="00931561" w:rsidRDefault="00931561" w:rsidP="000661D6"/>
    <w:p w14:paraId="7891D6FD" w14:textId="77777777" w:rsidR="00931561" w:rsidRDefault="00931561" w:rsidP="000661D6"/>
    <w:p w14:paraId="0C5220B2" w14:textId="77777777" w:rsidR="00931561" w:rsidRDefault="00931561" w:rsidP="000661D6"/>
    <w:p w14:paraId="01F431A3" w14:textId="77777777" w:rsidR="00931561" w:rsidRDefault="00931561" w:rsidP="000661D6"/>
    <w:p w14:paraId="5B344680" w14:textId="77777777" w:rsidR="00931561" w:rsidRDefault="00931561" w:rsidP="000661D6"/>
    <w:p w14:paraId="23FF00C8" w14:textId="77777777" w:rsidR="00931561" w:rsidRDefault="00931561" w:rsidP="000661D6"/>
    <w:p w14:paraId="493DAA3B" w14:textId="77777777" w:rsidR="00931561" w:rsidRDefault="00931561" w:rsidP="000661D6"/>
    <w:p w14:paraId="2C98598E" w14:textId="1AB859CF" w:rsidR="000661D6" w:rsidRPr="00931561" w:rsidRDefault="000661D6" w:rsidP="000661D6">
      <w:pPr>
        <w:rPr>
          <w:b/>
          <w:bCs/>
        </w:rPr>
      </w:pPr>
      <w:r w:rsidRPr="00931561">
        <w:rPr>
          <w:b/>
          <w:bCs/>
        </w:rPr>
        <w:lastRenderedPageBreak/>
        <w:t>Methods</w:t>
      </w:r>
    </w:p>
    <w:p w14:paraId="75BF7581" w14:textId="79963DF9" w:rsidR="000661D6" w:rsidRDefault="000661D6" w:rsidP="000661D6">
      <w:r w:rsidRPr="000661D6">
        <w:t>This review is grounded in the robust methodological framework established by Arksey and O’Malley (2005) and further refined by Levac et al. (2010) and the Joanna Briggs Institute (Peters et al., 2020). We have chosen a scoping review design to illuminate the extensive range and depth of evidence surrounding the barriers that hinder adolescents from accessing vital mental health services in secondary school settings. Our objective is to unveil critical concepts, identify key sources, and pinpoint significant gaps in the existing literature. This approach does not merely assess study quality or aim for meta-analysis; instead, it seeks to drive actionable insights that can ultimately enhance access to mental health support for adolescents in schools.</w:t>
      </w:r>
    </w:p>
    <w:p w14:paraId="6E36158C" w14:textId="77777777" w:rsidR="00322C64" w:rsidRDefault="00322C64" w:rsidP="000661D6"/>
    <w:p w14:paraId="5044260E" w14:textId="2C3E5455" w:rsidR="000661D6" w:rsidRDefault="000661D6" w:rsidP="000661D6">
      <w:r>
        <w:t>Search strategy</w:t>
      </w:r>
    </w:p>
    <w:p w14:paraId="578E8E1C" w14:textId="77777777" w:rsidR="000661D6" w:rsidRDefault="000661D6" w:rsidP="000661D6"/>
    <w:p w14:paraId="43C208C8" w14:textId="77777777" w:rsidR="000661D6" w:rsidRDefault="000661D6" w:rsidP="000661D6">
      <w:r>
        <w:t>A thorough and strategic search of both peer-reviewed and grey literature was conducted to identify relevant studies that shed light on crucial issues. The following electronic databases were meticulously explored:</w:t>
      </w:r>
    </w:p>
    <w:p w14:paraId="05D7C13E" w14:textId="77777777" w:rsidR="000661D6" w:rsidRDefault="000661D6" w:rsidP="000661D6"/>
    <w:p w14:paraId="411D202B" w14:textId="77777777" w:rsidR="000661D6" w:rsidRDefault="000661D6" w:rsidP="000661D6">
      <w:r>
        <w:t>- PubMed/MEDLINE</w:t>
      </w:r>
    </w:p>
    <w:p w14:paraId="1567F7C0" w14:textId="77777777" w:rsidR="000661D6" w:rsidRDefault="000661D6" w:rsidP="000661D6">
      <w:r>
        <w:t>- PsycINFO</w:t>
      </w:r>
    </w:p>
    <w:p w14:paraId="50984A54" w14:textId="77777777" w:rsidR="000661D6" w:rsidRDefault="000661D6" w:rsidP="000661D6">
      <w:r>
        <w:t>- CINAHL</w:t>
      </w:r>
    </w:p>
    <w:p w14:paraId="7D686096" w14:textId="77777777" w:rsidR="000661D6" w:rsidRDefault="000661D6" w:rsidP="000661D6">
      <w:r>
        <w:t>- ERIC (Education Resources Information Center)</w:t>
      </w:r>
    </w:p>
    <w:p w14:paraId="284E6629" w14:textId="77777777" w:rsidR="000661D6" w:rsidRDefault="000661D6" w:rsidP="000661D6">
      <w:r>
        <w:t>- Scopus</w:t>
      </w:r>
    </w:p>
    <w:p w14:paraId="62B1FC8C" w14:textId="77777777" w:rsidR="000661D6" w:rsidRDefault="000661D6" w:rsidP="000661D6">
      <w:r>
        <w:t>- Web of Science</w:t>
      </w:r>
    </w:p>
    <w:p w14:paraId="613275E7" w14:textId="77777777" w:rsidR="000661D6" w:rsidRDefault="000661D6" w:rsidP="000661D6"/>
    <w:p w14:paraId="67E20019" w14:textId="4DA5AFB0" w:rsidR="000661D6" w:rsidRDefault="000661D6" w:rsidP="000661D6">
      <w:r>
        <w:t xml:space="preserve">To ensure a comprehensive understanding of UK-specific policy and practice documents, </w:t>
      </w:r>
      <w:r w:rsidR="008F4992">
        <w:t>also,</w:t>
      </w:r>
      <w:r>
        <w:t xml:space="preserve"> delved into:</w:t>
      </w:r>
    </w:p>
    <w:p w14:paraId="642AAF79" w14:textId="77777777" w:rsidR="000661D6" w:rsidRDefault="000661D6" w:rsidP="000661D6"/>
    <w:p w14:paraId="549AA07A" w14:textId="77777777" w:rsidR="000661D6" w:rsidRDefault="000661D6" w:rsidP="000661D6">
      <w:r>
        <w:t>- The Department for Education (DfE) website</w:t>
      </w:r>
    </w:p>
    <w:p w14:paraId="4B0B5B43" w14:textId="77777777" w:rsidR="000661D6" w:rsidRDefault="000661D6" w:rsidP="000661D6">
      <w:r>
        <w:t>- NHS England and Public Health England repositories</w:t>
      </w:r>
    </w:p>
    <w:p w14:paraId="0DB8E53F" w14:textId="77777777" w:rsidR="000661D6" w:rsidRDefault="000661D6" w:rsidP="000661D6">
      <w:r>
        <w:t>- GOV.UK and resources from the Local Government Association (LGA)</w:t>
      </w:r>
    </w:p>
    <w:p w14:paraId="093F5571" w14:textId="77777777" w:rsidR="000661D6" w:rsidRDefault="000661D6" w:rsidP="000661D6"/>
    <w:p w14:paraId="5DBD8254" w14:textId="4606F717" w:rsidR="000661D6" w:rsidRDefault="008F4992" w:rsidP="000661D6">
      <w:r>
        <w:lastRenderedPageBreak/>
        <w:t>My</w:t>
      </w:r>
      <w:r w:rsidR="000661D6">
        <w:t xml:space="preserve"> rigorous search combined critical terms related to adolescents, mental health, educational settings, and access barriers</w:t>
      </w:r>
      <w:r w:rsidR="00271B84">
        <w:t xml:space="preserve"> (Place2Be</w:t>
      </w:r>
      <w:r w:rsidR="00917027">
        <w:t>, 2018; Garrat, Kirk-wade</w:t>
      </w:r>
      <w:r w:rsidR="00F9451F">
        <w:t xml:space="preserve"> &amp; Long, 2024)</w:t>
      </w:r>
      <w:r w:rsidR="000661D6">
        <w:t>. An example search string used was:</w:t>
      </w:r>
    </w:p>
    <w:p w14:paraId="4A3DA5C9" w14:textId="77777777" w:rsidR="000661D6" w:rsidRDefault="000661D6" w:rsidP="000661D6"/>
    <w:p w14:paraId="412241FE" w14:textId="77D18D74" w:rsidR="000661D6" w:rsidRDefault="000661D6" w:rsidP="000661D6">
      <w:r>
        <w:t xml:space="preserve">("adolescent" OR "youth" OR "young people" OR "students") AND ("mental health" OR "psychological wellbeing" OR "emotional wellbeing") AND ("secondary school" OR "high school" OR "post-primary") AND ("access" OR "barriers" OR "utilization" OR "uptake"). </w:t>
      </w:r>
    </w:p>
    <w:p w14:paraId="4206EF71" w14:textId="2DD9B196" w:rsidR="000661D6" w:rsidRDefault="000661D6" w:rsidP="000661D6">
      <w:r>
        <w:t xml:space="preserve">This comprehensive approach ensured that </w:t>
      </w:r>
      <w:r w:rsidR="008F4992">
        <w:t>there was</w:t>
      </w:r>
      <w:r>
        <w:t xml:space="preserve"> no stone</w:t>
      </w:r>
      <w:r w:rsidR="008F4992">
        <w:t xml:space="preserve"> left</w:t>
      </w:r>
      <w:r>
        <w:t xml:space="preserve"> unturned in </w:t>
      </w:r>
      <w:r w:rsidR="008F4992">
        <w:t>the</w:t>
      </w:r>
      <w:r>
        <w:t xml:space="preserve"> quest to uncover valuable insights and data on this vital topic.</w:t>
      </w:r>
    </w:p>
    <w:p w14:paraId="712B4957" w14:textId="773111EC" w:rsidR="00322C64" w:rsidRDefault="00322C64" w:rsidP="000661D6">
      <w:r w:rsidRPr="00322C64">
        <w:t>Searches were intentionally limited to English-language publications from 2010 to 2025 to ensure the inclusion of the most relevant and up-to-date insights into contemporary policy and service developments in school-based mental health provision</w:t>
      </w:r>
      <w:r w:rsidR="00AF6955">
        <w:t xml:space="preserve"> (Deighton et al., 2019)</w:t>
      </w:r>
      <w:r w:rsidRPr="00322C64">
        <w:t>. Additionally, reference lists of the selected articles were meticulously examined to uncover further valuable sources, enhancing the depth and breadth of our understanding in this critical area.</w:t>
      </w:r>
    </w:p>
    <w:p w14:paraId="34765496" w14:textId="0735C332" w:rsidR="00A64AC7" w:rsidRDefault="00A64AC7" w:rsidP="000661D6">
      <w:r>
        <w:t>Inclusion/Exclusion Criteria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9"/>
        <w:gridCol w:w="3191"/>
        <w:gridCol w:w="4246"/>
      </w:tblGrid>
      <w:tr w:rsidR="0001094B" w:rsidRPr="00A64AC7" w14:paraId="49FF6E26" w14:textId="77777777">
        <w:trPr>
          <w:tblHeader/>
          <w:tblCellSpacing w:w="15" w:type="dxa"/>
        </w:trPr>
        <w:tc>
          <w:tcPr>
            <w:tcW w:w="0" w:type="auto"/>
            <w:vAlign w:val="center"/>
            <w:hideMark/>
          </w:tcPr>
          <w:p w14:paraId="281A5CAF" w14:textId="77777777" w:rsidR="00A64AC7" w:rsidRPr="00A64AC7" w:rsidRDefault="00A64AC7" w:rsidP="00A64AC7">
            <w:pPr>
              <w:rPr>
                <w:b/>
                <w:bCs/>
              </w:rPr>
            </w:pPr>
            <w:r w:rsidRPr="00A64AC7">
              <w:rPr>
                <w:b/>
                <w:bCs/>
              </w:rPr>
              <w:t>Criterion</w:t>
            </w:r>
          </w:p>
        </w:tc>
        <w:tc>
          <w:tcPr>
            <w:tcW w:w="0" w:type="auto"/>
            <w:vAlign w:val="center"/>
            <w:hideMark/>
          </w:tcPr>
          <w:p w14:paraId="1662608C" w14:textId="77777777" w:rsidR="00A64AC7" w:rsidRPr="00A64AC7" w:rsidRDefault="00A64AC7" w:rsidP="00A64AC7">
            <w:pPr>
              <w:rPr>
                <w:b/>
                <w:bCs/>
              </w:rPr>
            </w:pPr>
            <w:r w:rsidRPr="00A64AC7">
              <w:rPr>
                <w:b/>
                <w:bCs/>
              </w:rPr>
              <w:t>Inclusion</w:t>
            </w:r>
          </w:p>
        </w:tc>
        <w:tc>
          <w:tcPr>
            <w:tcW w:w="0" w:type="auto"/>
            <w:vAlign w:val="center"/>
            <w:hideMark/>
          </w:tcPr>
          <w:p w14:paraId="571E8C76" w14:textId="77777777" w:rsidR="00A64AC7" w:rsidRPr="00A64AC7" w:rsidRDefault="00A64AC7" w:rsidP="00A64AC7">
            <w:pPr>
              <w:rPr>
                <w:b/>
                <w:bCs/>
              </w:rPr>
            </w:pPr>
            <w:r w:rsidRPr="00A64AC7">
              <w:rPr>
                <w:b/>
                <w:bCs/>
              </w:rPr>
              <w:t>Exclusion</w:t>
            </w:r>
          </w:p>
        </w:tc>
      </w:tr>
      <w:tr w:rsidR="0001094B" w:rsidRPr="00A64AC7" w14:paraId="77A45A1C" w14:textId="77777777">
        <w:trPr>
          <w:tblCellSpacing w:w="15" w:type="dxa"/>
        </w:trPr>
        <w:tc>
          <w:tcPr>
            <w:tcW w:w="0" w:type="auto"/>
            <w:vAlign w:val="center"/>
            <w:hideMark/>
          </w:tcPr>
          <w:p w14:paraId="67317521" w14:textId="77777777" w:rsidR="00A64AC7" w:rsidRPr="00A64AC7" w:rsidRDefault="00A64AC7" w:rsidP="00A64AC7">
            <w:r w:rsidRPr="00A64AC7">
              <w:rPr>
                <w:b/>
                <w:bCs/>
              </w:rPr>
              <w:t>Population</w:t>
            </w:r>
          </w:p>
        </w:tc>
        <w:tc>
          <w:tcPr>
            <w:tcW w:w="0" w:type="auto"/>
            <w:vAlign w:val="center"/>
            <w:hideMark/>
          </w:tcPr>
          <w:p w14:paraId="6F675E35" w14:textId="6B92D0A4" w:rsidR="00A64AC7" w:rsidRPr="00A64AC7" w:rsidRDefault="00A64AC7" w:rsidP="00A64AC7">
            <w:r w:rsidRPr="00A64AC7">
              <w:t>Adolescents aged 10 to 19, who are enrolled in secondary school or equivalent educational institutions, represent a critical demographic in shaping our future</w:t>
            </w:r>
            <w:r w:rsidR="000F0104">
              <w:t xml:space="preserve"> (Patalay</w:t>
            </w:r>
            <w:r w:rsidR="00D761D2">
              <w:t xml:space="preserve"> &amp; Fitzsimons, 2018)</w:t>
            </w:r>
            <w:r w:rsidRPr="00A64AC7">
              <w:t>.</w:t>
            </w:r>
          </w:p>
        </w:tc>
        <w:tc>
          <w:tcPr>
            <w:tcW w:w="0" w:type="auto"/>
            <w:vAlign w:val="center"/>
            <w:hideMark/>
          </w:tcPr>
          <w:p w14:paraId="6B9614AE" w14:textId="61494420" w:rsidR="00A64AC7" w:rsidRPr="00A64AC7" w:rsidRDefault="00A64AC7" w:rsidP="00A64AC7">
            <w:r w:rsidRPr="00A64AC7">
              <w:t>Research predominantly concentrates on two specific groups: primary school children and university/college st</w:t>
            </w:r>
            <w:r w:rsidR="00ED2512">
              <w:t xml:space="preserve">udents. </w:t>
            </w:r>
            <w:r w:rsidRPr="00A64AC7">
              <w:t>This narrow focus highlights the need for broader studies that encompass a wider range of age groups and educational levels to fully understand educational dynamics and developmental impacts</w:t>
            </w:r>
            <w:r w:rsidR="00ED2512">
              <w:t xml:space="preserve"> </w:t>
            </w:r>
            <w:r w:rsidR="008E5032">
              <w:t>(Deighton et al., 2019)</w:t>
            </w:r>
            <w:r w:rsidRPr="00A64AC7">
              <w:t>.</w:t>
            </w:r>
          </w:p>
        </w:tc>
      </w:tr>
      <w:tr w:rsidR="0001094B" w:rsidRPr="00A64AC7" w14:paraId="5F1F357C" w14:textId="77777777">
        <w:trPr>
          <w:tblCellSpacing w:w="15" w:type="dxa"/>
        </w:trPr>
        <w:tc>
          <w:tcPr>
            <w:tcW w:w="0" w:type="auto"/>
            <w:vAlign w:val="center"/>
            <w:hideMark/>
          </w:tcPr>
          <w:p w14:paraId="7721CA99" w14:textId="77777777" w:rsidR="00A64AC7" w:rsidRPr="00A64AC7" w:rsidRDefault="00A64AC7" w:rsidP="00A64AC7">
            <w:r w:rsidRPr="00A64AC7">
              <w:rPr>
                <w:b/>
                <w:bCs/>
              </w:rPr>
              <w:t>Concept</w:t>
            </w:r>
          </w:p>
        </w:tc>
        <w:tc>
          <w:tcPr>
            <w:tcW w:w="0" w:type="auto"/>
            <w:vAlign w:val="center"/>
            <w:hideMark/>
          </w:tcPr>
          <w:p w14:paraId="6666351C" w14:textId="08C3D7AC" w:rsidR="00A64AC7" w:rsidRPr="00A64AC7" w:rsidRDefault="00EC7BF9" w:rsidP="00A64AC7">
            <w:r w:rsidRPr="00EC7BF9">
              <w:t>Significant barriers impede students' access to, engagement with, and effective use of mental health services and supports in school environments.</w:t>
            </w:r>
          </w:p>
        </w:tc>
        <w:tc>
          <w:tcPr>
            <w:tcW w:w="0" w:type="auto"/>
            <w:vAlign w:val="center"/>
            <w:hideMark/>
          </w:tcPr>
          <w:p w14:paraId="7A1051CE" w14:textId="2F8E6D1B" w:rsidR="00A64AC7" w:rsidRPr="00A64AC7" w:rsidRDefault="00EC7BF9" w:rsidP="00A64AC7">
            <w:r w:rsidRPr="00EC7BF9">
              <w:t>Research on mental health prevalence must not overlook the critical aspects of access to care and the utilization of services. By integrating these factors, we can gain a more comprehensive understanding of mental health challenges and drive meaningful improvements in treatment availability and effectiveness.</w:t>
            </w:r>
          </w:p>
        </w:tc>
      </w:tr>
      <w:tr w:rsidR="0001094B" w:rsidRPr="00A64AC7" w14:paraId="1234CF34" w14:textId="77777777">
        <w:trPr>
          <w:tblCellSpacing w:w="15" w:type="dxa"/>
        </w:trPr>
        <w:tc>
          <w:tcPr>
            <w:tcW w:w="0" w:type="auto"/>
            <w:vAlign w:val="center"/>
            <w:hideMark/>
          </w:tcPr>
          <w:p w14:paraId="4B53B462" w14:textId="77777777" w:rsidR="00A64AC7" w:rsidRPr="00A64AC7" w:rsidRDefault="00A64AC7" w:rsidP="00A64AC7">
            <w:r w:rsidRPr="00A64AC7">
              <w:rPr>
                <w:b/>
                <w:bCs/>
              </w:rPr>
              <w:lastRenderedPageBreak/>
              <w:t>Context</w:t>
            </w:r>
          </w:p>
        </w:tc>
        <w:tc>
          <w:tcPr>
            <w:tcW w:w="0" w:type="auto"/>
            <w:vAlign w:val="center"/>
            <w:hideMark/>
          </w:tcPr>
          <w:p w14:paraId="653BE160" w14:textId="05972A6E" w:rsidR="00A64AC7" w:rsidRPr="00A64AC7" w:rsidRDefault="00EC7BF9" w:rsidP="00A64AC7">
            <w:r w:rsidRPr="00EC7BF9">
              <w:t>Mental health services that are provided within schools or are connected to schools. This includes counseling, wellness programs, and referral options for further support</w:t>
            </w:r>
            <w:r w:rsidR="009942A5">
              <w:t xml:space="preserve"> (Department </w:t>
            </w:r>
            <w:r w:rsidR="00955702">
              <w:t>for Education &amp; DHSC, 201</w:t>
            </w:r>
            <w:r w:rsidR="00E145BD">
              <w:t>7)</w:t>
            </w:r>
            <w:r w:rsidRPr="00EC7BF9">
              <w:t>.</w:t>
            </w:r>
          </w:p>
        </w:tc>
        <w:tc>
          <w:tcPr>
            <w:tcW w:w="0" w:type="auto"/>
            <w:vAlign w:val="center"/>
            <w:hideMark/>
          </w:tcPr>
          <w:p w14:paraId="45420E8B" w14:textId="626AC5A4" w:rsidR="00A64AC7" w:rsidRPr="00A64AC7" w:rsidRDefault="009C0B9B" w:rsidP="00A64AC7">
            <w:r w:rsidRPr="009C0B9B">
              <w:t>Services that are provided in the community or hospitals, but are not connected to schools.</w:t>
            </w:r>
          </w:p>
        </w:tc>
      </w:tr>
      <w:tr w:rsidR="0001094B" w:rsidRPr="00A64AC7" w14:paraId="3F412F6A" w14:textId="77777777">
        <w:trPr>
          <w:tblCellSpacing w:w="15" w:type="dxa"/>
        </w:trPr>
        <w:tc>
          <w:tcPr>
            <w:tcW w:w="0" w:type="auto"/>
            <w:vAlign w:val="center"/>
            <w:hideMark/>
          </w:tcPr>
          <w:p w14:paraId="0EFDB62A" w14:textId="77777777" w:rsidR="00A64AC7" w:rsidRPr="00A64AC7" w:rsidRDefault="00A64AC7" w:rsidP="00A64AC7">
            <w:r w:rsidRPr="00A64AC7">
              <w:rPr>
                <w:b/>
                <w:bCs/>
              </w:rPr>
              <w:t>Geographical Focus</w:t>
            </w:r>
          </w:p>
        </w:tc>
        <w:tc>
          <w:tcPr>
            <w:tcW w:w="0" w:type="auto"/>
            <w:vAlign w:val="center"/>
            <w:hideMark/>
          </w:tcPr>
          <w:p w14:paraId="36422C8B" w14:textId="79491B9A" w:rsidR="00A64AC7" w:rsidRPr="00A64AC7" w:rsidRDefault="009C0B9B" w:rsidP="00A64AC7">
            <w:r w:rsidRPr="009C0B9B">
              <w:t>Most of the studies referenced are conducted in the United Kingdom, though international studies are included for comparison purposes.</w:t>
            </w:r>
          </w:p>
        </w:tc>
        <w:tc>
          <w:tcPr>
            <w:tcW w:w="0" w:type="auto"/>
            <w:vAlign w:val="center"/>
            <w:hideMark/>
          </w:tcPr>
          <w:p w14:paraId="23B3AEAF" w14:textId="2E981892" w:rsidR="00A64AC7" w:rsidRPr="00A64AC7" w:rsidRDefault="009C0B9B" w:rsidP="00A64AC7">
            <w:r w:rsidRPr="009C0B9B">
              <w:t>Research conducted in diverse contexts, particularly in low-resource settings where equivalent school structures are absent, highlights critical insights and challenges that can inform more effective educational strategies.</w:t>
            </w:r>
          </w:p>
        </w:tc>
      </w:tr>
      <w:tr w:rsidR="0001094B" w:rsidRPr="00A64AC7" w14:paraId="5F66F732" w14:textId="77777777">
        <w:trPr>
          <w:tblCellSpacing w:w="15" w:type="dxa"/>
        </w:trPr>
        <w:tc>
          <w:tcPr>
            <w:tcW w:w="0" w:type="auto"/>
            <w:vAlign w:val="center"/>
            <w:hideMark/>
          </w:tcPr>
          <w:p w14:paraId="42C4C60E" w14:textId="77777777" w:rsidR="00A64AC7" w:rsidRPr="00A64AC7" w:rsidRDefault="00A64AC7" w:rsidP="00A64AC7">
            <w:r w:rsidRPr="00A64AC7">
              <w:rPr>
                <w:b/>
                <w:bCs/>
              </w:rPr>
              <w:t>Study Type</w:t>
            </w:r>
          </w:p>
        </w:tc>
        <w:tc>
          <w:tcPr>
            <w:tcW w:w="0" w:type="auto"/>
            <w:vAlign w:val="center"/>
            <w:hideMark/>
          </w:tcPr>
          <w:p w14:paraId="11EEEB0B" w14:textId="342C4CEF" w:rsidR="00A64AC7" w:rsidRPr="00A64AC7" w:rsidRDefault="005D5DD9" w:rsidP="00A64AC7">
            <w:pPr>
              <w:rPr>
                <w:rFonts w:ascii="Arial" w:hAnsi="Arial" w:cs="Arial"/>
                <w:sz w:val="22"/>
                <w:szCs w:val="22"/>
              </w:rPr>
            </w:pPr>
            <w:r w:rsidRPr="005D5DD9">
              <w:rPr>
                <w:rFonts w:ascii="Arial" w:hAnsi="Arial" w:cs="Arial"/>
                <w:sz w:val="22"/>
                <w:szCs w:val="22"/>
              </w:rPr>
              <w:t>Empirical studies can take various forms, including quantitative, qualitative, or mixed methods approaches. Additionally, reviews, policy analyses, and evaluation reports are also included in this category</w:t>
            </w:r>
            <w:r w:rsidR="00E145BD">
              <w:rPr>
                <w:rFonts w:ascii="Arial" w:hAnsi="Arial" w:cs="Arial"/>
                <w:sz w:val="22"/>
                <w:szCs w:val="22"/>
              </w:rPr>
              <w:t xml:space="preserve"> (Ark</w:t>
            </w:r>
            <w:r w:rsidR="0001094B">
              <w:rPr>
                <w:rFonts w:ascii="Arial" w:hAnsi="Arial" w:cs="Arial"/>
                <w:sz w:val="22"/>
                <w:szCs w:val="22"/>
              </w:rPr>
              <w:t>sey &amp; O’Malley, 2005)</w:t>
            </w:r>
            <w:r w:rsidRPr="005D5DD9">
              <w:rPr>
                <w:rFonts w:ascii="Arial" w:hAnsi="Arial" w:cs="Arial"/>
                <w:sz w:val="22"/>
                <w:szCs w:val="22"/>
              </w:rPr>
              <w:t>.</w:t>
            </w:r>
          </w:p>
        </w:tc>
        <w:tc>
          <w:tcPr>
            <w:tcW w:w="0" w:type="auto"/>
            <w:vAlign w:val="center"/>
            <w:hideMark/>
          </w:tcPr>
          <w:p w14:paraId="15BBC450" w14:textId="32CE652A" w:rsidR="00A64AC7" w:rsidRPr="00A64AC7" w:rsidRDefault="00473C47" w:rsidP="00A64AC7">
            <w:r w:rsidRPr="00473C47">
              <w:t>Opinion pieces, editorials, and studies that lack methodological details.</w:t>
            </w:r>
          </w:p>
        </w:tc>
      </w:tr>
    </w:tbl>
    <w:p w14:paraId="4A3B92BD" w14:textId="77777777" w:rsidR="00A64AC7" w:rsidRDefault="00A64AC7" w:rsidP="000661D6"/>
    <w:p w14:paraId="52D472FA" w14:textId="1EB5C91A" w:rsidR="00ED678B" w:rsidRPr="00CB1EB8" w:rsidRDefault="00075C02" w:rsidP="00ED678B">
      <w:pPr>
        <w:rPr>
          <w:b/>
          <w:bCs/>
        </w:rPr>
      </w:pPr>
      <w:r w:rsidRPr="00CB1EB8">
        <w:rPr>
          <w:b/>
          <w:bCs/>
        </w:rPr>
        <w:t>Data charting</w:t>
      </w:r>
    </w:p>
    <w:p w14:paraId="79D0D506" w14:textId="77777777" w:rsidR="00000235" w:rsidRDefault="00000235" w:rsidP="00000235"/>
    <w:p w14:paraId="3966A191" w14:textId="1CFD8A98" w:rsidR="00BA76EC" w:rsidRDefault="00BA76EC" w:rsidP="00BA76EC">
      <w:r>
        <w:t>A comprehensive data charting form was meticulously crafted in Microsoft Excel to extract essential information from each study included in our analysis</w:t>
      </w:r>
      <w:r w:rsidR="00C44CEA">
        <w:t xml:space="preserve"> (</w:t>
      </w:r>
      <w:r w:rsidR="00C35909">
        <w:t>Arksey &amp; O’Malley, 2005; Peters et al., 2020)</w:t>
      </w:r>
      <w:r>
        <w:t>. The extracted data encompasses:</w:t>
      </w:r>
    </w:p>
    <w:p w14:paraId="31510F91" w14:textId="77777777" w:rsidR="00BA76EC" w:rsidRDefault="00BA76EC" w:rsidP="00BA76EC"/>
    <w:p w14:paraId="0DCF09FE" w14:textId="77777777" w:rsidR="00BA76EC" w:rsidRDefault="00BA76EC" w:rsidP="00BA76EC">
      <w:r>
        <w:t>- Author(s), year, and country of the study</w:t>
      </w:r>
    </w:p>
    <w:p w14:paraId="5ABF005B" w14:textId="77777777" w:rsidR="00BA76EC" w:rsidRDefault="00BA76EC" w:rsidP="00BA76EC">
      <w:r>
        <w:t>- Purpose and design of the study</w:t>
      </w:r>
    </w:p>
    <w:p w14:paraId="6C7D8DE7" w14:textId="77777777" w:rsidR="00BA76EC" w:rsidRDefault="00BA76EC" w:rsidP="00BA76EC">
      <w:r>
        <w:t>- Demographic and sample characteristics</w:t>
      </w:r>
    </w:p>
    <w:p w14:paraId="27B9D7DF" w14:textId="115EACD7" w:rsidR="00BA76EC" w:rsidRDefault="00BA76EC" w:rsidP="00BA76EC">
      <w:r>
        <w:t>- Detailed description of the mental health services or support provided</w:t>
      </w:r>
      <w:r w:rsidR="00DF2F0A">
        <w:t xml:space="preserve"> (Department</w:t>
      </w:r>
      <w:r w:rsidR="00804A2E">
        <w:t xml:space="preserve"> for Education &amp; DHSC, 2017).</w:t>
      </w:r>
      <w:r w:rsidR="00DF2F0A">
        <w:t xml:space="preserve"> </w:t>
      </w:r>
    </w:p>
    <w:p w14:paraId="1F9B50B8" w14:textId="77777777" w:rsidR="00BA76EC" w:rsidRDefault="00BA76EC" w:rsidP="00BA76EC">
      <w:r>
        <w:lastRenderedPageBreak/>
        <w:t>- Identified barriers to access (e.g., individual, social, organizational, structural)</w:t>
      </w:r>
    </w:p>
    <w:p w14:paraId="247459FE" w14:textId="46D435FF" w:rsidR="00BA76EC" w:rsidRDefault="00BA76EC" w:rsidP="00BA76EC">
      <w:r>
        <w:t>- Significant findings and their implications</w:t>
      </w:r>
      <w:r w:rsidR="00882F22">
        <w:t xml:space="preserve"> (Deighton et al., 2019</w:t>
      </w:r>
      <w:r w:rsidR="00E71F5C">
        <w:t>; Patalay et al., 2020).</w:t>
      </w:r>
    </w:p>
    <w:p w14:paraId="1EAD3320" w14:textId="77777777" w:rsidR="00BA76EC" w:rsidRDefault="00BA76EC" w:rsidP="00BA76EC"/>
    <w:p w14:paraId="7817BA9D" w14:textId="43E8605C" w:rsidR="00000235" w:rsidRDefault="00BA76EC" w:rsidP="00BA76EC">
      <w:r>
        <w:t>This carefully collated data was analyzed thematically to uncover recurring patterns and overarching categories of barriers</w:t>
      </w:r>
      <w:r w:rsidR="0046308B">
        <w:t xml:space="preserve"> (Levac, </w:t>
      </w:r>
      <w:r w:rsidR="00834B09">
        <w:t>Colquhoun &amp; O’Brien, 20</w:t>
      </w:r>
      <w:r w:rsidR="00636300">
        <w:t>20)</w:t>
      </w:r>
      <w:r>
        <w:t>. Employing an inductive approach allowed themes to naturally emerge from the data, while also drawing on established conceptual frameworks for service access, such as the Andersen Behavioral Model of Health Service Use.</w:t>
      </w:r>
      <w:r w:rsidR="003356B7">
        <w:t xml:space="preserve"> </w:t>
      </w:r>
      <w:r>
        <w:t>The findings will be presented in both narrative and tabular formats, illuminating the diverse range and frequency of identified barriers, as well as highlighting critical evidence gaps that demand further investigation. This synthesis aims to inform policy decisions and enhance understanding of access issues in mental health services</w:t>
      </w:r>
      <w:r w:rsidR="00636300">
        <w:t xml:space="preserve"> (Arksey &amp; O’Malley, 2005; </w:t>
      </w:r>
      <w:r w:rsidR="00C84556">
        <w:t>Peters et al., 2020)</w:t>
      </w:r>
      <w:r>
        <w:t>.</w:t>
      </w:r>
    </w:p>
    <w:p w14:paraId="2FA51B62" w14:textId="0D056D97" w:rsidR="00075C02" w:rsidRDefault="00382E6F" w:rsidP="00BA76EC">
      <w:r>
        <w:t>Ethical Considerations</w:t>
      </w:r>
    </w:p>
    <w:p w14:paraId="429E6D80" w14:textId="1E5948CE" w:rsidR="00382E6F" w:rsidRDefault="00382E6F" w:rsidP="00BA76EC">
      <w:r w:rsidRPr="00382E6F">
        <w:t>This review drew upon data from publicly available sources, thus negating the need for ethical approval. Nonetheless, the highest standards of research integrity, transparency, and meticulous representation of the source material</w:t>
      </w:r>
      <w:r w:rsidR="004A63E8">
        <w:t xml:space="preserve"> were upheld</w:t>
      </w:r>
      <w:r w:rsidRPr="00382E6F">
        <w:t xml:space="preserve"> throughout the review process.</w:t>
      </w:r>
    </w:p>
    <w:p w14:paraId="63F4E15D" w14:textId="77777777" w:rsidR="003D66BF" w:rsidRDefault="003D66BF" w:rsidP="00BA76EC"/>
    <w:p w14:paraId="0420C11A" w14:textId="78F17740" w:rsidR="0065007D" w:rsidRPr="00D17E5E" w:rsidRDefault="0065007D" w:rsidP="00BA76EC">
      <w:pPr>
        <w:rPr>
          <w:b/>
          <w:bCs/>
        </w:rPr>
      </w:pPr>
      <w:r w:rsidRPr="00D17E5E">
        <w:rPr>
          <w:b/>
          <w:bCs/>
        </w:rPr>
        <w:t>Study selection</w:t>
      </w:r>
      <w:r w:rsidR="005F775E" w:rsidRPr="00D17E5E">
        <w:rPr>
          <w:b/>
          <w:bCs/>
        </w:rPr>
        <w:t xml:space="preserve"> and summary </w:t>
      </w:r>
      <w:r w:rsidR="00D63578" w:rsidRPr="00D17E5E">
        <w:rPr>
          <w:b/>
          <w:bCs/>
        </w:rPr>
        <w:t xml:space="preserve">of </w:t>
      </w:r>
      <w:r w:rsidR="00C84556">
        <w:rPr>
          <w:b/>
          <w:bCs/>
        </w:rPr>
        <w:t>studies</w:t>
      </w:r>
      <w:r w:rsidR="00D63578" w:rsidRPr="00D17E5E">
        <w:rPr>
          <w:b/>
          <w:bCs/>
        </w:rPr>
        <w:t xml:space="preserve"> on barriers in accessing mental health </w:t>
      </w:r>
      <w:r w:rsidR="00D17E5E" w:rsidRPr="00D17E5E">
        <w:rPr>
          <w:b/>
          <w:bCs/>
        </w:rPr>
        <w:t>services in Secondary schools</w:t>
      </w:r>
    </w:p>
    <w:p w14:paraId="003833CB" w14:textId="77777777" w:rsidR="00D17E5E" w:rsidRDefault="00D17E5E" w:rsidP="00BA76EC"/>
    <w:p w14:paraId="5405F3A9" w14:textId="7A429F0F" w:rsidR="0065007D" w:rsidRDefault="0065007D" w:rsidP="0065007D">
      <w:r>
        <w:t>A total of 742 records were identified through database searches, and an additional 58 sources were found through grey literature searches and reference screening. After removing duplicates, 637 titles and abstracts were screened for relevance. Out of these, 87 full-text articles were assessed against the inclusion criteria, resulting in 72 studies being included in the final review</w:t>
      </w:r>
      <w:r w:rsidR="00D10AA0">
        <w:t xml:space="preserve"> (Peters et al., 2020)</w:t>
      </w:r>
      <w:r>
        <w:t xml:space="preserve">.  </w:t>
      </w:r>
    </w:p>
    <w:p w14:paraId="33CF779D" w14:textId="03618613" w:rsidR="0065007D" w:rsidRDefault="0065007D" w:rsidP="0065007D">
      <w:r>
        <w:t>A PRISMA-ScR flow diagram (Tricco et al., 2018) will be used to illustrate the selection process. This diagram will detail the number of records identified, screened, excluded, and included, along with the reasons for excluding certain articles at the full-text stage.</w:t>
      </w:r>
    </w:p>
    <w:p w14:paraId="5E6F4D6B" w14:textId="77777777" w:rsidR="005F775E" w:rsidRDefault="005F775E" w:rsidP="0065007D"/>
    <w:p w14:paraId="0323BEA5" w14:textId="77777777" w:rsidR="005F775E" w:rsidRDefault="005F775E" w:rsidP="0065007D">
      <w:pPr>
        <w:rPr>
          <w:rFonts w:ascii="Arial" w:hAnsi="Arial" w:cs="Arial"/>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08"/>
        <w:gridCol w:w="1201"/>
        <w:gridCol w:w="3917"/>
      </w:tblGrid>
      <w:tr w:rsidR="0006735C" w:rsidRPr="0006735C" w14:paraId="7A2AEB70" w14:textId="77777777">
        <w:trPr>
          <w:tblHeader/>
          <w:tblCellSpacing w:w="15" w:type="dxa"/>
        </w:trPr>
        <w:tc>
          <w:tcPr>
            <w:tcW w:w="0" w:type="auto"/>
            <w:vAlign w:val="center"/>
            <w:hideMark/>
          </w:tcPr>
          <w:p w14:paraId="0F33E08F" w14:textId="77777777" w:rsidR="0006735C" w:rsidRPr="0006735C" w:rsidRDefault="0006735C" w:rsidP="0006735C">
            <w:pPr>
              <w:rPr>
                <w:rFonts w:ascii="Arial" w:hAnsi="Arial" w:cs="Arial"/>
                <w:b/>
                <w:bCs/>
                <w:sz w:val="22"/>
                <w:szCs w:val="22"/>
              </w:rPr>
            </w:pPr>
            <w:r w:rsidRPr="0006735C">
              <w:rPr>
                <w:rFonts w:ascii="Arial" w:hAnsi="Arial" w:cs="Arial"/>
                <w:b/>
                <w:bCs/>
                <w:sz w:val="22"/>
                <w:szCs w:val="22"/>
              </w:rPr>
              <w:lastRenderedPageBreak/>
              <w:t>Stage of Screening</w:t>
            </w:r>
          </w:p>
        </w:tc>
        <w:tc>
          <w:tcPr>
            <w:tcW w:w="0" w:type="auto"/>
            <w:vAlign w:val="center"/>
            <w:hideMark/>
          </w:tcPr>
          <w:p w14:paraId="543A80C0" w14:textId="2F0D0BF3" w:rsidR="0006735C" w:rsidRPr="0006735C" w:rsidRDefault="0006735C" w:rsidP="0006735C">
            <w:pPr>
              <w:rPr>
                <w:rFonts w:ascii="Arial" w:hAnsi="Arial" w:cs="Arial"/>
                <w:b/>
                <w:bCs/>
                <w:sz w:val="22"/>
                <w:szCs w:val="22"/>
              </w:rPr>
            </w:pPr>
            <w:r w:rsidRPr="0006735C">
              <w:rPr>
                <w:rFonts w:ascii="Arial" w:hAnsi="Arial" w:cs="Arial"/>
                <w:b/>
                <w:bCs/>
                <w:sz w:val="22"/>
                <w:szCs w:val="22"/>
              </w:rPr>
              <w:t xml:space="preserve">Number of Records </w:t>
            </w:r>
          </w:p>
        </w:tc>
        <w:tc>
          <w:tcPr>
            <w:tcW w:w="0" w:type="auto"/>
            <w:vAlign w:val="center"/>
            <w:hideMark/>
          </w:tcPr>
          <w:p w14:paraId="636A256E" w14:textId="77777777" w:rsidR="0006735C" w:rsidRPr="0006735C" w:rsidRDefault="0006735C" w:rsidP="0006735C">
            <w:pPr>
              <w:rPr>
                <w:rFonts w:ascii="Arial" w:hAnsi="Arial" w:cs="Arial"/>
                <w:b/>
                <w:bCs/>
                <w:sz w:val="22"/>
                <w:szCs w:val="22"/>
              </w:rPr>
            </w:pPr>
            <w:r w:rsidRPr="0006735C">
              <w:rPr>
                <w:rFonts w:ascii="Arial" w:hAnsi="Arial" w:cs="Arial"/>
                <w:b/>
                <w:bCs/>
                <w:sz w:val="22"/>
                <w:szCs w:val="22"/>
              </w:rPr>
              <w:t>Description</w:t>
            </w:r>
          </w:p>
        </w:tc>
      </w:tr>
      <w:tr w:rsidR="0006735C" w:rsidRPr="0006735C" w14:paraId="22DEE465" w14:textId="77777777">
        <w:trPr>
          <w:tblCellSpacing w:w="15" w:type="dxa"/>
        </w:trPr>
        <w:tc>
          <w:tcPr>
            <w:tcW w:w="0" w:type="auto"/>
            <w:vAlign w:val="center"/>
            <w:hideMark/>
          </w:tcPr>
          <w:p w14:paraId="5B9718E7" w14:textId="4A40E343" w:rsidR="0006735C" w:rsidRPr="0006735C" w:rsidRDefault="00633BA7" w:rsidP="0006735C">
            <w:pPr>
              <w:rPr>
                <w:rFonts w:ascii="Arial" w:hAnsi="Arial" w:cs="Arial"/>
                <w:sz w:val="22"/>
                <w:szCs w:val="22"/>
              </w:rPr>
            </w:pPr>
            <w:r w:rsidRPr="00633BA7">
              <w:rPr>
                <w:rFonts w:ascii="Arial" w:hAnsi="Arial" w:cs="Arial"/>
                <w:sz w:val="22"/>
                <w:szCs w:val="22"/>
              </w:rPr>
              <w:t>Records identified through searches in the following databases: PubMed, PsycINFO, CINAHL, ERIC, Scopus, and Web of Science.</w:t>
            </w:r>
          </w:p>
        </w:tc>
        <w:tc>
          <w:tcPr>
            <w:tcW w:w="0" w:type="auto"/>
            <w:vAlign w:val="center"/>
            <w:hideMark/>
          </w:tcPr>
          <w:p w14:paraId="4EA34171" w14:textId="77777777" w:rsidR="0006735C" w:rsidRPr="0006735C" w:rsidRDefault="0006735C" w:rsidP="0006735C">
            <w:pPr>
              <w:rPr>
                <w:rFonts w:ascii="Arial" w:hAnsi="Arial" w:cs="Arial"/>
                <w:sz w:val="22"/>
                <w:szCs w:val="22"/>
              </w:rPr>
            </w:pPr>
            <w:r w:rsidRPr="0006735C">
              <w:rPr>
                <w:rFonts w:ascii="Arial" w:hAnsi="Arial" w:cs="Arial"/>
                <w:sz w:val="22"/>
                <w:szCs w:val="22"/>
              </w:rPr>
              <w:t>742</w:t>
            </w:r>
          </w:p>
        </w:tc>
        <w:tc>
          <w:tcPr>
            <w:tcW w:w="0" w:type="auto"/>
            <w:vAlign w:val="center"/>
            <w:hideMark/>
          </w:tcPr>
          <w:p w14:paraId="681258A0" w14:textId="321EDE31" w:rsidR="0006735C" w:rsidRPr="0006735C" w:rsidRDefault="00EE78D8" w:rsidP="0006735C">
            <w:pPr>
              <w:rPr>
                <w:rFonts w:ascii="Arial" w:hAnsi="Arial" w:cs="Arial"/>
                <w:sz w:val="22"/>
                <w:szCs w:val="22"/>
              </w:rPr>
            </w:pPr>
            <w:r w:rsidRPr="00EE78D8">
              <w:rPr>
                <w:rFonts w:ascii="Arial" w:hAnsi="Arial" w:cs="Arial"/>
                <w:sz w:val="22"/>
                <w:szCs w:val="22"/>
              </w:rPr>
              <w:t>Searches conducted from January to March 2025 using keywords related to adolescents, mental health, and school access.</w:t>
            </w:r>
          </w:p>
        </w:tc>
      </w:tr>
      <w:tr w:rsidR="0006735C" w:rsidRPr="0006735C" w14:paraId="4F7B76A4" w14:textId="77777777">
        <w:trPr>
          <w:tblCellSpacing w:w="15" w:type="dxa"/>
        </w:trPr>
        <w:tc>
          <w:tcPr>
            <w:tcW w:w="0" w:type="auto"/>
            <w:vAlign w:val="center"/>
            <w:hideMark/>
          </w:tcPr>
          <w:p w14:paraId="5BECAA3E" w14:textId="0C2E084F" w:rsidR="0006735C" w:rsidRPr="0006735C" w:rsidRDefault="003B5904" w:rsidP="0006735C">
            <w:pPr>
              <w:rPr>
                <w:rFonts w:ascii="Arial" w:hAnsi="Arial" w:cs="Arial"/>
                <w:sz w:val="22"/>
                <w:szCs w:val="22"/>
              </w:rPr>
            </w:pPr>
            <w:r w:rsidRPr="003B5904">
              <w:rPr>
                <w:rFonts w:ascii="Arial" w:hAnsi="Arial" w:cs="Arial"/>
                <w:sz w:val="22"/>
                <w:szCs w:val="22"/>
              </w:rPr>
              <w:t>Additional records identified through grey literature and policy sources, including DfE, NHS England, Public Health England, and GOV.UK.</w:t>
            </w:r>
          </w:p>
        </w:tc>
        <w:tc>
          <w:tcPr>
            <w:tcW w:w="0" w:type="auto"/>
            <w:vAlign w:val="center"/>
            <w:hideMark/>
          </w:tcPr>
          <w:p w14:paraId="214BE52A" w14:textId="77777777" w:rsidR="0006735C" w:rsidRPr="0006735C" w:rsidRDefault="0006735C" w:rsidP="0006735C">
            <w:pPr>
              <w:rPr>
                <w:rFonts w:ascii="Arial" w:hAnsi="Arial" w:cs="Arial"/>
                <w:sz w:val="22"/>
                <w:szCs w:val="22"/>
              </w:rPr>
            </w:pPr>
            <w:r w:rsidRPr="0006735C">
              <w:rPr>
                <w:rFonts w:ascii="Arial" w:hAnsi="Arial" w:cs="Arial"/>
                <w:sz w:val="22"/>
                <w:szCs w:val="22"/>
              </w:rPr>
              <w:t>58</w:t>
            </w:r>
          </w:p>
        </w:tc>
        <w:tc>
          <w:tcPr>
            <w:tcW w:w="0" w:type="auto"/>
            <w:vAlign w:val="center"/>
            <w:hideMark/>
          </w:tcPr>
          <w:p w14:paraId="77A35186" w14:textId="2A51EABC" w:rsidR="0006735C" w:rsidRPr="0006735C" w:rsidRDefault="00732F12" w:rsidP="0006735C">
            <w:pPr>
              <w:rPr>
                <w:rFonts w:ascii="Arial" w:hAnsi="Arial" w:cs="Arial"/>
                <w:sz w:val="22"/>
                <w:szCs w:val="22"/>
              </w:rPr>
            </w:pPr>
            <w:r w:rsidRPr="00732F12">
              <w:rPr>
                <w:rFonts w:ascii="Arial" w:hAnsi="Arial" w:cs="Arial"/>
                <w:sz w:val="22"/>
                <w:szCs w:val="22"/>
              </w:rPr>
              <w:t>National reports and educational policy papers were included.</w:t>
            </w:r>
          </w:p>
        </w:tc>
      </w:tr>
      <w:tr w:rsidR="0006735C" w:rsidRPr="0006735C" w14:paraId="33B9650F" w14:textId="77777777">
        <w:trPr>
          <w:tblCellSpacing w:w="15" w:type="dxa"/>
        </w:trPr>
        <w:tc>
          <w:tcPr>
            <w:tcW w:w="0" w:type="auto"/>
            <w:vAlign w:val="center"/>
            <w:hideMark/>
          </w:tcPr>
          <w:p w14:paraId="4E83603F" w14:textId="61BAF375" w:rsidR="0006735C" w:rsidRPr="0006735C" w:rsidRDefault="0006735C" w:rsidP="0006735C">
            <w:pPr>
              <w:rPr>
                <w:rFonts w:ascii="Arial" w:hAnsi="Arial" w:cs="Arial"/>
                <w:sz w:val="22"/>
                <w:szCs w:val="22"/>
              </w:rPr>
            </w:pPr>
            <w:r w:rsidRPr="0006735C">
              <w:rPr>
                <w:rFonts w:ascii="Arial" w:hAnsi="Arial" w:cs="Arial"/>
                <w:b/>
                <w:bCs/>
                <w:sz w:val="22"/>
                <w:szCs w:val="22"/>
              </w:rPr>
              <w:t>Total</w:t>
            </w:r>
            <w:r w:rsidR="00052F90">
              <w:rPr>
                <w:rFonts w:ascii="Arial" w:hAnsi="Arial" w:cs="Arial"/>
                <w:b/>
                <w:bCs/>
                <w:sz w:val="22"/>
                <w:szCs w:val="22"/>
              </w:rPr>
              <w:t xml:space="preserve"> of</w:t>
            </w:r>
            <w:r w:rsidRPr="0006735C">
              <w:rPr>
                <w:rFonts w:ascii="Arial" w:hAnsi="Arial" w:cs="Arial"/>
                <w:b/>
                <w:bCs/>
                <w:sz w:val="22"/>
                <w:szCs w:val="22"/>
              </w:rPr>
              <w:t xml:space="preserve"> records identified</w:t>
            </w:r>
          </w:p>
        </w:tc>
        <w:tc>
          <w:tcPr>
            <w:tcW w:w="0" w:type="auto"/>
            <w:vAlign w:val="center"/>
            <w:hideMark/>
          </w:tcPr>
          <w:p w14:paraId="21103598" w14:textId="77777777" w:rsidR="0006735C" w:rsidRPr="0006735C" w:rsidRDefault="0006735C" w:rsidP="0006735C">
            <w:pPr>
              <w:rPr>
                <w:rFonts w:ascii="Arial" w:hAnsi="Arial" w:cs="Arial"/>
                <w:sz w:val="22"/>
                <w:szCs w:val="22"/>
              </w:rPr>
            </w:pPr>
            <w:r w:rsidRPr="0006735C">
              <w:rPr>
                <w:rFonts w:ascii="Arial" w:hAnsi="Arial" w:cs="Arial"/>
                <w:b/>
                <w:bCs/>
                <w:sz w:val="22"/>
                <w:szCs w:val="22"/>
              </w:rPr>
              <w:t>800</w:t>
            </w:r>
          </w:p>
        </w:tc>
        <w:tc>
          <w:tcPr>
            <w:tcW w:w="0" w:type="auto"/>
            <w:vAlign w:val="center"/>
            <w:hideMark/>
          </w:tcPr>
          <w:p w14:paraId="05E4C07E" w14:textId="77777777" w:rsidR="0006735C" w:rsidRPr="0006735C" w:rsidRDefault="0006735C" w:rsidP="0006735C">
            <w:pPr>
              <w:rPr>
                <w:rFonts w:ascii="Arial" w:hAnsi="Arial" w:cs="Arial"/>
                <w:sz w:val="22"/>
                <w:szCs w:val="22"/>
              </w:rPr>
            </w:pPr>
          </w:p>
        </w:tc>
      </w:tr>
      <w:tr w:rsidR="0006735C" w:rsidRPr="0006735C" w14:paraId="2A812ACF" w14:textId="77777777">
        <w:trPr>
          <w:tblCellSpacing w:w="15" w:type="dxa"/>
        </w:trPr>
        <w:tc>
          <w:tcPr>
            <w:tcW w:w="0" w:type="auto"/>
            <w:vAlign w:val="center"/>
            <w:hideMark/>
          </w:tcPr>
          <w:p w14:paraId="6A66CEA2" w14:textId="77777777" w:rsidR="0006735C" w:rsidRPr="0006735C" w:rsidRDefault="0006735C" w:rsidP="0006735C">
            <w:pPr>
              <w:rPr>
                <w:rFonts w:ascii="Arial" w:hAnsi="Arial" w:cs="Arial"/>
                <w:sz w:val="22"/>
                <w:szCs w:val="22"/>
              </w:rPr>
            </w:pPr>
            <w:r w:rsidRPr="0006735C">
              <w:rPr>
                <w:rFonts w:ascii="Arial" w:hAnsi="Arial" w:cs="Arial"/>
                <w:sz w:val="22"/>
                <w:szCs w:val="22"/>
              </w:rPr>
              <w:t>Duplicates removed</w:t>
            </w:r>
          </w:p>
        </w:tc>
        <w:tc>
          <w:tcPr>
            <w:tcW w:w="0" w:type="auto"/>
            <w:vAlign w:val="center"/>
            <w:hideMark/>
          </w:tcPr>
          <w:p w14:paraId="0512030F" w14:textId="77777777" w:rsidR="0006735C" w:rsidRPr="0006735C" w:rsidRDefault="0006735C" w:rsidP="0006735C">
            <w:pPr>
              <w:rPr>
                <w:rFonts w:ascii="Arial" w:hAnsi="Arial" w:cs="Arial"/>
                <w:sz w:val="22"/>
                <w:szCs w:val="22"/>
              </w:rPr>
            </w:pPr>
            <w:r w:rsidRPr="0006735C">
              <w:rPr>
                <w:rFonts w:ascii="Arial" w:hAnsi="Arial" w:cs="Arial"/>
                <w:sz w:val="22"/>
                <w:szCs w:val="22"/>
              </w:rPr>
              <w:t>163</w:t>
            </w:r>
          </w:p>
        </w:tc>
        <w:tc>
          <w:tcPr>
            <w:tcW w:w="0" w:type="auto"/>
            <w:vAlign w:val="center"/>
            <w:hideMark/>
          </w:tcPr>
          <w:p w14:paraId="1F0C00A3" w14:textId="6D268D58" w:rsidR="0006735C" w:rsidRPr="0006735C" w:rsidRDefault="00941E91" w:rsidP="0006735C">
            <w:pPr>
              <w:rPr>
                <w:rFonts w:ascii="Arial" w:hAnsi="Arial" w:cs="Arial"/>
                <w:sz w:val="22"/>
                <w:szCs w:val="22"/>
              </w:rPr>
            </w:pPr>
            <w:r w:rsidRPr="00941E91">
              <w:rPr>
                <w:rFonts w:ascii="Arial" w:hAnsi="Arial" w:cs="Arial"/>
                <w:sz w:val="22"/>
                <w:szCs w:val="22"/>
              </w:rPr>
              <w:t>The references were removed using EndNote, followed by a manual verification process.</w:t>
            </w:r>
          </w:p>
        </w:tc>
      </w:tr>
      <w:tr w:rsidR="0006735C" w:rsidRPr="0006735C" w14:paraId="4D58C904" w14:textId="77777777">
        <w:trPr>
          <w:tblCellSpacing w:w="15" w:type="dxa"/>
        </w:trPr>
        <w:tc>
          <w:tcPr>
            <w:tcW w:w="0" w:type="auto"/>
            <w:vAlign w:val="center"/>
            <w:hideMark/>
          </w:tcPr>
          <w:p w14:paraId="38540684" w14:textId="0911D535" w:rsidR="0006735C" w:rsidRPr="0006735C" w:rsidRDefault="00A417E0" w:rsidP="0006735C">
            <w:pPr>
              <w:rPr>
                <w:rFonts w:ascii="Arial" w:hAnsi="Arial" w:cs="Arial"/>
                <w:sz w:val="22"/>
                <w:szCs w:val="22"/>
              </w:rPr>
            </w:pPr>
            <w:r w:rsidRPr="00A417E0">
              <w:rPr>
                <w:rFonts w:ascii="Arial" w:hAnsi="Arial" w:cs="Arial"/>
                <w:sz w:val="22"/>
                <w:szCs w:val="22"/>
              </w:rPr>
              <w:t>Records reviewed based on their title and abstract.</w:t>
            </w:r>
          </w:p>
        </w:tc>
        <w:tc>
          <w:tcPr>
            <w:tcW w:w="0" w:type="auto"/>
            <w:vAlign w:val="center"/>
            <w:hideMark/>
          </w:tcPr>
          <w:p w14:paraId="0A8ABC17" w14:textId="77777777" w:rsidR="0006735C" w:rsidRPr="0006735C" w:rsidRDefault="0006735C" w:rsidP="0006735C">
            <w:pPr>
              <w:rPr>
                <w:rFonts w:ascii="Arial" w:hAnsi="Arial" w:cs="Arial"/>
                <w:sz w:val="22"/>
                <w:szCs w:val="22"/>
              </w:rPr>
            </w:pPr>
            <w:r w:rsidRPr="0006735C">
              <w:rPr>
                <w:rFonts w:ascii="Arial" w:hAnsi="Arial" w:cs="Arial"/>
                <w:sz w:val="22"/>
                <w:szCs w:val="22"/>
              </w:rPr>
              <w:t>637</w:t>
            </w:r>
          </w:p>
        </w:tc>
        <w:tc>
          <w:tcPr>
            <w:tcW w:w="0" w:type="auto"/>
            <w:vAlign w:val="center"/>
            <w:hideMark/>
          </w:tcPr>
          <w:p w14:paraId="075E726F" w14:textId="74264E1C" w:rsidR="0006735C" w:rsidRPr="0006735C" w:rsidRDefault="00DB7257" w:rsidP="0006735C">
            <w:pPr>
              <w:rPr>
                <w:rFonts w:ascii="Arial" w:hAnsi="Arial" w:cs="Arial"/>
                <w:sz w:val="22"/>
                <w:szCs w:val="22"/>
              </w:rPr>
            </w:pPr>
            <w:r w:rsidRPr="00DB7257">
              <w:rPr>
                <w:rFonts w:ascii="Arial" w:hAnsi="Arial" w:cs="Arial"/>
                <w:sz w:val="22"/>
                <w:szCs w:val="22"/>
              </w:rPr>
              <w:t>Evaluated for its relevance to access to adolescent mental health resources in secondary schools.</w:t>
            </w:r>
          </w:p>
        </w:tc>
      </w:tr>
      <w:tr w:rsidR="0006735C" w:rsidRPr="0006735C" w14:paraId="425BDA73" w14:textId="77777777">
        <w:trPr>
          <w:tblCellSpacing w:w="15" w:type="dxa"/>
        </w:trPr>
        <w:tc>
          <w:tcPr>
            <w:tcW w:w="0" w:type="auto"/>
            <w:vAlign w:val="center"/>
            <w:hideMark/>
          </w:tcPr>
          <w:p w14:paraId="62247D3C" w14:textId="1EAAA097" w:rsidR="0006735C" w:rsidRPr="0006735C" w:rsidRDefault="00A12BC2" w:rsidP="0006735C">
            <w:pPr>
              <w:rPr>
                <w:rFonts w:ascii="Arial" w:hAnsi="Arial" w:cs="Arial"/>
                <w:sz w:val="22"/>
                <w:szCs w:val="22"/>
              </w:rPr>
            </w:pPr>
            <w:r w:rsidRPr="00A12BC2">
              <w:rPr>
                <w:rFonts w:ascii="Arial" w:hAnsi="Arial" w:cs="Arial"/>
                <w:sz w:val="22"/>
                <w:szCs w:val="22"/>
              </w:rPr>
              <w:t>Full-text articles evaluated for eligibility.</w:t>
            </w:r>
          </w:p>
        </w:tc>
        <w:tc>
          <w:tcPr>
            <w:tcW w:w="0" w:type="auto"/>
            <w:vAlign w:val="center"/>
            <w:hideMark/>
          </w:tcPr>
          <w:p w14:paraId="2CE55E62" w14:textId="77777777" w:rsidR="0006735C" w:rsidRPr="0006735C" w:rsidRDefault="0006735C" w:rsidP="0006735C">
            <w:pPr>
              <w:rPr>
                <w:rFonts w:ascii="Arial" w:hAnsi="Arial" w:cs="Arial"/>
                <w:sz w:val="22"/>
                <w:szCs w:val="22"/>
              </w:rPr>
            </w:pPr>
            <w:r w:rsidRPr="0006735C">
              <w:rPr>
                <w:rFonts w:ascii="Arial" w:hAnsi="Arial" w:cs="Arial"/>
                <w:sz w:val="22"/>
                <w:szCs w:val="22"/>
              </w:rPr>
              <w:t>87</w:t>
            </w:r>
          </w:p>
        </w:tc>
        <w:tc>
          <w:tcPr>
            <w:tcW w:w="0" w:type="auto"/>
            <w:vAlign w:val="center"/>
            <w:hideMark/>
          </w:tcPr>
          <w:p w14:paraId="7662AB8B" w14:textId="495B9295" w:rsidR="0006735C" w:rsidRPr="0006735C" w:rsidRDefault="000D0912" w:rsidP="0006735C">
            <w:pPr>
              <w:rPr>
                <w:rFonts w:ascii="Arial" w:hAnsi="Arial" w:cs="Arial"/>
                <w:sz w:val="22"/>
                <w:szCs w:val="22"/>
              </w:rPr>
            </w:pPr>
            <w:r w:rsidRPr="000D0912">
              <w:rPr>
                <w:rFonts w:ascii="Arial" w:hAnsi="Arial" w:cs="Arial"/>
                <w:sz w:val="22"/>
                <w:szCs w:val="22"/>
              </w:rPr>
              <w:t>Evaluated based on inclusion and exclusion criteria.</w:t>
            </w:r>
          </w:p>
        </w:tc>
      </w:tr>
      <w:tr w:rsidR="0006735C" w:rsidRPr="0006735C" w14:paraId="313065F7" w14:textId="77777777">
        <w:trPr>
          <w:tblCellSpacing w:w="15" w:type="dxa"/>
        </w:trPr>
        <w:tc>
          <w:tcPr>
            <w:tcW w:w="0" w:type="auto"/>
            <w:vAlign w:val="center"/>
            <w:hideMark/>
          </w:tcPr>
          <w:p w14:paraId="58D8376E" w14:textId="38D02492" w:rsidR="0006735C" w:rsidRPr="0006735C" w:rsidRDefault="002A0A15" w:rsidP="0006735C">
            <w:pPr>
              <w:rPr>
                <w:rFonts w:ascii="Arial" w:hAnsi="Arial" w:cs="Arial"/>
                <w:sz w:val="22"/>
                <w:szCs w:val="22"/>
              </w:rPr>
            </w:pPr>
            <w:r w:rsidRPr="002A0A15">
              <w:rPr>
                <w:rFonts w:ascii="Arial" w:hAnsi="Arial" w:cs="Arial"/>
                <w:sz w:val="22"/>
                <w:szCs w:val="22"/>
              </w:rPr>
              <w:t>Studies that were excluded during the full-text review stage.</w:t>
            </w:r>
          </w:p>
        </w:tc>
        <w:tc>
          <w:tcPr>
            <w:tcW w:w="0" w:type="auto"/>
            <w:vAlign w:val="center"/>
            <w:hideMark/>
          </w:tcPr>
          <w:p w14:paraId="79D36600" w14:textId="77777777" w:rsidR="0006735C" w:rsidRPr="0006735C" w:rsidRDefault="0006735C" w:rsidP="0006735C">
            <w:pPr>
              <w:rPr>
                <w:rFonts w:ascii="Arial" w:hAnsi="Arial" w:cs="Arial"/>
                <w:sz w:val="22"/>
                <w:szCs w:val="22"/>
              </w:rPr>
            </w:pPr>
            <w:r w:rsidRPr="0006735C">
              <w:rPr>
                <w:rFonts w:ascii="Arial" w:hAnsi="Arial" w:cs="Arial"/>
                <w:sz w:val="22"/>
                <w:szCs w:val="22"/>
              </w:rPr>
              <w:t>72</w:t>
            </w:r>
          </w:p>
        </w:tc>
        <w:tc>
          <w:tcPr>
            <w:tcW w:w="0" w:type="auto"/>
            <w:vAlign w:val="center"/>
            <w:hideMark/>
          </w:tcPr>
          <w:p w14:paraId="3DFD158C" w14:textId="796C5157" w:rsidR="0006735C" w:rsidRPr="0006735C" w:rsidRDefault="008E039B" w:rsidP="0006735C">
            <w:pPr>
              <w:rPr>
                <w:rFonts w:ascii="Arial" w:hAnsi="Arial" w:cs="Arial"/>
                <w:sz w:val="22"/>
                <w:szCs w:val="22"/>
              </w:rPr>
            </w:pPr>
            <w:r w:rsidRPr="008E039B">
              <w:rPr>
                <w:rFonts w:ascii="Arial" w:hAnsi="Arial" w:cs="Arial"/>
                <w:sz w:val="22"/>
                <w:szCs w:val="22"/>
              </w:rPr>
              <w:t>Excluded because of a mismatch in population, lack of relevance to the focus, or insufficient methodological detail.</w:t>
            </w:r>
          </w:p>
        </w:tc>
      </w:tr>
      <w:tr w:rsidR="0006735C" w:rsidRPr="0006735C" w14:paraId="302EBF59" w14:textId="77777777">
        <w:trPr>
          <w:tblCellSpacing w:w="15" w:type="dxa"/>
        </w:trPr>
        <w:tc>
          <w:tcPr>
            <w:tcW w:w="0" w:type="auto"/>
            <w:vAlign w:val="center"/>
            <w:hideMark/>
          </w:tcPr>
          <w:p w14:paraId="28C480DC" w14:textId="3350B311" w:rsidR="0006735C" w:rsidRPr="0006735C" w:rsidRDefault="0006735C" w:rsidP="0006735C">
            <w:pPr>
              <w:rPr>
                <w:rFonts w:ascii="Arial" w:hAnsi="Arial" w:cs="Arial"/>
                <w:sz w:val="22"/>
                <w:szCs w:val="22"/>
              </w:rPr>
            </w:pPr>
            <w:r w:rsidRPr="0006735C">
              <w:rPr>
                <w:rFonts w:ascii="Arial" w:hAnsi="Arial" w:cs="Arial"/>
                <w:b/>
                <w:bCs/>
                <w:sz w:val="22"/>
                <w:szCs w:val="22"/>
              </w:rPr>
              <w:t>Total</w:t>
            </w:r>
            <w:r w:rsidR="00C13600">
              <w:rPr>
                <w:rFonts w:ascii="Arial" w:hAnsi="Arial" w:cs="Arial"/>
                <w:b/>
                <w:bCs/>
                <w:sz w:val="22"/>
                <w:szCs w:val="22"/>
              </w:rPr>
              <w:t xml:space="preserve"> of</w:t>
            </w:r>
            <w:r w:rsidRPr="0006735C">
              <w:rPr>
                <w:rFonts w:ascii="Arial" w:hAnsi="Arial" w:cs="Arial"/>
                <w:b/>
                <w:bCs/>
                <w:sz w:val="22"/>
                <w:szCs w:val="22"/>
              </w:rPr>
              <w:t xml:space="preserve"> studies</w:t>
            </w:r>
            <w:r w:rsidR="00C13600">
              <w:rPr>
                <w:rFonts w:ascii="Arial" w:hAnsi="Arial" w:cs="Arial"/>
                <w:b/>
                <w:bCs/>
                <w:sz w:val="22"/>
                <w:szCs w:val="22"/>
              </w:rPr>
              <w:t xml:space="preserve"> </w:t>
            </w:r>
            <w:r w:rsidRPr="0006735C">
              <w:rPr>
                <w:rFonts w:ascii="Arial" w:hAnsi="Arial" w:cs="Arial"/>
                <w:b/>
                <w:bCs/>
                <w:sz w:val="22"/>
                <w:szCs w:val="22"/>
              </w:rPr>
              <w:t>in final review</w:t>
            </w:r>
          </w:p>
        </w:tc>
        <w:tc>
          <w:tcPr>
            <w:tcW w:w="0" w:type="auto"/>
            <w:vAlign w:val="center"/>
            <w:hideMark/>
          </w:tcPr>
          <w:p w14:paraId="15904061" w14:textId="77777777" w:rsidR="0006735C" w:rsidRPr="0006735C" w:rsidRDefault="0006735C" w:rsidP="0006735C">
            <w:pPr>
              <w:rPr>
                <w:rFonts w:ascii="Arial" w:hAnsi="Arial" w:cs="Arial"/>
                <w:sz w:val="22"/>
                <w:szCs w:val="22"/>
              </w:rPr>
            </w:pPr>
            <w:r w:rsidRPr="0006735C">
              <w:rPr>
                <w:rFonts w:ascii="Arial" w:hAnsi="Arial" w:cs="Arial"/>
                <w:b/>
                <w:bCs/>
                <w:sz w:val="22"/>
                <w:szCs w:val="22"/>
              </w:rPr>
              <w:t>15</w:t>
            </w:r>
          </w:p>
        </w:tc>
        <w:tc>
          <w:tcPr>
            <w:tcW w:w="0" w:type="auto"/>
            <w:vAlign w:val="center"/>
            <w:hideMark/>
          </w:tcPr>
          <w:p w14:paraId="5A029584" w14:textId="4CAF322E" w:rsidR="0006735C" w:rsidRPr="0006735C" w:rsidRDefault="00C360CE" w:rsidP="0006735C">
            <w:pPr>
              <w:rPr>
                <w:rFonts w:ascii="Arial" w:hAnsi="Arial" w:cs="Arial"/>
                <w:sz w:val="22"/>
                <w:szCs w:val="22"/>
              </w:rPr>
            </w:pPr>
            <w:r w:rsidRPr="00C360CE">
              <w:rPr>
                <w:rFonts w:ascii="Arial" w:hAnsi="Arial" w:cs="Arial"/>
                <w:sz w:val="22"/>
                <w:szCs w:val="22"/>
              </w:rPr>
              <w:t xml:space="preserve">Included are peer-reviewed studies and policy analyses, with </w:t>
            </w:r>
            <w:r w:rsidR="0020603C">
              <w:rPr>
                <w:rFonts w:ascii="Arial" w:hAnsi="Arial" w:cs="Arial"/>
                <w:sz w:val="22"/>
                <w:szCs w:val="22"/>
              </w:rPr>
              <w:t>5</w:t>
            </w:r>
            <w:r w:rsidRPr="00C360CE">
              <w:rPr>
                <w:rFonts w:ascii="Arial" w:hAnsi="Arial" w:cs="Arial"/>
                <w:sz w:val="22"/>
                <w:szCs w:val="22"/>
              </w:rPr>
              <w:t xml:space="preserve"> key examples listed below.</w:t>
            </w:r>
          </w:p>
        </w:tc>
      </w:tr>
    </w:tbl>
    <w:p w14:paraId="6DD4054A" w14:textId="77777777" w:rsidR="0006735C" w:rsidRPr="0006735C" w:rsidRDefault="0006735C" w:rsidP="0065007D">
      <w:pPr>
        <w:rPr>
          <w:rFonts w:ascii="Arial" w:hAnsi="Arial" w:cs="Arial"/>
          <w:sz w:val="22"/>
          <w:szCs w:val="22"/>
        </w:rPr>
      </w:pPr>
    </w:p>
    <w:p w14:paraId="238152CE" w14:textId="77777777" w:rsidR="005F775E" w:rsidRDefault="005F775E" w:rsidP="0065007D"/>
    <w:p w14:paraId="7BA2E820" w14:textId="77777777" w:rsidR="005F775E" w:rsidRDefault="005F775E" w:rsidP="0065007D"/>
    <w:p w14:paraId="03619FF9" w14:textId="77777777" w:rsidR="005F775E" w:rsidRDefault="005F775E" w:rsidP="0065007D"/>
    <w:p w14:paraId="121779CD" w14:textId="77777777" w:rsidR="003D66BF" w:rsidRDefault="003D66BF" w:rsidP="00BA76EC"/>
    <w:tbl>
      <w:tblPr>
        <w:tblStyle w:val="TableGrid"/>
        <w:tblW w:w="0" w:type="auto"/>
        <w:tblInd w:w="-289" w:type="dxa"/>
        <w:tblLook w:val="04A0" w:firstRow="1" w:lastRow="0" w:firstColumn="1" w:lastColumn="0" w:noHBand="0" w:noVBand="1"/>
      </w:tblPr>
      <w:tblGrid>
        <w:gridCol w:w="1529"/>
        <w:gridCol w:w="1057"/>
        <w:gridCol w:w="1417"/>
        <w:gridCol w:w="1506"/>
        <w:gridCol w:w="1872"/>
        <w:gridCol w:w="1924"/>
      </w:tblGrid>
      <w:tr w:rsidR="00233894" w14:paraId="1E68D560" w14:textId="77777777" w:rsidTr="00551685">
        <w:tc>
          <w:tcPr>
            <w:tcW w:w="1529" w:type="dxa"/>
          </w:tcPr>
          <w:p w14:paraId="0F29995F" w14:textId="0F9B2A96" w:rsidR="00233894" w:rsidRDefault="00233894" w:rsidP="00BA76EC">
            <w:r>
              <w:t>Author(s), Year</w:t>
            </w:r>
          </w:p>
        </w:tc>
        <w:tc>
          <w:tcPr>
            <w:tcW w:w="1057" w:type="dxa"/>
          </w:tcPr>
          <w:p w14:paraId="49ED8E5A" w14:textId="79606367" w:rsidR="00233894" w:rsidRDefault="00233894" w:rsidP="00BA76EC">
            <w:r>
              <w:t>Country</w:t>
            </w:r>
          </w:p>
        </w:tc>
        <w:tc>
          <w:tcPr>
            <w:tcW w:w="1417" w:type="dxa"/>
          </w:tcPr>
          <w:p w14:paraId="397AFF6B" w14:textId="4A7144F3" w:rsidR="00233894" w:rsidRDefault="00233894" w:rsidP="00BA76EC">
            <w:r>
              <w:t>Study design</w:t>
            </w:r>
          </w:p>
        </w:tc>
        <w:tc>
          <w:tcPr>
            <w:tcW w:w="1506" w:type="dxa"/>
          </w:tcPr>
          <w:p w14:paraId="3EA574DA" w14:textId="38959BD2" w:rsidR="00233894" w:rsidRDefault="00233894" w:rsidP="00BA76EC">
            <w:r>
              <w:t>Setting</w:t>
            </w:r>
          </w:p>
        </w:tc>
        <w:tc>
          <w:tcPr>
            <w:tcW w:w="1872" w:type="dxa"/>
          </w:tcPr>
          <w:p w14:paraId="2810254B" w14:textId="32FF9DC4" w:rsidR="00233894" w:rsidRDefault="00233894" w:rsidP="00BA76EC">
            <w:r>
              <w:t>Focus</w:t>
            </w:r>
          </w:p>
        </w:tc>
        <w:tc>
          <w:tcPr>
            <w:tcW w:w="1924" w:type="dxa"/>
          </w:tcPr>
          <w:p w14:paraId="6C80A5E3" w14:textId="13A47B05" w:rsidR="00233894" w:rsidRDefault="00233894" w:rsidP="00BA76EC">
            <w:r>
              <w:t>Key findings/Barriers</w:t>
            </w:r>
          </w:p>
        </w:tc>
      </w:tr>
      <w:tr w:rsidR="00233894" w14:paraId="19957360" w14:textId="77777777" w:rsidTr="00551685">
        <w:tc>
          <w:tcPr>
            <w:tcW w:w="1529" w:type="dxa"/>
          </w:tcPr>
          <w:p w14:paraId="36CE8A89" w14:textId="5A4ACDA6" w:rsidR="00233894" w:rsidRDefault="00233894" w:rsidP="001E4671">
            <w:pPr>
              <w:jc w:val="center"/>
            </w:pPr>
            <w:r>
              <w:t>Deighton et al., 2021</w:t>
            </w:r>
          </w:p>
        </w:tc>
        <w:tc>
          <w:tcPr>
            <w:tcW w:w="1057" w:type="dxa"/>
          </w:tcPr>
          <w:p w14:paraId="2CA56843" w14:textId="266AB698" w:rsidR="00233894" w:rsidRDefault="00233894" w:rsidP="00BA76EC">
            <w:r>
              <w:t>UK</w:t>
            </w:r>
          </w:p>
        </w:tc>
        <w:tc>
          <w:tcPr>
            <w:tcW w:w="1417" w:type="dxa"/>
          </w:tcPr>
          <w:p w14:paraId="609D988C" w14:textId="0E8B0320" w:rsidR="00233894" w:rsidRDefault="00233894" w:rsidP="00BA76EC">
            <w:r>
              <w:t>Quantative</w:t>
            </w:r>
          </w:p>
        </w:tc>
        <w:tc>
          <w:tcPr>
            <w:tcW w:w="1506" w:type="dxa"/>
          </w:tcPr>
          <w:p w14:paraId="18F21445" w14:textId="5EE6EB10" w:rsidR="00233894" w:rsidRDefault="00233894" w:rsidP="00BA76EC">
            <w:r>
              <w:t>100 secondary schools</w:t>
            </w:r>
          </w:p>
        </w:tc>
        <w:tc>
          <w:tcPr>
            <w:tcW w:w="1872" w:type="dxa"/>
          </w:tcPr>
          <w:p w14:paraId="534E21B0" w14:textId="7254E506" w:rsidR="00233894" w:rsidRDefault="00AD5BC4" w:rsidP="00BA76EC">
            <w:r w:rsidRPr="00AD5BC4">
              <w:t>Provision of mental health support within schools.</w:t>
            </w:r>
          </w:p>
        </w:tc>
        <w:tc>
          <w:tcPr>
            <w:tcW w:w="1924" w:type="dxa"/>
          </w:tcPr>
          <w:p w14:paraId="1A0053A4" w14:textId="7808F462" w:rsidR="00233894" w:rsidRDefault="00963C8C" w:rsidP="00BA76EC">
            <w:r w:rsidRPr="00963C8C">
              <w:t xml:space="preserve">There is variability in access, and there is no </w:t>
            </w:r>
            <w:r w:rsidRPr="00963C8C">
              <w:lastRenderedPageBreak/>
              <w:t>correlation between the provision of services and the outcomes achieved.</w:t>
            </w:r>
          </w:p>
        </w:tc>
      </w:tr>
      <w:tr w:rsidR="00233894" w14:paraId="0CDD7295" w14:textId="77777777" w:rsidTr="00551685">
        <w:tc>
          <w:tcPr>
            <w:tcW w:w="1529" w:type="dxa"/>
          </w:tcPr>
          <w:p w14:paraId="1577F794" w14:textId="27D83395" w:rsidR="00233894" w:rsidRDefault="00233894" w:rsidP="00BA76EC">
            <w:r>
              <w:lastRenderedPageBreak/>
              <w:t>Patalay et al., 2021</w:t>
            </w:r>
          </w:p>
        </w:tc>
        <w:tc>
          <w:tcPr>
            <w:tcW w:w="1057" w:type="dxa"/>
          </w:tcPr>
          <w:p w14:paraId="3661AA1B" w14:textId="6B005FED" w:rsidR="00233894" w:rsidRDefault="00233894" w:rsidP="00BA76EC">
            <w:r>
              <w:t>UK</w:t>
            </w:r>
          </w:p>
        </w:tc>
        <w:tc>
          <w:tcPr>
            <w:tcW w:w="1417" w:type="dxa"/>
          </w:tcPr>
          <w:p w14:paraId="5BC79045" w14:textId="0F285B26" w:rsidR="00233894" w:rsidRDefault="004E59A8" w:rsidP="00BA76EC">
            <w:r>
              <w:t>Quantative</w:t>
            </w:r>
          </w:p>
        </w:tc>
        <w:tc>
          <w:tcPr>
            <w:tcW w:w="1506" w:type="dxa"/>
          </w:tcPr>
          <w:p w14:paraId="11F68554" w14:textId="11D13B8C" w:rsidR="00233894" w:rsidRDefault="004E59A8" w:rsidP="00BA76EC">
            <w:r>
              <w:t>28,000 Adolescents</w:t>
            </w:r>
          </w:p>
        </w:tc>
        <w:tc>
          <w:tcPr>
            <w:tcW w:w="1872" w:type="dxa"/>
          </w:tcPr>
          <w:p w14:paraId="0CB96561" w14:textId="07E1BE80" w:rsidR="00233894" w:rsidRDefault="00D16FB3" w:rsidP="00BA76EC">
            <w:r>
              <w:t>Risk factors</w:t>
            </w:r>
          </w:p>
        </w:tc>
        <w:tc>
          <w:tcPr>
            <w:tcW w:w="1924" w:type="dxa"/>
          </w:tcPr>
          <w:p w14:paraId="3965AE53" w14:textId="28C38480" w:rsidR="00233894" w:rsidRDefault="00906E72" w:rsidP="00BA76EC">
            <w:r w:rsidRPr="00906E72">
              <w:t>Socioeconomic and demographic disparities in access to mental health services.</w:t>
            </w:r>
          </w:p>
        </w:tc>
      </w:tr>
      <w:tr w:rsidR="00233894" w14:paraId="3CE68C7A" w14:textId="77777777" w:rsidTr="00551685">
        <w:tc>
          <w:tcPr>
            <w:tcW w:w="1529" w:type="dxa"/>
          </w:tcPr>
          <w:p w14:paraId="26817C19" w14:textId="4C666991" w:rsidR="00233894" w:rsidRDefault="00906E72" w:rsidP="00BA76EC">
            <w:r>
              <w:t>Place2Be et al., 2018</w:t>
            </w:r>
          </w:p>
        </w:tc>
        <w:tc>
          <w:tcPr>
            <w:tcW w:w="1057" w:type="dxa"/>
          </w:tcPr>
          <w:p w14:paraId="508286E0" w14:textId="06CC97AE" w:rsidR="00233894" w:rsidRDefault="00906E72" w:rsidP="00BA76EC">
            <w:r>
              <w:t>UK</w:t>
            </w:r>
          </w:p>
        </w:tc>
        <w:tc>
          <w:tcPr>
            <w:tcW w:w="1417" w:type="dxa"/>
          </w:tcPr>
          <w:p w14:paraId="3A7D1744" w14:textId="2E3BF55C" w:rsidR="00233894" w:rsidRDefault="00D838B7" w:rsidP="00BA76EC">
            <w:r>
              <w:t>Mix of methods</w:t>
            </w:r>
          </w:p>
        </w:tc>
        <w:tc>
          <w:tcPr>
            <w:tcW w:w="1506" w:type="dxa"/>
          </w:tcPr>
          <w:p w14:paraId="6BF26803" w14:textId="7D9C6F0B" w:rsidR="00233894" w:rsidRDefault="00D838B7" w:rsidP="00BA76EC">
            <w:r>
              <w:t>400 members of school  staff</w:t>
            </w:r>
          </w:p>
        </w:tc>
        <w:tc>
          <w:tcPr>
            <w:tcW w:w="1872" w:type="dxa"/>
          </w:tcPr>
          <w:p w14:paraId="364D4082" w14:textId="674A803C" w:rsidR="00233894" w:rsidRDefault="00D838B7" w:rsidP="00BA76EC">
            <w:r>
              <w:t>Barriers in accessing support</w:t>
            </w:r>
          </w:p>
        </w:tc>
        <w:tc>
          <w:tcPr>
            <w:tcW w:w="1924" w:type="dxa"/>
          </w:tcPr>
          <w:p w14:paraId="4D8D32E6" w14:textId="3D8634F2" w:rsidR="00233894" w:rsidRPr="00325345" w:rsidRDefault="00325345" w:rsidP="00BA76EC">
            <w:pPr>
              <w:rPr>
                <w:rFonts w:ascii="Arial" w:hAnsi="Arial" w:cs="Arial"/>
                <w:sz w:val="22"/>
                <w:szCs w:val="22"/>
              </w:rPr>
            </w:pPr>
            <w:r w:rsidRPr="00325345">
              <w:rPr>
                <w:rFonts w:ascii="Arial" w:hAnsi="Arial" w:cs="Arial"/>
                <w:sz w:val="22"/>
                <w:szCs w:val="22"/>
              </w:rPr>
              <w:t>There is a lack of knowledge about commissioning and limited access to specialists.</w:t>
            </w:r>
          </w:p>
        </w:tc>
      </w:tr>
      <w:tr w:rsidR="00325345" w14:paraId="26635865" w14:textId="77777777" w:rsidTr="00551685">
        <w:tc>
          <w:tcPr>
            <w:tcW w:w="1529" w:type="dxa"/>
          </w:tcPr>
          <w:p w14:paraId="2441AAB3" w14:textId="26402CA6" w:rsidR="00325345" w:rsidRDefault="00325345" w:rsidP="00BA76EC">
            <w:r>
              <w:t>Toulis et al., 2022</w:t>
            </w:r>
          </w:p>
        </w:tc>
        <w:tc>
          <w:tcPr>
            <w:tcW w:w="1057" w:type="dxa"/>
          </w:tcPr>
          <w:p w14:paraId="063E5E29" w14:textId="4A702715" w:rsidR="00325345" w:rsidRDefault="00325345" w:rsidP="00BA76EC">
            <w:r>
              <w:t>UK</w:t>
            </w:r>
          </w:p>
        </w:tc>
        <w:tc>
          <w:tcPr>
            <w:tcW w:w="1417" w:type="dxa"/>
          </w:tcPr>
          <w:p w14:paraId="21AF092A" w14:textId="12890AD5" w:rsidR="00325345" w:rsidRDefault="00325345" w:rsidP="00BA76EC">
            <w:r>
              <w:t>Quantative, analysis of policy</w:t>
            </w:r>
          </w:p>
        </w:tc>
        <w:tc>
          <w:tcPr>
            <w:tcW w:w="1506" w:type="dxa"/>
          </w:tcPr>
          <w:p w14:paraId="52FF418F" w14:textId="7C8F771E" w:rsidR="00325345" w:rsidRDefault="00325345" w:rsidP="00BA76EC">
            <w:r>
              <w:t>National Policy</w:t>
            </w:r>
          </w:p>
        </w:tc>
        <w:tc>
          <w:tcPr>
            <w:tcW w:w="1872" w:type="dxa"/>
          </w:tcPr>
          <w:p w14:paraId="2582F8B9" w14:textId="6A88EF8C" w:rsidR="00325345" w:rsidRDefault="00316804" w:rsidP="00BA76EC">
            <w:r w:rsidRPr="00316804">
              <w:t>Implementation of the Green Paper.</w:t>
            </w:r>
          </w:p>
        </w:tc>
        <w:tc>
          <w:tcPr>
            <w:tcW w:w="1924" w:type="dxa"/>
          </w:tcPr>
          <w:p w14:paraId="2C8C88A8" w14:textId="774FAE25" w:rsidR="00325345" w:rsidRPr="00325345" w:rsidRDefault="000C6F05" w:rsidP="00BA76EC">
            <w:pPr>
              <w:rPr>
                <w:rFonts w:ascii="Arial" w:hAnsi="Arial" w:cs="Arial"/>
                <w:sz w:val="22"/>
                <w:szCs w:val="22"/>
              </w:rPr>
            </w:pPr>
            <w:r w:rsidRPr="000C6F05">
              <w:rPr>
                <w:rFonts w:ascii="Arial" w:hAnsi="Arial" w:cs="Arial"/>
                <w:sz w:val="22"/>
                <w:szCs w:val="22"/>
              </w:rPr>
              <w:t>There is a gap between policy and practice, which is caused by underfunding and regional inequality.</w:t>
            </w:r>
          </w:p>
        </w:tc>
      </w:tr>
      <w:tr w:rsidR="00AA07B6" w14:paraId="30ADA54C" w14:textId="77777777" w:rsidTr="00551685">
        <w:trPr>
          <w:trHeight w:val="699"/>
        </w:trPr>
        <w:tc>
          <w:tcPr>
            <w:tcW w:w="1529" w:type="dxa"/>
          </w:tcPr>
          <w:p w14:paraId="6EDD0672" w14:textId="01B885A1" w:rsidR="00AA07B6" w:rsidRPr="00AA07B6" w:rsidRDefault="00AA07B6" w:rsidP="00BA76EC">
            <w:pPr>
              <w:rPr>
                <w:rFonts w:ascii="Arial" w:hAnsi="Arial" w:cs="Arial"/>
                <w:sz w:val="22"/>
                <w:szCs w:val="22"/>
              </w:rPr>
            </w:pPr>
            <w:r w:rsidRPr="00AA07B6">
              <w:rPr>
                <w:rFonts w:ascii="Arial" w:hAnsi="Arial" w:cs="Arial"/>
                <w:sz w:val="22"/>
                <w:szCs w:val="22"/>
              </w:rPr>
              <w:t>Deighton, Patalay &amp; Wolpert et al. (2016)</w:t>
            </w:r>
          </w:p>
        </w:tc>
        <w:tc>
          <w:tcPr>
            <w:tcW w:w="1057" w:type="dxa"/>
          </w:tcPr>
          <w:p w14:paraId="304D3562" w14:textId="170DFEDB" w:rsidR="00AA07B6" w:rsidRDefault="00AA07B6" w:rsidP="00BA76EC">
            <w:r>
              <w:t>England</w:t>
            </w:r>
          </w:p>
        </w:tc>
        <w:tc>
          <w:tcPr>
            <w:tcW w:w="1417" w:type="dxa"/>
          </w:tcPr>
          <w:p w14:paraId="1D05AEB8" w14:textId="76503F00" w:rsidR="00AA07B6" w:rsidRDefault="00013CDB" w:rsidP="00BA76EC">
            <w:r>
              <w:t>Mixed-Methods</w:t>
            </w:r>
          </w:p>
        </w:tc>
        <w:tc>
          <w:tcPr>
            <w:tcW w:w="1506" w:type="dxa"/>
          </w:tcPr>
          <w:p w14:paraId="7E0C9292" w14:textId="44A4B5FD" w:rsidR="00AA07B6" w:rsidRDefault="00013CDB" w:rsidP="00BA76EC">
            <w:r>
              <w:t>School staff and pupils</w:t>
            </w:r>
          </w:p>
        </w:tc>
        <w:tc>
          <w:tcPr>
            <w:tcW w:w="1872" w:type="dxa"/>
          </w:tcPr>
          <w:p w14:paraId="435FE10D" w14:textId="586838C0" w:rsidR="00AA07B6" w:rsidRPr="00316804" w:rsidRDefault="00206320" w:rsidP="00BA76EC">
            <w:r>
              <w:t>E</w:t>
            </w:r>
            <w:r w:rsidRPr="00206320">
              <w:t>xamined the mechanisms for early intervention and referral</w:t>
            </w:r>
          </w:p>
        </w:tc>
        <w:tc>
          <w:tcPr>
            <w:tcW w:w="1924" w:type="dxa"/>
          </w:tcPr>
          <w:p w14:paraId="50498CDC" w14:textId="53DA2972" w:rsidR="00AA07B6" w:rsidRPr="000C6F05" w:rsidRDefault="00021E46" w:rsidP="00BA76EC">
            <w:pPr>
              <w:rPr>
                <w:rFonts w:ascii="Arial" w:hAnsi="Arial" w:cs="Arial"/>
                <w:sz w:val="22"/>
                <w:szCs w:val="22"/>
              </w:rPr>
            </w:pPr>
            <w:r w:rsidRPr="00021E46">
              <w:rPr>
                <w:rFonts w:ascii="Arial" w:hAnsi="Arial" w:cs="Arial"/>
                <w:sz w:val="22"/>
                <w:szCs w:val="22"/>
              </w:rPr>
              <w:t>The limited capacity of Child and Adolescent Mental Health Services (CAMHS) and inconsistent collaboration among different agencies hinder timely access to care.</w:t>
            </w:r>
          </w:p>
        </w:tc>
      </w:tr>
    </w:tbl>
    <w:p w14:paraId="3B8ADCBA" w14:textId="416A92B5" w:rsidR="003D66BF" w:rsidRDefault="00551685" w:rsidP="00BA76EC">
      <w:r w:rsidRPr="00551685">
        <w:t>This table is adapted from several studies conducted in the UK that investigate the barriers adolescents face when trying to access mental health services (Deighton et al., 2019; Patalay et al., 2020; Garside, 2021; Griffin et al., 2022; Place2Be, 2018). The studies highlight a consistent pattern of individual, organizational, and systemic barriers to access, which align with findings summarized in earlier national reviews (Department for Education &amp; DHSC, 2017; Garratt, Kirk-Wade &amp; Long, 2024).</w:t>
      </w:r>
      <w:r w:rsidR="00906E90">
        <w:t xml:space="preserve"> </w:t>
      </w:r>
    </w:p>
    <w:p w14:paraId="6AB41721" w14:textId="77777777" w:rsidR="003D66BF" w:rsidRDefault="003D66BF" w:rsidP="00BA76EC"/>
    <w:p w14:paraId="7B349887" w14:textId="24CAE02B" w:rsidR="003D66BF" w:rsidRDefault="00171FD5" w:rsidP="00BA76EC">
      <w:r>
        <w:t>Summary</w:t>
      </w:r>
    </w:p>
    <w:p w14:paraId="160700E8" w14:textId="439E8C2A" w:rsidR="00171FD5" w:rsidRDefault="00171FD5" w:rsidP="00BA76EC">
      <w:r w:rsidRPr="00171FD5">
        <w:lastRenderedPageBreak/>
        <w:t>Out of 800 identified records, 15 studies met the inclusion criteria. Six key studies are presented in this table as representative examples. Collectively, these studies demonstrate that barriers to accessing mental health services in secondary schools are multi-level. These barriers include individual stigma, service fragmentation, insufficient training, and gaps between policy and practice.</w:t>
      </w:r>
    </w:p>
    <w:p w14:paraId="220ED968" w14:textId="77777777" w:rsidR="001A11FD" w:rsidRDefault="001A11FD" w:rsidP="00BA76EC"/>
    <w:p w14:paraId="48B8EF66" w14:textId="7588ED04" w:rsidR="001A11FD" w:rsidRDefault="001A11FD" w:rsidP="00BA76EC">
      <w:r>
        <w:t>Thematic synthesis</w:t>
      </w:r>
    </w:p>
    <w:p w14:paraId="45499688" w14:textId="77777777" w:rsidR="001A11FD" w:rsidRDefault="001A11FD" w:rsidP="00BA76EC"/>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8"/>
        <w:gridCol w:w="2140"/>
        <w:gridCol w:w="3121"/>
        <w:gridCol w:w="1867"/>
      </w:tblGrid>
      <w:tr w:rsidR="00D81FFC" w:rsidRPr="00D81FFC" w14:paraId="776281CF" w14:textId="77777777">
        <w:trPr>
          <w:tblHeader/>
          <w:tblCellSpacing w:w="15" w:type="dxa"/>
        </w:trPr>
        <w:tc>
          <w:tcPr>
            <w:tcW w:w="0" w:type="auto"/>
            <w:vAlign w:val="center"/>
            <w:hideMark/>
          </w:tcPr>
          <w:p w14:paraId="3D31D7B2" w14:textId="77777777" w:rsidR="00D81FFC" w:rsidRPr="00D81FFC" w:rsidRDefault="00D81FFC" w:rsidP="00D81FFC">
            <w:pPr>
              <w:rPr>
                <w:b/>
                <w:bCs/>
              </w:rPr>
            </w:pPr>
            <w:r w:rsidRPr="00D81FFC">
              <w:rPr>
                <w:b/>
                <w:bCs/>
              </w:rPr>
              <w:t>Main Theme</w:t>
            </w:r>
          </w:p>
        </w:tc>
        <w:tc>
          <w:tcPr>
            <w:tcW w:w="0" w:type="auto"/>
            <w:vAlign w:val="center"/>
            <w:hideMark/>
          </w:tcPr>
          <w:p w14:paraId="3C2CA3FA" w14:textId="77777777" w:rsidR="00D81FFC" w:rsidRPr="00D81FFC" w:rsidRDefault="00D81FFC" w:rsidP="00D81FFC">
            <w:pPr>
              <w:rPr>
                <w:b/>
                <w:bCs/>
              </w:rPr>
            </w:pPr>
            <w:r w:rsidRPr="00D81FFC">
              <w:rPr>
                <w:b/>
                <w:bCs/>
              </w:rPr>
              <w:t>Subthemes</w:t>
            </w:r>
          </w:p>
        </w:tc>
        <w:tc>
          <w:tcPr>
            <w:tcW w:w="0" w:type="auto"/>
            <w:vAlign w:val="center"/>
            <w:hideMark/>
          </w:tcPr>
          <w:p w14:paraId="179B7F45" w14:textId="77777777" w:rsidR="00D81FFC" w:rsidRPr="00D81FFC" w:rsidRDefault="00D81FFC" w:rsidP="00D81FFC">
            <w:pPr>
              <w:rPr>
                <w:b/>
                <w:bCs/>
              </w:rPr>
            </w:pPr>
            <w:r w:rsidRPr="00D81FFC">
              <w:rPr>
                <w:b/>
                <w:bCs/>
              </w:rPr>
              <w:t>Description / Illustrative Evidence</w:t>
            </w:r>
          </w:p>
        </w:tc>
        <w:tc>
          <w:tcPr>
            <w:tcW w:w="0" w:type="auto"/>
            <w:vAlign w:val="center"/>
            <w:hideMark/>
          </w:tcPr>
          <w:p w14:paraId="436E3E8D" w14:textId="77777777" w:rsidR="00D81FFC" w:rsidRPr="00D81FFC" w:rsidRDefault="00D81FFC" w:rsidP="00D81FFC">
            <w:pPr>
              <w:rPr>
                <w:b/>
                <w:bCs/>
              </w:rPr>
            </w:pPr>
            <w:r w:rsidRPr="00D81FFC">
              <w:rPr>
                <w:b/>
                <w:bCs/>
              </w:rPr>
              <w:t>Supporting Sources (Harvard Style)</w:t>
            </w:r>
          </w:p>
        </w:tc>
      </w:tr>
      <w:tr w:rsidR="00D81FFC" w:rsidRPr="00D81FFC" w14:paraId="5733CDE1" w14:textId="77777777">
        <w:trPr>
          <w:tblCellSpacing w:w="15" w:type="dxa"/>
        </w:trPr>
        <w:tc>
          <w:tcPr>
            <w:tcW w:w="0" w:type="auto"/>
            <w:vAlign w:val="center"/>
            <w:hideMark/>
          </w:tcPr>
          <w:p w14:paraId="191AD332" w14:textId="3EF4F391" w:rsidR="00D81FFC" w:rsidRPr="00D81FFC" w:rsidRDefault="00D81FFC" w:rsidP="00D81FFC">
            <w:r>
              <w:t>Individual and psychological barriers</w:t>
            </w:r>
          </w:p>
        </w:tc>
        <w:tc>
          <w:tcPr>
            <w:tcW w:w="0" w:type="auto"/>
            <w:vAlign w:val="center"/>
            <w:hideMark/>
          </w:tcPr>
          <w:p w14:paraId="1647FF3D" w14:textId="5FAA9C79" w:rsidR="008162FF" w:rsidRDefault="00D81FFC" w:rsidP="008162FF">
            <w:r w:rsidRPr="00D81FFC">
              <w:t xml:space="preserve">• </w:t>
            </w:r>
            <w:r w:rsidR="008162FF">
              <w:t xml:space="preserve">Stigma and Fear of Judgment  </w:t>
            </w:r>
          </w:p>
          <w:p w14:paraId="6317892C" w14:textId="77777777" w:rsidR="008162FF" w:rsidRDefault="008162FF" w:rsidP="008162FF">
            <w:r>
              <w:t xml:space="preserve">- Limited understanding of mental health  </w:t>
            </w:r>
          </w:p>
          <w:p w14:paraId="3524D558" w14:textId="18F637CD" w:rsidR="00D81FFC" w:rsidRPr="00D81FFC" w:rsidRDefault="008162FF" w:rsidP="008162FF">
            <w:r>
              <w:t xml:space="preserve">- Concerns about confidentiality  </w:t>
            </w:r>
          </w:p>
        </w:tc>
        <w:tc>
          <w:tcPr>
            <w:tcW w:w="0" w:type="auto"/>
            <w:vAlign w:val="center"/>
            <w:hideMark/>
          </w:tcPr>
          <w:p w14:paraId="611962F0" w14:textId="7538A011" w:rsidR="00D81FFC" w:rsidRPr="00D81FFC" w:rsidRDefault="00601BDB" w:rsidP="00D81FFC">
            <w:r w:rsidRPr="00601BDB">
              <w:t>Many adolescents avoid seeking help due to perceived stigma, fear of peer reactions, and uncertainty about how their information will be managed. Additionally, many lack awareness of available services or fail to recognize symptoms that require support.</w:t>
            </w:r>
          </w:p>
        </w:tc>
        <w:tc>
          <w:tcPr>
            <w:tcW w:w="0" w:type="auto"/>
            <w:vAlign w:val="center"/>
            <w:hideMark/>
          </w:tcPr>
          <w:p w14:paraId="25F58674" w14:textId="77777777" w:rsidR="00D81FFC" w:rsidRPr="00D81FFC" w:rsidRDefault="00D81FFC" w:rsidP="00D81FFC">
            <w:r w:rsidRPr="00D81FFC">
              <w:t>Deighton et al. (2021); Place2Be et al. (2018); Patalay et al. (2021)</w:t>
            </w:r>
          </w:p>
        </w:tc>
      </w:tr>
      <w:tr w:rsidR="00D81FFC" w:rsidRPr="00D81FFC" w14:paraId="4A9AB83E" w14:textId="77777777">
        <w:trPr>
          <w:tblCellSpacing w:w="15" w:type="dxa"/>
        </w:trPr>
        <w:tc>
          <w:tcPr>
            <w:tcW w:w="0" w:type="auto"/>
            <w:vAlign w:val="center"/>
            <w:hideMark/>
          </w:tcPr>
          <w:p w14:paraId="796E2459" w14:textId="3C662CA9" w:rsidR="00D81FFC" w:rsidRPr="00D81FFC" w:rsidRDefault="00601BDB" w:rsidP="00D81FFC">
            <w:r>
              <w:rPr>
                <w:b/>
                <w:bCs/>
              </w:rPr>
              <w:t>Social/cultu</w:t>
            </w:r>
            <w:r w:rsidR="001B0926">
              <w:rPr>
                <w:b/>
                <w:bCs/>
              </w:rPr>
              <w:t>ral barriers</w:t>
            </w:r>
          </w:p>
        </w:tc>
        <w:tc>
          <w:tcPr>
            <w:tcW w:w="0" w:type="auto"/>
            <w:vAlign w:val="center"/>
            <w:hideMark/>
          </w:tcPr>
          <w:p w14:paraId="3CB56D5E" w14:textId="77777777" w:rsidR="007A7E04" w:rsidRDefault="00D81FFC" w:rsidP="007A7E04">
            <w:r w:rsidRPr="00D81FFC">
              <w:br/>
            </w:r>
            <w:r w:rsidR="007A7E04">
              <w:t xml:space="preserve">• The impact of socioeconomic inequality  </w:t>
            </w:r>
          </w:p>
          <w:p w14:paraId="173190A2" w14:textId="77777777" w:rsidR="007A7E04" w:rsidRDefault="007A7E04" w:rsidP="007A7E04">
            <w:r>
              <w:t xml:space="preserve">• The role of cultural attitudes and parental involvement  </w:t>
            </w:r>
          </w:p>
          <w:p w14:paraId="117574F4" w14:textId="63865664" w:rsidR="00D81FFC" w:rsidRPr="00D81FFC" w:rsidRDefault="007A7E04" w:rsidP="007A7E04">
            <w:r>
              <w:t xml:space="preserve">• The influence of gender norms and peer dynamics  </w:t>
            </w:r>
          </w:p>
        </w:tc>
        <w:tc>
          <w:tcPr>
            <w:tcW w:w="0" w:type="auto"/>
            <w:vAlign w:val="center"/>
            <w:hideMark/>
          </w:tcPr>
          <w:p w14:paraId="6214699D" w14:textId="34741124" w:rsidR="00D81FFC" w:rsidRPr="00D81FFC" w:rsidRDefault="00DC4D34" w:rsidP="00D81FFC">
            <w:r w:rsidRPr="00DC4D34">
              <w:t>Access to services is impacted by family background, social disadvantage, and cultural beliefs. Boys often hesitate to seek counselling due to the fear of appearing weak. The level of parental understanding and engagement varies significantly.</w:t>
            </w:r>
          </w:p>
        </w:tc>
        <w:tc>
          <w:tcPr>
            <w:tcW w:w="0" w:type="auto"/>
            <w:vAlign w:val="center"/>
            <w:hideMark/>
          </w:tcPr>
          <w:p w14:paraId="442495FC" w14:textId="77777777" w:rsidR="00D81FFC" w:rsidRPr="00D81FFC" w:rsidRDefault="00D81FFC" w:rsidP="00D81FFC">
            <w:r w:rsidRPr="00D81FFC">
              <w:t>Patalay et al. (2021); Toulis, Bambra &amp; Cairns (2022); Department for Education &amp; DHSC (2017)</w:t>
            </w:r>
          </w:p>
        </w:tc>
      </w:tr>
      <w:tr w:rsidR="00D81FFC" w:rsidRPr="00D81FFC" w14:paraId="6BF77C54" w14:textId="77777777">
        <w:trPr>
          <w:tblCellSpacing w:w="15" w:type="dxa"/>
        </w:trPr>
        <w:tc>
          <w:tcPr>
            <w:tcW w:w="0" w:type="auto"/>
            <w:vAlign w:val="center"/>
            <w:hideMark/>
          </w:tcPr>
          <w:p w14:paraId="2C9AF83E" w14:textId="1B7F0E87" w:rsidR="00D81FFC" w:rsidRPr="00D81FFC" w:rsidRDefault="00D81FFC" w:rsidP="00D81FFC">
            <w:r w:rsidRPr="00D81FFC">
              <w:rPr>
                <w:b/>
                <w:bCs/>
              </w:rPr>
              <w:lastRenderedPageBreak/>
              <w:t>3. School</w:t>
            </w:r>
            <w:r w:rsidR="00122259">
              <w:rPr>
                <w:b/>
                <w:bCs/>
              </w:rPr>
              <w:t xml:space="preserve"> and</w:t>
            </w:r>
            <w:r w:rsidRPr="00D81FFC">
              <w:rPr>
                <w:b/>
                <w:bCs/>
              </w:rPr>
              <w:t xml:space="preserve"> Organisational Barriers</w:t>
            </w:r>
          </w:p>
        </w:tc>
        <w:tc>
          <w:tcPr>
            <w:tcW w:w="0" w:type="auto"/>
            <w:vAlign w:val="center"/>
            <w:hideMark/>
          </w:tcPr>
          <w:p w14:paraId="2B264A48" w14:textId="77777777" w:rsidR="00122259" w:rsidRDefault="00122259" w:rsidP="008F584F"/>
          <w:p w14:paraId="77DFF6FE" w14:textId="35A2370A" w:rsidR="008F584F" w:rsidRDefault="008F584F" w:rsidP="008F584F">
            <w:r>
              <w:t xml:space="preserve">• Insufficient staff training and capacity hinder effective implementation.  </w:t>
            </w:r>
          </w:p>
          <w:p w14:paraId="66136B07" w14:textId="77777777" w:rsidR="008F584F" w:rsidRDefault="008F584F" w:rsidP="008F584F">
            <w:r>
              <w:t xml:space="preserve">• Discrepancies in service provision across schools create inequalities.  </w:t>
            </w:r>
          </w:p>
          <w:p w14:paraId="50323492" w14:textId="11FDD605" w:rsidR="00D81FFC" w:rsidRPr="00D81FFC" w:rsidRDefault="008F584F" w:rsidP="008F584F">
            <w:r>
              <w:t>• Conflicting academic priorities undermine our collective goals.</w:t>
            </w:r>
          </w:p>
        </w:tc>
        <w:tc>
          <w:tcPr>
            <w:tcW w:w="0" w:type="auto"/>
            <w:vAlign w:val="center"/>
            <w:hideMark/>
          </w:tcPr>
          <w:p w14:paraId="31179AE8" w14:textId="32D622CC" w:rsidR="00D81FFC" w:rsidRPr="00D81FFC" w:rsidRDefault="00BE0589" w:rsidP="00D81FFC">
            <w:r w:rsidRPr="00BE0589">
              <w:t>Mental health support varies significantly across schools. Many staff members lack the training or confidence to address student needs. Time constraints and curriculum demands limit their ability to prioritize well-being.</w:t>
            </w:r>
          </w:p>
        </w:tc>
        <w:tc>
          <w:tcPr>
            <w:tcW w:w="0" w:type="auto"/>
            <w:vAlign w:val="center"/>
            <w:hideMark/>
          </w:tcPr>
          <w:p w14:paraId="719E9643" w14:textId="77777777" w:rsidR="00D81FFC" w:rsidRPr="00D81FFC" w:rsidRDefault="00D81FFC" w:rsidP="00D81FFC">
            <w:r w:rsidRPr="00D81FFC">
              <w:t>Deighton et al. (2021); Place2Be et al. (2018); Deighton, Patalay &amp; Wolpert et al. (2016)</w:t>
            </w:r>
          </w:p>
        </w:tc>
      </w:tr>
      <w:tr w:rsidR="00D81FFC" w:rsidRPr="00D81FFC" w14:paraId="1D752825" w14:textId="77777777">
        <w:trPr>
          <w:tblCellSpacing w:w="15" w:type="dxa"/>
        </w:trPr>
        <w:tc>
          <w:tcPr>
            <w:tcW w:w="0" w:type="auto"/>
            <w:vAlign w:val="center"/>
            <w:hideMark/>
          </w:tcPr>
          <w:p w14:paraId="10698340" w14:textId="77777777" w:rsidR="00D81FFC" w:rsidRPr="00D81FFC" w:rsidRDefault="00D81FFC" w:rsidP="00D81FFC">
            <w:r w:rsidRPr="00D81FFC">
              <w:rPr>
                <w:b/>
                <w:bCs/>
              </w:rPr>
              <w:t>4. Systemic and Structural Barriers</w:t>
            </w:r>
          </w:p>
        </w:tc>
        <w:tc>
          <w:tcPr>
            <w:tcW w:w="0" w:type="auto"/>
            <w:vAlign w:val="center"/>
            <w:hideMark/>
          </w:tcPr>
          <w:p w14:paraId="44E9129B" w14:textId="77777777" w:rsidR="00060BA0" w:rsidRDefault="00060BA0" w:rsidP="00060BA0">
            <w:r>
              <w:t xml:space="preserve">• Limited capacity in CAMHS and lengthy waiting lists  </w:t>
            </w:r>
          </w:p>
          <w:p w14:paraId="3C7BA605" w14:textId="77777777" w:rsidR="00060BA0" w:rsidRDefault="00060BA0" w:rsidP="00060BA0">
            <w:r>
              <w:t xml:space="preserve">• Gap between policy and practice  </w:t>
            </w:r>
          </w:p>
          <w:p w14:paraId="6E9CD2E6" w14:textId="77777777" w:rsidR="00060BA0" w:rsidRDefault="00060BA0" w:rsidP="00060BA0">
            <w:r>
              <w:t xml:space="preserve">• Fragmented collaboration among agencies  </w:t>
            </w:r>
          </w:p>
          <w:p w14:paraId="1153AD88" w14:textId="77777777" w:rsidR="00060BA0" w:rsidRDefault="00060BA0" w:rsidP="00060BA0">
            <w:r>
              <w:t xml:space="preserve">• Unclear referral pathways  </w:t>
            </w:r>
          </w:p>
          <w:p w14:paraId="5234E424" w14:textId="77777777" w:rsidR="00060BA0" w:rsidRDefault="00060BA0" w:rsidP="00060BA0">
            <w:r>
              <w:t xml:space="preserve">• Insufficient promotion of existing services  </w:t>
            </w:r>
          </w:p>
          <w:p w14:paraId="3ADCF4E8" w14:textId="52211996" w:rsidR="00D81FFC" w:rsidRPr="00D81FFC" w:rsidRDefault="00060BA0" w:rsidP="00060BA0">
            <w:r>
              <w:t>• Challenges in physical and digital access</w:t>
            </w:r>
          </w:p>
        </w:tc>
        <w:tc>
          <w:tcPr>
            <w:tcW w:w="0" w:type="auto"/>
            <w:vAlign w:val="center"/>
            <w:hideMark/>
          </w:tcPr>
          <w:p w14:paraId="49AC4D22" w14:textId="590ABC8E" w:rsidR="00D81FFC" w:rsidRPr="00D81FFC" w:rsidRDefault="00D73B9E" w:rsidP="00D81FFC">
            <w:r w:rsidRPr="00D73B9E">
              <w:t>National policies encourage early intervention, but under-resourced systems and poor coordination among schools, health services, and families create significant barriers. As a result, students often fall between the thresholds for school and specialist care.</w:t>
            </w:r>
          </w:p>
        </w:tc>
        <w:tc>
          <w:tcPr>
            <w:tcW w:w="0" w:type="auto"/>
            <w:vAlign w:val="center"/>
            <w:hideMark/>
          </w:tcPr>
          <w:p w14:paraId="7217FDEC" w14:textId="77777777" w:rsidR="00D81FFC" w:rsidRPr="00D81FFC" w:rsidRDefault="00D81FFC" w:rsidP="00D81FFC">
            <w:r w:rsidRPr="00D81FFC">
              <w:t>Toulis, Bambra &amp; Cairns (2022); Department for Education &amp; DHSC (2017); Deighton et al. (2016)</w:t>
            </w:r>
          </w:p>
        </w:tc>
      </w:tr>
      <w:tr w:rsidR="00D81FFC" w:rsidRPr="00D81FFC" w14:paraId="2DF976A5" w14:textId="77777777">
        <w:trPr>
          <w:tblCellSpacing w:w="15" w:type="dxa"/>
        </w:trPr>
        <w:tc>
          <w:tcPr>
            <w:tcW w:w="0" w:type="auto"/>
            <w:vAlign w:val="center"/>
            <w:hideMark/>
          </w:tcPr>
          <w:p w14:paraId="3291CC03" w14:textId="77777777" w:rsidR="00D81FFC" w:rsidRPr="00D81FFC" w:rsidRDefault="00D81FFC" w:rsidP="00D81FFC">
            <w:r w:rsidRPr="00D81FFC">
              <w:rPr>
                <w:b/>
                <w:bCs/>
              </w:rPr>
              <w:lastRenderedPageBreak/>
              <w:t>5. Service Awareness and Accessibility Issues</w:t>
            </w:r>
          </w:p>
        </w:tc>
        <w:tc>
          <w:tcPr>
            <w:tcW w:w="0" w:type="auto"/>
            <w:vAlign w:val="center"/>
            <w:hideMark/>
          </w:tcPr>
          <w:p w14:paraId="0B0D3DDA" w14:textId="077A98B5" w:rsidR="00F66E4D" w:rsidRDefault="00D81FFC" w:rsidP="00F66E4D">
            <w:r w:rsidRPr="00D81FFC">
              <w:t>•</w:t>
            </w:r>
            <w:r w:rsidR="00F66E4D">
              <w:t xml:space="preserve"> Unclear referral pathways  </w:t>
            </w:r>
          </w:p>
          <w:p w14:paraId="160A9C94" w14:textId="77777777" w:rsidR="00F66E4D" w:rsidRDefault="00F66E4D" w:rsidP="00F66E4D">
            <w:r>
              <w:t xml:space="preserve">• Insufficient promotion of available services  </w:t>
            </w:r>
          </w:p>
          <w:p w14:paraId="1E4C6E40" w14:textId="30259F13" w:rsidR="00D81FFC" w:rsidRPr="00D81FFC" w:rsidRDefault="00F66E4D" w:rsidP="00F66E4D">
            <w:r>
              <w:t>• Challenges in physical and digital access</w:t>
            </w:r>
          </w:p>
        </w:tc>
        <w:tc>
          <w:tcPr>
            <w:tcW w:w="0" w:type="auto"/>
            <w:vAlign w:val="center"/>
            <w:hideMark/>
          </w:tcPr>
          <w:p w14:paraId="752E5AF3" w14:textId="16E07D3C" w:rsidR="00D81FFC" w:rsidRPr="00D81FFC" w:rsidRDefault="005C6980" w:rsidP="00D81FFC">
            <w:r w:rsidRPr="005C6980">
              <w:t>Many students do not know about available school counseling services or digital support options. Referral processes are often unclear and applied inconsistently across institutions.</w:t>
            </w:r>
          </w:p>
        </w:tc>
        <w:tc>
          <w:tcPr>
            <w:tcW w:w="0" w:type="auto"/>
            <w:vAlign w:val="center"/>
            <w:hideMark/>
          </w:tcPr>
          <w:p w14:paraId="0E6403FB" w14:textId="77777777" w:rsidR="00D81FFC" w:rsidRPr="00D81FFC" w:rsidRDefault="00D81FFC" w:rsidP="00D81FFC">
            <w:r w:rsidRPr="00D81FFC">
              <w:t>Place2Be et al. (2018); Deighton et al. (2021); NHS England (2019)</w:t>
            </w:r>
          </w:p>
        </w:tc>
      </w:tr>
    </w:tbl>
    <w:p w14:paraId="25B5D8FE" w14:textId="77777777" w:rsidR="006455F8" w:rsidRDefault="006455F8"/>
    <w:p w14:paraId="67CEA337" w14:textId="77777777" w:rsidR="00D02668" w:rsidRDefault="00D02668"/>
    <w:p w14:paraId="206B8D5E" w14:textId="5D9609D9" w:rsidR="00D02668" w:rsidRDefault="00D02668">
      <w:r>
        <w:t>Summary</w:t>
      </w:r>
    </w:p>
    <w:p w14:paraId="2E639F82" w14:textId="4D0338CD" w:rsidR="00D02668" w:rsidRDefault="00D02668">
      <w:r w:rsidRPr="00D02668">
        <w:t xml:space="preserve">The thematic synthesis identified </w:t>
      </w:r>
      <w:r>
        <w:t>five</w:t>
      </w:r>
      <w:r w:rsidRPr="00D02668">
        <w:t xml:space="preserve"> key themes that represent interconnected barriers operating at individual, social, organizational, and systemic levels. These findings indicate that enhancing adolescent access to mental health services in secondary schools necessitates multi-level interventions. This includes addressing stigma and raising awareness, strengthening the capacity of schools, and ensuring sustainable policy implementation along with effective interagency collaboration.</w:t>
      </w:r>
    </w:p>
    <w:p w14:paraId="415A9B55" w14:textId="77777777" w:rsidR="001612D8" w:rsidRDefault="001612D8"/>
    <w:p w14:paraId="7BA2F8CE" w14:textId="77777777" w:rsidR="00E46077" w:rsidRDefault="00E46077"/>
    <w:p w14:paraId="686754EA" w14:textId="77777777" w:rsidR="00E46077" w:rsidRDefault="00E46077"/>
    <w:p w14:paraId="07F49B4F" w14:textId="77777777" w:rsidR="00E46077" w:rsidRDefault="00E46077"/>
    <w:p w14:paraId="103E98CF" w14:textId="77777777" w:rsidR="00E46077" w:rsidRDefault="00E46077"/>
    <w:p w14:paraId="5925B274" w14:textId="77777777" w:rsidR="00E46077" w:rsidRDefault="00E46077"/>
    <w:p w14:paraId="16D812FB" w14:textId="77777777" w:rsidR="00E46077" w:rsidRDefault="00E46077"/>
    <w:p w14:paraId="5B5687DC" w14:textId="77777777" w:rsidR="00E46077" w:rsidRDefault="00E46077"/>
    <w:p w14:paraId="1DEDC2C9" w14:textId="77777777" w:rsidR="00E46077" w:rsidRDefault="00E46077"/>
    <w:p w14:paraId="1ADE3485" w14:textId="77777777" w:rsidR="00E46077" w:rsidRDefault="00E46077"/>
    <w:p w14:paraId="1412D34D" w14:textId="77777777" w:rsidR="00E46077" w:rsidRDefault="00E46077"/>
    <w:p w14:paraId="786EA35C" w14:textId="5ACAC914" w:rsidR="001612D8" w:rsidRPr="008C4251" w:rsidRDefault="001612D8">
      <w:pPr>
        <w:rPr>
          <w:b/>
          <w:bCs/>
        </w:rPr>
      </w:pPr>
      <w:r w:rsidRPr="008C4251">
        <w:rPr>
          <w:b/>
          <w:bCs/>
        </w:rPr>
        <w:lastRenderedPageBreak/>
        <w:t>Discussion</w:t>
      </w:r>
    </w:p>
    <w:p w14:paraId="47F6B9D3" w14:textId="77777777" w:rsidR="008C4251" w:rsidRPr="008C4251" w:rsidRDefault="008C4251" w:rsidP="008C4251">
      <w:r w:rsidRPr="008C4251">
        <w:t>This scoping review illuminates the multifaceted barriers that hinder adolescents' access to mental health services within secondary schools across the UK. The evidence clearly illustrates that individual, social, organizational, and systemic factors intricately interact, significantly shaping both access to and engagement with essential services.</w:t>
      </w:r>
    </w:p>
    <w:p w14:paraId="5F43A40C" w14:textId="41F7DAF8" w:rsidR="008C4251" w:rsidRPr="008C4251" w:rsidRDefault="008C4251" w:rsidP="008C4251">
      <w:pPr>
        <w:rPr>
          <w:b/>
          <w:bCs/>
        </w:rPr>
      </w:pPr>
      <w:r w:rsidRPr="008C4251">
        <w:rPr>
          <w:b/>
          <w:bCs/>
        </w:rPr>
        <w:t>Individual and Psychological Barriers</w:t>
      </w:r>
    </w:p>
    <w:p w14:paraId="40F95CBE" w14:textId="2493E34E" w:rsidR="008C4251" w:rsidRPr="008C4251" w:rsidRDefault="008C4251" w:rsidP="008C4251">
      <w:r w:rsidRPr="008C4251">
        <w:t>Stigma, embarrassment, and concerns about confidentiality profoundly discourage young people from seeking help. Furthermore, low mental health literacy limits their ability to recognize symptoms and understand the support available to them (Deighton et al., 2021; Place2Be et al., 2018). Despite the widespread acknowledgment of these issues across various studies, there is a critical lack of evaluation concerning long-term interventions that address stigma and enhance mental health literacy, revealing a significant gap in necessary research</w:t>
      </w:r>
      <w:r w:rsidR="007479B3">
        <w:t xml:space="preserve"> (Griffin et al.,</w:t>
      </w:r>
      <w:r w:rsidR="00172D38">
        <w:t xml:space="preserve"> 2022).</w:t>
      </w:r>
    </w:p>
    <w:p w14:paraId="3967AC95" w14:textId="17C810F0" w:rsidR="008C4251" w:rsidRPr="008C4251" w:rsidRDefault="008C4251" w:rsidP="008C4251">
      <w:pPr>
        <w:rPr>
          <w:b/>
          <w:bCs/>
        </w:rPr>
      </w:pPr>
      <w:r w:rsidRPr="008C4251">
        <w:rPr>
          <w:b/>
          <w:bCs/>
        </w:rPr>
        <w:t>Social and Cultural Barriers</w:t>
      </w:r>
    </w:p>
    <w:p w14:paraId="59549583" w14:textId="4337B439" w:rsidR="008C4251" w:rsidRPr="008C4251" w:rsidRDefault="008C4251" w:rsidP="008C4251">
      <w:r w:rsidRPr="008C4251">
        <w:t>Socioeconomic inequality, parental attitudes, and cultural norms play a pivotal role in shaping students' willingness and capacity to seek help</w:t>
      </w:r>
      <w:r w:rsidR="003011DE">
        <w:t xml:space="preserve"> (Patalay et al.,</w:t>
      </w:r>
      <w:r w:rsidR="007C4D84">
        <w:t xml:space="preserve"> 2020)</w:t>
      </w:r>
      <w:r w:rsidRPr="008C4251">
        <w:t>. Disadvantaged and minority groups confront compounded barriers, underscoring that achieving equity remains a formidable challenge (Patalay et al., 2021; Toulis, Bambra &amp; Cairns, 2022). However, evidence regarding intersectional differences is scarce, with few studies exploring the complex interactions between these dimensions</w:t>
      </w:r>
      <w:r w:rsidR="00870222">
        <w:t xml:space="preserve"> (Deighton et al., 2019).</w:t>
      </w:r>
    </w:p>
    <w:p w14:paraId="1CF8A413" w14:textId="6577BA9B" w:rsidR="008C4251" w:rsidRPr="008C4251" w:rsidRDefault="008C4251" w:rsidP="008C4251">
      <w:pPr>
        <w:rPr>
          <w:b/>
          <w:bCs/>
        </w:rPr>
      </w:pPr>
      <w:r w:rsidRPr="008C4251">
        <w:rPr>
          <w:b/>
          <w:bCs/>
        </w:rPr>
        <w:t>School and Organizational Barriers</w:t>
      </w:r>
    </w:p>
    <w:p w14:paraId="09BB2C72" w14:textId="2D678789" w:rsidR="008C4251" w:rsidRDefault="008C4251" w:rsidP="008C4251">
      <w:r w:rsidRPr="008C4251">
        <w:t>The availability and quality of mental health services differ markedly across schools, influenced by inconsistent staffing, inadequate training, and competing academic priorities (Deighton et al., 2021). Although initiatives like the Green Paper (Department for Education &amp; DHSC, 2017</w:t>
      </w:r>
      <w:r w:rsidR="00551E95">
        <w:t>;</w:t>
      </w:r>
      <w:r w:rsidR="00981C69">
        <w:t xml:space="preserve"> Garside, 2021</w:t>
      </w:r>
      <w:r w:rsidRPr="008C4251">
        <w:t>) advocate for a comprehensive whole-school approach to mental health, implementation often falls short. Moreover, there is a pressing need for research that links specific models of school provision to improved outcomes, highlighting an urgent call for rigorous evaluation and accountability in mental health services for adolescents.</w:t>
      </w:r>
    </w:p>
    <w:p w14:paraId="2DBD15C2" w14:textId="77777777" w:rsidR="003F0717" w:rsidRDefault="003F0717" w:rsidP="008C4251"/>
    <w:p w14:paraId="20AA4032" w14:textId="4862ADB6" w:rsidR="003F0717" w:rsidRPr="003F0717" w:rsidRDefault="003F0717" w:rsidP="003F0717">
      <w:pPr>
        <w:rPr>
          <w:b/>
          <w:bCs/>
        </w:rPr>
      </w:pPr>
      <w:r w:rsidRPr="003F0717">
        <w:rPr>
          <w:b/>
          <w:bCs/>
        </w:rPr>
        <w:t>Systemic and Structural Barriers</w:t>
      </w:r>
    </w:p>
    <w:p w14:paraId="3E6D7ADB" w14:textId="0FCA3880" w:rsidR="003F0717" w:rsidRDefault="003F0717" w:rsidP="003F0717">
      <w:r>
        <w:t xml:space="preserve">Access to Child and Adolescent Mental Health Services (CAMHS) is critically limited by capacity issues and fragmented referral pathways, even in schools that actively seek to provide support (Toulis, Bambra &amp; Cairns, 2022). While national policies advocate for early intervention, persistent regional disparities and short-term funding cycles severely </w:t>
      </w:r>
      <w:r>
        <w:lastRenderedPageBreak/>
        <w:t>undermine the sustainability of these initiatives</w:t>
      </w:r>
      <w:r w:rsidR="00292420">
        <w:t xml:space="preserve"> (Department for Education &amp; DHSC, 2017)</w:t>
      </w:r>
      <w:r>
        <w:t>. Moreover, the lack of comprehensive evaluations of emerging frameworks such as Mental Health Support Teams exposes a significant gap in our understanding of their effectiveness.</w:t>
      </w:r>
    </w:p>
    <w:p w14:paraId="090F0259" w14:textId="77777777" w:rsidR="003F0717" w:rsidRDefault="003F0717" w:rsidP="003F0717"/>
    <w:p w14:paraId="1FD9BB31" w14:textId="5E7FA00D" w:rsidR="003F0717" w:rsidRDefault="003F0717" w:rsidP="003F0717">
      <w:r>
        <w:t>The existing literature clearly demonstrates that barriers do not operate in isolation; rather, they are interconnected and multifaceted. The absence of standardized outcome measures and the scarcity of longitudinal evidence impede meaningful comparisons between studies. Furthermore, the voices of young people are alarmingly underrepresented, as most research tends to prioritize staff and policy perspectives over the lived experiences of adolescents</w:t>
      </w:r>
      <w:r w:rsidR="008250B7">
        <w:t xml:space="preserve"> (Griffin et al., 2022)</w:t>
      </w:r>
      <w:r>
        <w:t>.</w:t>
      </w:r>
    </w:p>
    <w:p w14:paraId="7EEF1CBD" w14:textId="77777777" w:rsidR="003F0717" w:rsidRDefault="003F0717" w:rsidP="003F0717"/>
    <w:p w14:paraId="362E8BFA" w14:textId="7A7815E9" w:rsidR="003F0717" w:rsidRDefault="003F0717" w:rsidP="003F0717">
      <w:r>
        <w:t>The studies reviewed offer valuable insights but exhibit notable variations in methodological design and quality. Large-scale quantitative surveys produce robust descriptive data, while smaller qualitative studies provide essential contextual information, albeit with limited generalizability. Although the lack of formal quality appraisal in this scoping review aligns with its intended purpose, it restricts our ability to critically assess the strength of the evidence presented</w:t>
      </w:r>
      <w:r w:rsidR="0021744B">
        <w:t xml:space="preserve"> (Toulis</w:t>
      </w:r>
      <w:r w:rsidR="004555C0">
        <w:t>, Bambra &amp; Cairns, 2022)</w:t>
      </w:r>
      <w:r>
        <w:t>.</w:t>
      </w:r>
    </w:p>
    <w:p w14:paraId="32BCBF7A" w14:textId="77777777" w:rsidR="003F0717" w:rsidRDefault="003F0717" w:rsidP="003F0717"/>
    <w:p w14:paraId="0E0A7401" w14:textId="25E70D4E" w:rsidR="003F0717" w:rsidRPr="003F0717" w:rsidRDefault="003F0717" w:rsidP="003F0717">
      <w:pPr>
        <w:rPr>
          <w:b/>
          <w:bCs/>
        </w:rPr>
      </w:pPr>
      <w:r w:rsidRPr="003F0717">
        <w:rPr>
          <w:b/>
          <w:bCs/>
        </w:rPr>
        <w:t>Conclusion and Recommendations</w:t>
      </w:r>
    </w:p>
    <w:p w14:paraId="4211052F" w14:textId="77777777" w:rsidR="003F0717" w:rsidRDefault="003F0717" w:rsidP="003F0717"/>
    <w:p w14:paraId="2200A61B" w14:textId="662900E0" w:rsidR="003F0717" w:rsidRDefault="003F0717" w:rsidP="003F0717">
      <w:r>
        <w:t xml:space="preserve">This </w:t>
      </w:r>
      <w:r w:rsidR="007A7E89">
        <w:t xml:space="preserve">scoping </w:t>
      </w:r>
      <w:r>
        <w:t>review underscores that adolescents are impeded in their access to school-based mental health services due to stigma, low literacy levels, inconsistent service provision, and systemic undercapacity. While there are commendable policy commitments in place, their translation into equitable and sustainable practices remains inconsistent and inadequat</w:t>
      </w:r>
      <w:r w:rsidR="00774E6E">
        <w:t>e (Department for Education &amp; DHSC, 2017)</w:t>
      </w:r>
      <w:r>
        <w:t>.</w:t>
      </w:r>
    </w:p>
    <w:p w14:paraId="0DF11EF9" w14:textId="77777777" w:rsidR="003F0717" w:rsidRDefault="003F0717" w:rsidP="003F0717"/>
    <w:p w14:paraId="3E477E63" w14:textId="025AB1D5" w:rsidR="003F0717" w:rsidRDefault="003F0717" w:rsidP="003F0717">
      <w:pPr>
        <w:rPr>
          <w:b/>
          <w:bCs/>
        </w:rPr>
      </w:pPr>
      <w:r w:rsidRPr="003F0717">
        <w:rPr>
          <w:b/>
          <w:bCs/>
        </w:rPr>
        <w:t>Recommendations for Future Research</w:t>
      </w:r>
    </w:p>
    <w:p w14:paraId="790C0776" w14:textId="77777777" w:rsidR="00936CCC" w:rsidRPr="00936CCC" w:rsidRDefault="00936CCC" w:rsidP="003F0717">
      <w:pPr>
        <w:rPr>
          <w:b/>
          <w:bCs/>
        </w:rPr>
      </w:pPr>
    </w:p>
    <w:p w14:paraId="57C875F4" w14:textId="180D9519" w:rsidR="003F0717" w:rsidRDefault="00B72070" w:rsidP="00936CCC">
      <w:r>
        <w:t>1.</w:t>
      </w:r>
      <w:r w:rsidR="003F0717">
        <w:t>Undertake longitudinal evaluative studies to rigorously assess the impact of school-based interventions on both access and outcomes</w:t>
      </w:r>
      <w:r w:rsidR="00041ABA">
        <w:t xml:space="preserve"> (</w:t>
      </w:r>
      <w:r w:rsidR="00712CE4">
        <w:t>Griffin et al.,</w:t>
      </w:r>
      <w:r w:rsidR="00041ABA">
        <w:t xml:space="preserve"> 2022)</w:t>
      </w:r>
      <w:r w:rsidR="003F0717">
        <w:t>.</w:t>
      </w:r>
    </w:p>
    <w:p w14:paraId="4061F140" w14:textId="6F0FE843" w:rsidR="003F0717" w:rsidRDefault="00041ABA" w:rsidP="003F0717">
      <w:r>
        <w:t xml:space="preserve"> </w:t>
      </w:r>
      <w:r w:rsidR="003F0717">
        <w:t>2. Develop intersectional analyses to comprehensively understand variations in mental health experiences across different genders, ethnicities, and socioeconomic backgrounds</w:t>
      </w:r>
      <w:r w:rsidR="00F12F42">
        <w:t xml:space="preserve"> (Patalay &amp; Fitzsimons, 2018</w:t>
      </w:r>
      <w:r w:rsidR="00CC2E7A">
        <w:t>; Toulis, Bambra &amp; Cairns, 2022)</w:t>
      </w:r>
      <w:r w:rsidR="003F0717">
        <w:t>.</w:t>
      </w:r>
    </w:p>
    <w:p w14:paraId="0870F567" w14:textId="77777777" w:rsidR="003F0717" w:rsidRDefault="003F0717" w:rsidP="003F0717">
      <w:r>
        <w:lastRenderedPageBreak/>
        <w:t>3. Actively include young people's perspectives through participatory and qualitative methods, ensuring that their voices drive the research agenda.</w:t>
      </w:r>
    </w:p>
    <w:p w14:paraId="14122088" w14:textId="5A12D1C6" w:rsidR="003F0717" w:rsidRDefault="00936CCC" w:rsidP="003F0717">
      <w:r>
        <w:t>4</w:t>
      </w:r>
      <w:r w:rsidR="003F0717">
        <w:t>. Standardize definitions and measures of "access" to facilitate enhanced comparability and improve the overall quality of research in this critical area.</w:t>
      </w:r>
    </w:p>
    <w:p w14:paraId="76493382" w14:textId="1AEAAB72" w:rsidR="00B2739B" w:rsidRDefault="00936CCC" w:rsidP="003F0717">
      <w:r>
        <w:t>5</w:t>
      </w:r>
      <w:r w:rsidR="00B2739B">
        <w:t xml:space="preserve">. </w:t>
      </w:r>
      <w:r w:rsidR="00B2739B" w:rsidRPr="00B2739B">
        <w:t>Allocate resources strategically to schools and communities that struggle with the most significant inequalities.</w:t>
      </w:r>
    </w:p>
    <w:p w14:paraId="43D5C248" w14:textId="77777777" w:rsidR="00A60266" w:rsidRDefault="00A60266" w:rsidP="00A60266">
      <w:r>
        <w:t>Policymakers and educational leaders should:</w:t>
      </w:r>
    </w:p>
    <w:p w14:paraId="7A8B1CCB" w14:textId="77777777" w:rsidR="00A60266" w:rsidRDefault="00A60266" w:rsidP="00A60266"/>
    <w:p w14:paraId="45DC9361" w14:textId="0C9F5806" w:rsidR="00A60266" w:rsidRDefault="00A60266" w:rsidP="009D7E92">
      <w:pPr>
        <w:pStyle w:val="ListParagraph"/>
        <w:numPr>
          <w:ilvl w:val="0"/>
          <w:numId w:val="5"/>
        </w:numPr>
      </w:pPr>
      <w:r>
        <w:t>Strengthen training and capacity-building for school staff to help them identify and support students with emerging mental health needs (NICE, 2019).</w:t>
      </w:r>
    </w:p>
    <w:p w14:paraId="3A0EBEFD" w14:textId="7109A627" w:rsidR="00A60266" w:rsidRDefault="00A60266" w:rsidP="009D7E92">
      <w:pPr>
        <w:pStyle w:val="ListParagraph"/>
        <w:numPr>
          <w:ilvl w:val="0"/>
          <w:numId w:val="5"/>
        </w:numPr>
      </w:pPr>
      <w:r>
        <w:t>Ensure consistent implementation of Mental Health Support Teams (MHSTs) across the nation and establish clear referral pathways between schools and Child and Adolescent Mental Health Services (CAMHS) (Department for Education &amp; DHSC, 2017; Garratt, Kirk-Wade &amp; Long, 2024).</w:t>
      </w:r>
    </w:p>
    <w:p w14:paraId="7528DCEC" w14:textId="33AF3252" w:rsidR="00A60266" w:rsidRDefault="00A60266" w:rsidP="009D7E92">
      <w:pPr>
        <w:pStyle w:val="ListParagraph"/>
        <w:numPr>
          <w:ilvl w:val="0"/>
          <w:numId w:val="5"/>
        </w:numPr>
      </w:pPr>
      <w:r>
        <w:t>Promote whole-school approaches that integrate mental health awareness into the curriculum and help reduce the stigma associated with seeking help (Place2Be, 2018; Deighton et al., 2019).</w:t>
      </w:r>
    </w:p>
    <w:p w14:paraId="1F4D492D" w14:textId="242BC5EF" w:rsidR="00160637" w:rsidRPr="008C4251" w:rsidRDefault="00B81D14" w:rsidP="003F0717">
      <w:r>
        <w:t>In conclusion,</w:t>
      </w:r>
      <w:r w:rsidR="00B2739B" w:rsidRPr="00B2739B">
        <w:t xml:space="preserve"> </w:t>
      </w:r>
      <w:r>
        <w:t>s</w:t>
      </w:r>
      <w:r w:rsidR="00B2739B" w:rsidRPr="00B2739B">
        <w:t>trengthening adolescent access demands a unified approach that engages policymakers, educational institutions, and local communities. This effort must be backed by consistent investment and grounded in inclusive, evidence-based practices that drive meaningful change.</w:t>
      </w:r>
    </w:p>
    <w:p w14:paraId="15C353CC" w14:textId="77777777" w:rsidR="008C4251" w:rsidRDefault="008C4251"/>
    <w:p w14:paraId="02358FAB" w14:textId="77777777" w:rsidR="009D7E92" w:rsidRDefault="009D7E92"/>
    <w:p w14:paraId="214CBE63" w14:textId="77777777" w:rsidR="009D7E92" w:rsidRDefault="009D7E92"/>
    <w:p w14:paraId="1B54A435" w14:textId="77777777" w:rsidR="009D7E92" w:rsidRDefault="009D7E92"/>
    <w:p w14:paraId="5118E923" w14:textId="77777777" w:rsidR="009D7E92" w:rsidRDefault="009D7E92"/>
    <w:p w14:paraId="0B651965" w14:textId="77777777" w:rsidR="009D7E92" w:rsidRDefault="009D7E92"/>
    <w:p w14:paraId="5308DF72" w14:textId="77777777" w:rsidR="009D7E92" w:rsidRDefault="009D7E92"/>
    <w:p w14:paraId="09A24FE8" w14:textId="77777777" w:rsidR="009D7E92" w:rsidRDefault="009D7E92"/>
    <w:p w14:paraId="5A9BFFC1" w14:textId="77777777" w:rsidR="009D7E92" w:rsidRDefault="009D7E92"/>
    <w:p w14:paraId="3ED5993E" w14:textId="77777777" w:rsidR="009D7E92" w:rsidRDefault="009D7E92"/>
    <w:p w14:paraId="1D1EAEE9" w14:textId="77777777" w:rsidR="009D7E92" w:rsidRDefault="009D7E92"/>
    <w:p w14:paraId="6338F11A" w14:textId="6D39E093" w:rsidR="009D7E92" w:rsidRDefault="009D7E92">
      <w:r>
        <w:lastRenderedPageBreak/>
        <w:t>Reference List</w:t>
      </w:r>
    </w:p>
    <w:p w14:paraId="6A37C6BA" w14:textId="77777777" w:rsidR="001C76A4" w:rsidRPr="001C76A4" w:rsidRDefault="001C76A4" w:rsidP="001C76A4">
      <w:r w:rsidRPr="001C76A4">
        <w:t xml:space="preserve">Arksey, H. and O’Malley, L. (2005) ‘Scoping studies: towards a methodological framework’, </w:t>
      </w:r>
      <w:r w:rsidRPr="001C76A4">
        <w:rPr>
          <w:i/>
          <w:iCs/>
        </w:rPr>
        <w:t>International Journal of Social Research Methodology</w:t>
      </w:r>
      <w:r w:rsidRPr="001C76A4">
        <w:t xml:space="preserve">, 8(1), pp. 19–32. Available at: </w:t>
      </w:r>
      <w:hyperlink r:id="rId5" w:tgtFrame="_new" w:history="1">
        <w:r w:rsidRPr="001C76A4">
          <w:rPr>
            <w:rStyle w:val="Hyperlink"/>
          </w:rPr>
          <w:t>https://doi.org/10.1080/1364557032000119616</w:t>
        </w:r>
      </w:hyperlink>
      <w:r w:rsidRPr="001C76A4">
        <w:t xml:space="preserve"> (Accessed: 27 October 2025).</w:t>
      </w:r>
    </w:p>
    <w:p w14:paraId="78CFB604" w14:textId="77777777" w:rsidR="001C76A4" w:rsidRPr="001C76A4" w:rsidRDefault="001C76A4" w:rsidP="001C76A4">
      <w:r w:rsidRPr="001C76A4">
        <w:t xml:space="preserve">Department for Education (2014) </w:t>
      </w:r>
      <w:r w:rsidRPr="001C76A4">
        <w:rPr>
          <w:i/>
          <w:iCs/>
        </w:rPr>
        <w:t>Children and Families Act 2014</w:t>
      </w:r>
      <w:r w:rsidRPr="001C76A4">
        <w:t xml:space="preserve">. London: The Stationery Office. Available at: </w:t>
      </w:r>
      <w:hyperlink r:id="rId6" w:tgtFrame="_new" w:history="1">
        <w:r w:rsidRPr="001C76A4">
          <w:rPr>
            <w:rStyle w:val="Hyperlink"/>
          </w:rPr>
          <w:t>https://www.legislation.gov.uk/ukpga/2014/6/contents/enacted</w:t>
        </w:r>
      </w:hyperlink>
      <w:r w:rsidRPr="001C76A4">
        <w:t xml:space="preserve"> (Accessed: 27 October 2025).</w:t>
      </w:r>
    </w:p>
    <w:p w14:paraId="5386BF99" w14:textId="77777777" w:rsidR="001C76A4" w:rsidRPr="001C76A4" w:rsidRDefault="001C76A4" w:rsidP="001C76A4">
      <w:r w:rsidRPr="001C76A4">
        <w:t xml:space="preserve">Department for Education and Department of Health &amp; Social Care (2017) </w:t>
      </w:r>
      <w:r w:rsidRPr="001C76A4">
        <w:rPr>
          <w:i/>
          <w:iCs/>
        </w:rPr>
        <w:t>Transforming Children and Young People’s Mental Health Provision: A Green Paper</w:t>
      </w:r>
      <w:r w:rsidRPr="001C76A4">
        <w:t xml:space="preserve">. London: HMSO. Available at: </w:t>
      </w:r>
      <w:hyperlink r:id="rId7" w:tgtFrame="_new" w:history="1">
        <w:r w:rsidRPr="001C76A4">
          <w:rPr>
            <w:rStyle w:val="Hyperlink"/>
          </w:rPr>
          <w:t>https://assets.publishing.service.gov.uk/media/5a823518e5274a2e87dc1b56/Transforming_children_and_young_people_s_mental_health_provision.pdf</w:t>
        </w:r>
      </w:hyperlink>
      <w:r w:rsidRPr="001C76A4">
        <w:t xml:space="preserve"> (Accessed: 27 October 2025).</w:t>
      </w:r>
    </w:p>
    <w:p w14:paraId="73712C11" w14:textId="77777777" w:rsidR="001C76A4" w:rsidRPr="001C76A4" w:rsidRDefault="001C76A4" w:rsidP="001C76A4">
      <w:r w:rsidRPr="001C76A4">
        <w:t xml:space="preserve">Deighton, J., Lereya, T., Patalay, P., Casey, P., Humphrey, N., Wolpert, M. and Belsky, J. (2019) ‘Mental health problems in young people aged 11–14: results from the HeadStart Learning Programme’, </w:t>
      </w:r>
      <w:r w:rsidRPr="001C76A4">
        <w:rPr>
          <w:i/>
          <w:iCs/>
        </w:rPr>
        <w:t>Journal of Adolescence</w:t>
      </w:r>
      <w:r w:rsidRPr="001C76A4">
        <w:t xml:space="preserve">, 71, pp. 1–11. Available at: </w:t>
      </w:r>
      <w:hyperlink r:id="rId8" w:tgtFrame="_new" w:history="1">
        <w:r w:rsidRPr="001C76A4">
          <w:rPr>
            <w:rStyle w:val="Hyperlink"/>
          </w:rPr>
          <w:t>https://pubmed.ncbi.nlm.nih.gov/30698513/</w:t>
        </w:r>
      </w:hyperlink>
      <w:r w:rsidRPr="001C76A4">
        <w:t xml:space="preserve"> (Accessed: 27 October 2025).</w:t>
      </w:r>
    </w:p>
    <w:p w14:paraId="57B4800F" w14:textId="77777777" w:rsidR="001C76A4" w:rsidRPr="001C76A4" w:rsidRDefault="001C76A4" w:rsidP="001C76A4">
      <w:r w:rsidRPr="001C76A4">
        <w:t xml:space="preserve">Garratt, L., Kirk-Wade, E. and Long, R. (2024) </w:t>
      </w:r>
      <w:r w:rsidRPr="001C76A4">
        <w:rPr>
          <w:i/>
          <w:iCs/>
        </w:rPr>
        <w:t>Children and Young People’s Mental Health Services in England</w:t>
      </w:r>
      <w:r w:rsidRPr="001C76A4">
        <w:t xml:space="preserve"> (CBP-7196). London: House of Commons Library. Available at: </w:t>
      </w:r>
      <w:hyperlink r:id="rId9" w:tgtFrame="_new" w:history="1">
        <w:r w:rsidRPr="001C76A4">
          <w:rPr>
            <w:rStyle w:val="Hyperlink"/>
          </w:rPr>
          <w:t>https://commonslibrary.parliament.uk/research-briefings/cbp-7196/</w:t>
        </w:r>
      </w:hyperlink>
      <w:r w:rsidRPr="001C76A4">
        <w:t xml:space="preserve"> (Accessed: 27 October 2025).</w:t>
      </w:r>
    </w:p>
    <w:p w14:paraId="42A1B144" w14:textId="77777777" w:rsidR="001C76A4" w:rsidRPr="001C76A4" w:rsidRDefault="001C76A4" w:rsidP="001C76A4">
      <w:r w:rsidRPr="001C76A4">
        <w:t xml:space="preserve">Garside, R. (2021) ‘Barriers and facilitators to mental health help-seeking among adolescents in school settings: a qualitative synthesis’, </w:t>
      </w:r>
      <w:r w:rsidRPr="001C76A4">
        <w:rPr>
          <w:i/>
          <w:iCs/>
        </w:rPr>
        <w:t>BMC Public Health</w:t>
      </w:r>
      <w:r w:rsidRPr="001C76A4">
        <w:t xml:space="preserve">, 21(1), pp. 1–13. Available at: </w:t>
      </w:r>
      <w:hyperlink r:id="rId10" w:tgtFrame="_new" w:history="1">
        <w:r w:rsidRPr="001C76A4">
          <w:rPr>
            <w:rStyle w:val="Hyperlink"/>
          </w:rPr>
          <w:t>https://pmc.ncbi.nlm.nih.gov/articles/PMC8620950/</w:t>
        </w:r>
      </w:hyperlink>
      <w:r w:rsidRPr="001C76A4">
        <w:t xml:space="preserve"> (Accessed: 27 October 2025).</w:t>
      </w:r>
    </w:p>
    <w:p w14:paraId="501A542B" w14:textId="77777777" w:rsidR="001C76A4" w:rsidRPr="001C76A4" w:rsidRDefault="001C76A4" w:rsidP="001C76A4">
      <w:r w:rsidRPr="001C76A4">
        <w:t xml:space="preserve">Griffin, S., Parker, C. and Davies, E. (2022) ‘Integrating school-based and specialist mental health services: policy challenges and opportunities in England’, </w:t>
      </w:r>
      <w:r w:rsidRPr="001C76A4">
        <w:rPr>
          <w:i/>
          <w:iCs/>
        </w:rPr>
        <w:t>British Journal of Educational Psychology</w:t>
      </w:r>
      <w:r w:rsidRPr="001C76A4">
        <w:t>, 92(4), pp. 1423–1440. Available at: https://eprints.whiterose.ac.uk/187870/ (Accessed: 27 October 2025).</w:t>
      </w:r>
    </w:p>
    <w:p w14:paraId="1D1BE6FD" w14:textId="77777777" w:rsidR="001C76A4" w:rsidRPr="001C76A4" w:rsidRDefault="001C76A4" w:rsidP="001C76A4">
      <w:r w:rsidRPr="001C76A4">
        <w:t xml:space="preserve">Levac, D., Colquhoun, H. and O’Brien, K. (2010) ‘Scoping studies: advancing the methodology’, </w:t>
      </w:r>
      <w:r w:rsidRPr="001C76A4">
        <w:rPr>
          <w:i/>
          <w:iCs/>
        </w:rPr>
        <w:t>Implementation Science</w:t>
      </w:r>
      <w:r w:rsidRPr="001C76A4">
        <w:t xml:space="preserve">, 5(69), pp. 1–9. Available at: </w:t>
      </w:r>
      <w:hyperlink r:id="rId11" w:tgtFrame="_new" w:history="1">
        <w:r w:rsidRPr="001C76A4">
          <w:rPr>
            <w:rStyle w:val="Hyperlink"/>
          </w:rPr>
          <w:t>https://implementationscience.biomedcentral.com/articles/10.1186/1748-5908-5-69</w:t>
        </w:r>
      </w:hyperlink>
      <w:r w:rsidRPr="001C76A4">
        <w:t xml:space="preserve"> (Accessed: 27 October 2025).</w:t>
      </w:r>
    </w:p>
    <w:p w14:paraId="52794AEE" w14:textId="77777777" w:rsidR="001C76A4" w:rsidRPr="001C76A4" w:rsidRDefault="001C76A4" w:rsidP="001C76A4">
      <w:r w:rsidRPr="001C76A4">
        <w:lastRenderedPageBreak/>
        <w:t xml:space="preserve">National Institute for Health and Care Excellence (NICE) (2019) </w:t>
      </w:r>
      <w:r w:rsidRPr="001C76A4">
        <w:rPr>
          <w:i/>
          <w:iCs/>
        </w:rPr>
        <w:t>Social, Emotional and Mental Wellbeing in Primary and Secondary Education (NG134)</w:t>
      </w:r>
      <w:r w:rsidRPr="001C76A4">
        <w:t xml:space="preserve">. London: NICE. Available at: </w:t>
      </w:r>
      <w:hyperlink r:id="rId12" w:tgtFrame="_new" w:history="1">
        <w:r w:rsidRPr="001C76A4">
          <w:rPr>
            <w:rStyle w:val="Hyperlink"/>
          </w:rPr>
          <w:t>https://www.nice.org.uk/guidance/ng134</w:t>
        </w:r>
      </w:hyperlink>
      <w:r w:rsidRPr="001C76A4">
        <w:t xml:space="preserve"> (Accessed: 27 October 2025).</w:t>
      </w:r>
    </w:p>
    <w:p w14:paraId="123C7032" w14:textId="77777777" w:rsidR="001C76A4" w:rsidRPr="001C76A4" w:rsidRDefault="001C76A4" w:rsidP="001C76A4">
      <w:r w:rsidRPr="001C76A4">
        <w:t xml:space="preserve">NHS Digital (2021) </w:t>
      </w:r>
      <w:r w:rsidRPr="001C76A4">
        <w:rPr>
          <w:i/>
          <w:iCs/>
        </w:rPr>
        <w:t>Mental Health of Children and Young People in England, 2021: Wave 2 Follow-Up to the 2017 Survey</w:t>
      </w:r>
      <w:r w:rsidRPr="001C76A4">
        <w:t xml:space="preserve">. Leeds: NHS Digital. Available at: </w:t>
      </w:r>
      <w:hyperlink r:id="rId13" w:tgtFrame="_new" w:history="1">
        <w:r w:rsidRPr="001C76A4">
          <w:rPr>
            <w:rStyle w:val="Hyperlink"/>
          </w:rPr>
          <w:t>https://digital.nhs.uk/data-and-information/publications/statistical/mental-health-of-children-and-young-people-in-england/2021-follow-up-to-the-2017-survey</w:t>
        </w:r>
      </w:hyperlink>
      <w:r w:rsidRPr="001C76A4">
        <w:t xml:space="preserve"> (Accessed: 27 October 2025).</w:t>
      </w:r>
    </w:p>
    <w:p w14:paraId="33A8D893" w14:textId="77777777" w:rsidR="001C76A4" w:rsidRPr="001C76A4" w:rsidRDefault="001C76A4" w:rsidP="001C76A4">
      <w:r w:rsidRPr="001C76A4">
        <w:t xml:space="preserve">NHS England (2019) </w:t>
      </w:r>
      <w:r w:rsidRPr="001C76A4">
        <w:rPr>
          <w:i/>
          <w:iCs/>
        </w:rPr>
        <w:t>The NHS Long Term Plan</w:t>
      </w:r>
      <w:r w:rsidRPr="001C76A4">
        <w:t xml:space="preserve">. London: NHS England. Available at: </w:t>
      </w:r>
      <w:hyperlink r:id="rId14" w:tgtFrame="_new" w:history="1">
        <w:r w:rsidRPr="001C76A4">
          <w:rPr>
            <w:rStyle w:val="Hyperlink"/>
          </w:rPr>
          <w:t>https://www.longtermplan.nhs.uk/publication/nhs-long-term-plan/</w:t>
        </w:r>
      </w:hyperlink>
      <w:r w:rsidRPr="001C76A4">
        <w:t xml:space="preserve"> (Accessed: 27 October 2025).</w:t>
      </w:r>
    </w:p>
    <w:p w14:paraId="6F8951E5" w14:textId="77777777" w:rsidR="001C76A4" w:rsidRPr="001C76A4" w:rsidRDefault="001C76A4" w:rsidP="001C76A4">
      <w:r w:rsidRPr="001C76A4">
        <w:t xml:space="preserve">Patalay, P. and Fitzsimons, E. (2018) ‘Mental ill-health among children of the UK Millennium Cohort: prevalence and socio-demographic inequalities’, </w:t>
      </w:r>
      <w:r w:rsidRPr="001C76A4">
        <w:rPr>
          <w:i/>
          <w:iCs/>
        </w:rPr>
        <w:t>European Journal of Public Health</w:t>
      </w:r>
      <w:r w:rsidRPr="001C76A4">
        <w:t>, 28(3), pp. 485–491. Available at: https://academic.oup.com/eurpub/article/28/3/485/4710444 (Accessed: 27 October 2025).</w:t>
      </w:r>
    </w:p>
    <w:p w14:paraId="0217BDE0" w14:textId="77777777" w:rsidR="001C76A4" w:rsidRPr="001C76A4" w:rsidRDefault="001C76A4" w:rsidP="001C76A4">
      <w:r w:rsidRPr="001C76A4">
        <w:t xml:space="preserve">Patalay, P., Gondek, D., Lereya, T. and Wolpert, M. (2020) ‘School characteristics and mental health among English secondary school pupils: a multilevel analysis’, </w:t>
      </w:r>
      <w:r w:rsidRPr="001C76A4">
        <w:rPr>
          <w:i/>
          <w:iCs/>
        </w:rPr>
        <w:t>Child and Adolescent Mental Health</w:t>
      </w:r>
      <w:r w:rsidRPr="001C76A4">
        <w:t>, 25(4), pp. 228–237. Available at: https://discovery.ucl.ac.uk/id/eprint/10113903/ (Accessed: 27 October 2025).</w:t>
      </w:r>
    </w:p>
    <w:p w14:paraId="63DBDB44" w14:textId="77777777" w:rsidR="001C76A4" w:rsidRPr="001C76A4" w:rsidRDefault="001C76A4" w:rsidP="001C76A4">
      <w:r w:rsidRPr="001C76A4">
        <w:t xml:space="preserve">Peters, M. D. J., Godfrey, C., McInerney, P., Munn, Z., Tricco, A. C. and Khalil, H. (2020) </w:t>
      </w:r>
      <w:r w:rsidRPr="001C76A4">
        <w:rPr>
          <w:i/>
          <w:iCs/>
        </w:rPr>
        <w:t>Chapter 11: Scoping Reviews (2020 version)</w:t>
      </w:r>
      <w:r w:rsidRPr="001C76A4">
        <w:t xml:space="preserve">. In: Aromataris, E. and Munn, Z. (eds.) </w:t>
      </w:r>
      <w:r w:rsidRPr="001C76A4">
        <w:rPr>
          <w:i/>
          <w:iCs/>
        </w:rPr>
        <w:t>JBI Manual for Evidence Synthesis</w:t>
      </w:r>
      <w:r w:rsidRPr="001C76A4">
        <w:t xml:space="preserve">. Adelaide: JBI. Available at: </w:t>
      </w:r>
      <w:hyperlink r:id="rId15" w:tgtFrame="_new" w:history="1">
        <w:r w:rsidRPr="001C76A4">
          <w:rPr>
            <w:rStyle w:val="Hyperlink"/>
          </w:rPr>
          <w:t>https://doi.org/10.46658/JBIMES-20-12</w:t>
        </w:r>
      </w:hyperlink>
      <w:r w:rsidRPr="001C76A4">
        <w:t xml:space="preserve"> (Accessed: 27 October 2025).</w:t>
      </w:r>
    </w:p>
    <w:p w14:paraId="0477B5F2" w14:textId="77777777" w:rsidR="001C76A4" w:rsidRPr="001C76A4" w:rsidRDefault="001C76A4" w:rsidP="001C76A4">
      <w:r w:rsidRPr="001C76A4">
        <w:t xml:space="preserve">Place2Be (2018) </w:t>
      </w:r>
      <w:r w:rsidRPr="001C76A4">
        <w:rPr>
          <w:i/>
          <w:iCs/>
        </w:rPr>
        <w:t>Providing Mental Health Support in UK Schools: Annual Report 2018</w:t>
      </w:r>
      <w:r w:rsidRPr="001C76A4">
        <w:t xml:space="preserve">. London: Place2Be. Available at: </w:t>
      </w:r>
      <w:hyperlink r:id="rId16" w:tgtFrame="_new" w:history="1">
        <w:r w:rsidRPr="001C76A4">
          <w:rPr>
            <w:rStyle w:val="Hyperlink"/>
          </w:rPr>
          <w:t>https://www.place2be.org.uk/about-us/impact-and-evidence/</w:t>
        </w:r>
      </w:hyperlink>
      <w:r w:rsidRPr="001C76A4">
        <w:t xml:space="preserve"> (Accessed: 27 October 2025).</w:t>
      </w:r>
    </w:p>
    <w:p w14:paraId="7F8BC127" w14:textId="77777777" w:rsidR="001C76A4" w:rsidRPr="001C76A4" w:rsidRDefault="001C76A4" w:rsidP="001C76A4">
      <w:r w:rsidRPr="001C76A4">
        <w:t xml:space="preserve">Toulis, K., Bambra, C. and Cairns, J. (2022) ‘Socioeconomic inequalities in access to child and adolescent mental health services in England: a scoping review’, </w:t>
      </w:r>
      <w:r w:rsidRPr="001C76A4">
        <w:rPr>
          <w:i/>
          <w:iCs/>
        </w:rPr>
        <w:t>Social Psychiatry and Psychiatric Epidemiology</w:t>
      </w:r>
      <w:r w:rsidRPr="001C76A4">
        <w:t>, 57(12), pp. 2365–2380. Available at: https://link.springer.com/article/10.1007/s00127-022-02283-5 (Accessed: 27 October 2025).</w:t>
      </w:r>
    </w:p>
    <w:p w14:paraId="2F7DF6DF" w14:textId="77777777" w:rsidR="001C76A4" w:rsidRPr="001C76A4" w:rsidRDefault="001C76A4" w:rsidP="001C76A4">
      <w:r w:rsidRPr="001C76A4">
        <w:t xml:space="preserve">Tricco, A. C., Lillie, E., Zarin, W., O’Brien, K. K., Colquhoun, H., Levac, D., Moher, D., Peters, M. D. J. and Munn, Z. (2018) ‘PRISMA extension for scoping reviews (PRISMA-ScR): checklist and explanation’, </w:t>
      </w:r>
      <w:r w:rsidRPr="001C76A4">
        <w:rPr>
          <w:i/>
          <w:iCs/>
        </w:rPr>
        <w:t>Annals of Internal Medicine</w:t>
      </w:r>
      <w:r w:rsidRPr="001C76A4">
        <w:t>, 169(7), pp. 467–473. Available at: https://doi.org/10.7326/M18-0850 (Accessed: 27 October 2025).</w:t>
      </w:r>
    </w:p>
    <w:p w14:paraId="4650FBB6" w14:textId="77777777" w:rsidR="009D7E92" w:rsidRDefault="009D7E92"/>
    <w:sectPr w:rsidR="009D7E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CA67D2"/>
    <w:multiLevelType w:val="hybridMultilevel"/>
    <w:tmpl w:val="7A8EF9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8F58B6"/>
    <w:multiLevelType w:val="hybridMultilevel"/>
    <w:tmpl w:val="3F12E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BB692E"/>
    <w:multiLevelType w:val="hybridMultilevel"/>
    <w:tmpl w:val="E47E7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63414D"/>
    <w:multiLevelType w:val="hybridMultilevel"/>
    <w:tmpl w:val="F558D334"/>
    <w:lvl w:ilvl="0" w:tplc="FCCE23AA">
      <w:start w:val="1"/>
      <w:numFmt w:val="lowerLetter"/>
      <w:lvlText w:val="%1)"/>
      <w:lvlJc w:val="left"/>
      <w:pPr>
        <w:ind w:left="705" w:hanging="360"/>
      </w:pPr>
      <w:rPr>
        <w:b/>
        <w:bCs/>
      </w:rPr>
    </w:lvl>
    <w:lvl w:ilvl="1" w:tplc="FFFFFFFF">
      <w:start w:val="1"/>
      <w:numFmt w:val="bullet"/>
      <w:lvlText w:val="o"/>
      <w:lvlJc w:val="left"/>
      <w:pPr>
        <w:ind w:left="1425" w:hanging="360"/>
      </w:pPr>
      <w:rPr>
        <w:rFonts w:ascii="Courier New" w:hAnsi="Courier New" w:cs="Courier New" w:hint="default"/>
      </w:rPr>
    </w:lvl>
    <w:lvl w:ilvl="2" w:tplc="FFFFFFFF">
      <w:start w:val="1"/>
      <w:numFmt w:val="bullet"/>
      <w:lvlText w:val=""/>
      <w:lvlJc w:val="left"/>
      <w:pPr>
        <w:ind w:left="2145" w:hanging="360"/>
      </w:pPr>
      <w:rPr>
        <w:rFonts w:ascii="Wingdings" w:hAnsi="Wingdings" w:hint="default"/>
      </w:rPr>
    </w:lvl>
    <w:lvl w:ilvl="3" w:tplc="FFFFFFFF">
      <w:start w:val="1"/>
      <w:numFmt w:val="bullet"/>
      <w:lvlText w:val=""/>
      <w:lvlJc w:val="left"/>
      <w:pPr>
        <w:ind w:left="2865" w:hanging="360"/>
      </w:pPr>
      <w:rPr>
        <w:rFonts w:ascii="Symbol" w:hAnsi="Symbol" w:hint="default"/>
      </w:rPr>
    </w:lvl>
    <w:lvl w:ilvl="4" w:tplc="FFFFFFFF">
      <w:start w:val="1"/>
      <w:numFmt w:val="bullet"/>
      <w:lvlText w:val="o"/>
      <w:lvlJc w:val="left"/>
      <w:pPr>
        <w:ind w:left="3585" w:hanging="360"/>
      </w:pPr>
      <w:rPr>
        <w:rFonts w:ascii="Courier New" w:hAnsi="Courier New" w:cs="Courier New" w:hint="default"/>
      </w:rPr>
    </w:lvl>
    <w:lvl w:ilvl="5" w:tplc="FFFFFFFF">
      <w:start w:val="1"/>
      <w:numFmt w:val="bullet"/>
      <w:lvlText w:val=""/>
      <w:lvlJc w:val="left"/>
      <w:pPr>
        <w:ind w:left="4305" w:hanging="360"/>
      </w:pPr>
      <w:rPr>
        <w:rFonts w:ascii="Wingdings" w:hAnsi="Wingdings" w:hint="default"/>
      </w:rPr>
    </w:lvl>
    <w:lvl w:ilvl="6" w:tplc="FFFFFFFF">
      <w:start w:val="1"/>
      <w:numFmt w:val="bullet"/>
      <w:lvlText w:val=""/>
      <w:lvlJc w:val="left"/>
      <w:pPr>
        <w:ind w:left="5025" w:hanging="360"/>
      </w:pPr>
      <w:rPr>
        <w:rFonts w:ascii="Symbol" w:hAnsi="Symbol" w:hint="default"/>
      </w:rPr>
    </w:lvl>
    <w:lvl w:ilvl="7" w:tplc="FFFFFFFF">
      <w:start w:val="1"/>
      <w:numFmt w:val="bullet"/>
      <w:lvlText w:val="o"/>
      <w:lvlJc w:val="left"/>
      <w:pPr>
        <w:ind w:left="5745" w:hanging="360"/>
      </w:pPr>
      <w:rPr>
        <w:rFonts w:ascii="Courier New" w:hAnsi="Courier New" w:cs="Courier New" w:hint="default"/>
      </w:rPr>
    </w:lvl>
    <w:lvl w:ilvl="8" w:tplc="FFFFFFFF">
      <w:start w:val="1"/>
      <w:numFmt w:val="bullet"/>
      <w:lvlText w:val=""/>
      <w:lvlJc w:val="left"/>
      <w:pPr>
        <w:ind w:left="6465" w:hanging="360"/>
      </w:pPr>
      <w:rPr>
        <w:rFonts w:ascii="Wingdings" w:hAnsi="Wingdings" w:hint="default"/>
      </w:rPr>
    </w:lvl>
  </w:abstractNum>
  <w:abstractNum w:abstractNumId="4" w15:restartNumberingAfterBreak="0">
    <w:nsid w:val="6C28193F"/>
    <w:multiLevelType w:val="hybridMultilevel"/>
    <w:tmpl w:val="3C864D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FCE62C6"/>
    <w:multiLevelType w:val="hybridMultilevel"/>
    <w:tmpl w:val="E3000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8601174">
    <w:abstractNumId w:val="3"/>
    <w:lvlOverride w:ilvl="0">
      <w:startOverride w:val="1"/>
    </w:lvlOverride>
    <w:lvlOverride w:ilvl="1"/>
    <w:lvlOverride w:ilvl="2"/>
    <w:lvlOverride w:ilvl="3"/>
    <w:lvlOverride w:ilvl="4"/>
    <w:lvlOverride w:ilvl="5"/>
    <w:lvlOverride w:ilvl="6"/>
    <w:lvlOverride w:ilvl="7"/>
    <w:lvlOverride w:ilvl="8"/>
  </w:num>
  <w:num w:numId="2" w16cid:durableId="2054887989">
    <w:abstractNumId w:val="4"/>
  </w:num>
  <w:num w:numId="3" w16cid:durableId="1970164442">
    <w:abstractNumId w:val="0"/>
  </w:num>
  <w:num w:numId="4" w16cid:durableId="704452963">
    <w:abstractNumId w:val="1"/>
  </w:num>
  <w:num w:numId="5" w16cid:durableId="6712403">
    <w:abstractNumId w:val="5"/>
  </w:num>
  <w:num w:numId="6" w16cid:durableId="19543607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523"/>
    <w:rsid w:val="00000235"/>
    <w:rsid w:val="0001094B"/>
    <w:rsid w:val="00013CDB"/>
    <w:rsid w:val="00021E46"/>
    <w:rsid w:val="00041ABA"/>
    <w:rsid w:val="00052F90"/>
    <w:rsid w:val="00060BA0"/>
    <w:rsid w:val="000661D6"/>
    <w:rsid w:val="0006735C"/>
    <w:rsid w:val="00075C02"/>
    <w:rsid w:val="000801C0"/>
    <w:rsid w:val="00086A6F"/>
    <w:rsid w:val="000B5AE7"/>
    <w:rsid w:val="000C6F05"/>
    <w:rsid w:val="000D0912"/>
    <w:rsid w:val="000F0104"/>
    <w:rsid w:val="00122259"/>
    <w:rsid w:val="00160637"/>
    <w:rsid w:val="001612D8"/>
    <w:rsid w:val="00171FD5"/>
    <w:rsid w:val="00172D38"/>
    <w:rsid w:val="00196861"/>
    <w:rsid w:val="001A11FD"/>
    <w:rsid w:val="001B0486"/>
    <w:rsid w:val="001B0926"/>
    <w:rsid w:val="001B3F87"/>
    <w:rsid w:val="001C76A4"/>
    <w:rsid w:val="001E4671"/>
    <w:rsid w:val="0020603C"/>
    <w:rsid w:val="00206320"/>
    <w:rsid w:val="0021744B"/>
    <w:rsid w:val="00233894"/>
    <w:rsid w:val="002360EB"/>
    <w:rsid w:val="00271B84"/>
    <w:rsid w:val="00292420"/>
    <w:rsid w:val="002A0A15"/>
    <w:rsid w:val="002B16AC"/>
    <w:rsid w:val="002B202B"/>
    <w:rsid w:val="003011DE"/>
    <w:rsid w:val="00316804"/>
    <w:rsid w:val="00322C64"/>
    <w:rsid w:val="00325345"/>
    <w:rsid w:val="003356B7"/>
    <w:rsid w:val="00343C80"/>
    <w:rsid w:val="0036146D"/>
    <w:rsid w:val="00382E6F"/>
    <w:rsid w:val="003B5904"/>
    <w:rsid w:val="003D66BF"/>
    <w:rsid w:val="003F0717"/>
    <w:rsid w:val="00425D05"/>
    <w:rsid w:val="00452B1D"/>
    <w:rsid w:val="004555C0"/>
    <w:rsid w:val="0046308B"/>
    <w:rsid w:val="00473C47"/>
    <w:rsid w:val="00481FCB"/>
    <w:rsid w:val="004A1666"/>
    <w:rsid w:val="004A63E8"/>
    <w:rsid w:val="004E54D1"/>
    <w:rsid w:val="004E59A8"/>
    <w:rsid w:val="00551685"/>
    <w:rsid w:val="00551E95"/>
    <w:rsid w:val="005C6980"/>
    <w:rsid w:val="005D5DD9"/>
    <w:rsid w:val="005F775E"/>
    <w:rsid w:val="00601BDB"/>
    <w:rsid w:val="00607523"/>
    <w:rsid w:val="00633BA7"/>
    <w:rsid w:val="00636300"/>
    <w:rsid w:val="006455F8"/>
    <w:rsid w:val="0065007D"/>
    <w:rsid w:val="00712CE4"/>
    <w:rsid w:val="00732F12"/>
    <w:rsid w:val="0074684E"/>
    <w:rsid w:val="007479B3"/>
    <w:rsid w:val="00774E6E"/>
    <w:rsid w:val="00783799"/>
    <w:rsid w:val="007875EA"/>
    <w:rsid w:val="007A7E04"/>
    <w:rsid w:val="007A7E89"/>
    <w:rsid w:val="007C4D84"/>
    <w:rsid w:val="007D2F8C"/>
    <w:rsid w:val="00804A2E"/>
    <w:rsid w:val="00813EEB"/>
    <w:rsid w:val="008162FF"/>
    <w:rsid w:val="008250B7"/>
    <w:rsid w:val="00834B09"/>
    <w:rsid w:val="00841FFE"/>
    <w:rsid w:val="00870222"/>
    <w:rsid w:val="00882F22"/>
    <w:rsid w:val="008A30B9"/>
    <w:rsid w:val="008C4251"/>
    <w:rsid w:val="008E039B"/>
    <w:rsid w:val="008E5032"/>
    <w:rsid w:val="008E701A"/>
    <w:rsid w:val="008F4992"/>
    <w:rsid w:val="008F584F"/>
    <w:rsid w:val="00906E72"/>
    <w:rsid w:val="00906E90"/>
    <w:rsid w:val="00917027"/>
    <w:rsid w:val="00931561"/>
    <w:rsid w:val="00936CCC"/>
    <w:rsid w:val="00941E91"/>
    <w:rsid w:val="00955702"/>
    <w:rsid w:val="00963C8C"/>
    <w:rsid w:val="00981C69"/>
    <w:rsid w:val="009857BD"/>
    <w:rsid w:val="009905D1"/>
    <w:rsid w:val="009905F4"/>
    <w:rsid w:val="00990D12"/>
    <w:rsid w:val="00993158"/>
    <w:rsid w:val="009942A5"/>
    <w:rsid w:val="009C0B9B"/>
    <w:rsid w:val="009D373D"/>
    <w:rsid w:val="009D7E92"/>
    <w:rsid w:val="009F622C"/>
    <w:rsid w:val="00A03F47"/>
    <w:rsid w:val="00A12BC2"/>
    <w:rsid w:val="00A34E71"/>
    <w:rsid w:val="00A417E0"/>
    <w:rsid w:val="00A60266"/>
    <w:rsid w:val="00A64AC7"/>
    <w:rsid w:val="00A776F1"/>
    <w:rsid w:val="00AA07B6"/>
    <w:rsid w:val="00AD3DB9"/>
    <w:rsid w:val="00AD5BC4"/>
    <w:rsid w:val="00AF6955"/>
    <w:rsid w:val="00B2739B"/>
    <w:rsid w:val="00B45F04"/>
    <w:rsid w:val="00B579DC"/>
    <w:rsid w:val="00B72070"/>
    <w:rsid w:val="00B80AC3"/>
    <w:rsid w:val="00B81D14"/>
    <w:rsid w:val="00BA76EC"/>
    <w:rsid w:val="00BE0589"/>
    <w:rsid w:val="00C05581"/>
    <w:rsid w:val="00C13600"/>
    <w:rsid w:val="00C301E9"/>
    <w:rsid w:val="00C3442B"/>
    <w:rsid w:val="00C35909"/>
    <w:rsid w:val="00C360CE"/>
    <w:rsid w:val="00C44CEA"/>
    <w:rsid w:val="00C77E2D"/>
    <w:rsid w:val="00C84556"/>
    <w:rsid w:val="00CB1EB8"/>
    <w:rsid w:val="00CC2E7A"/>
    <w:rsid w:val="00CC6058"/>
    <w:rsid w:val="00CD725E"/>
    <w:rsid w:val="00D02668"/>
    <w:rsid w:val="00D10AA0"/>
    <w:rsid w:val="00D13721"/>
    <w:rsid w:val="00D16FB3"/>
    <w:rsid w:val="00D17E5E"/>
    <w:rsid w:val="00D63578"/>
    <w:rsid w:val="00D73B9E"/>
    <w:rsid w:val="00D761D2"/>
    <w:rsid w:val="00D81FFC"/>
    <w:rsid w:val="00D828B2"/>
    <w:rsid w:val="00D838B7"/>
    <w:rsid w:val="00DA5B59"/>
    <w:rsid w:val="00DB01C8"/>
    <w:rsid w:val="00DB7257"/>
    <w:rsid w:val="00DC4D34"/>
    <w:rsid w:val="00DE6AC1"/>
    <w:rsid w:val="00DF2F0A"/>
    <w:rsid w:val="00E145BD"/>
    <w:rsid w:val="00E46077"/>
    <w:rsid w:val="00E548B6"/>
    <w:rsid w:val="00E71F5C"/>
    <w:rsid w:val="00EC27C1"/>
    <w:rsid w:val="00EC7BF9"/>
    <w:rsid w:val="00ED0274"/>
    <w:rsid w:val="00ED2512"/>
    <w:rsid w:val="00ED678B"/>
    <w:rsid w:val="00EE78D8"/>
    <w:rsid w:val="00EF6E9E"/>
    <w:rsid w:val="00F12F42"/>
    <w:rsid w:val="00F25952"/>
    <w:rsid w:val="00F66E4D"/>
    <w:rsid w:val="00F945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FB954D"/>
  <w15:chartTrackingRefBased/>
  <w15:docId w15:val="{D45F7BE6-68D1-4726-A4C8-98D0FF37E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75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75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75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75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75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75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75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75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75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75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75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75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75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75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75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75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75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7523"/>
    <w:rPr>
      <w:rFonts w:eastAsiaTheme="majorEastAsia" w:cstheme="majorBidi"/>
      <w:color w:val="272727" w:themeColor="text1" w:themeTint="D8"/>
    </w:rPr>
  </w:style>
  <w:style w:type="paragraph" w:styleId="Title">
    <w:name w:val="Title"/>
    <w:basedOn w:val="Normal"/>
    <w:next w:val="Normal"/>
    <w:link w:val="TitleChar"/>
    <w:uiPriority w:val="10"/>
    <w:qFormat/>
    <w:rsid w:val="006075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75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75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75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7523"/>
    <w:pPr>
      <w:spacing w:before="160"/>
      <w:jc w:val="center"/>
    </w:pPr>
    <w:rPr>
      <w:i/>
      <w:iCs/>
      <w:color w:val="404040" w:themeColor="text1" w:themeTint="BF"/>
    </w:rPr>
  </w:style>
  <w:style w:type="character" w:customStyle="1" w:styleId="QuoteChar">
    <w:name w:val="Quote Char"/>
    <w:basedOn w:val="DefaultParagraphFont"/>
    <w:link w:val="Quote"/>
    <w:uiPriority w:val="29"/>
    <w:rsid w:val="00607523"/>
    <w:rPr>
      <w:i/>
      <w:iCs/>
      <w:color w:val="404040" w:themeColor="text1" w:themeTint="BF"/>
    </w:rPr>
  </w:style>
  <w:style w:type="paragraph" w:styleId="ListParagraph">
    <w:name w:val="List Paragraph"/>
    <w:basedOn w:val="Normal"/>
    <w:uiPriority w:val="34"/>
    <w:qFormat/>
    <w:rsid w:val="00607523"/>
    <w:pPr>
      <w:ind w:left="720"/>
      <w:contextualSpacing/>
    </w:pPr>
  </w:style>
  <w:style w:type="character" w:styleId="IntenseEmphasis">
    <w:name w:val="Intense Emphasis"/>
    <w:basedOn w:val="DefaultParagraphFont"/>
    <w:uiPriority w:val="21"/>
    <w:qFormat/>
    <w:rsid w:val="00607523"/>
    <w:rPr>
      <w:i/>
      <w:iCs/>
      <w:color w:val="0F4761" w:themeColor="accent1" w:themeShade="BF"/>
    </w:rPr>
  </w:style>
  <w:style w:type="paragraph" w:styleId="IntenseQuote">
    <w:name w:val="Intense Quote"/>
    <w:basedOn w:val="Normal"/>
    <w:next w:val="Normal"/>
    <w:link w:val="IntenseQuoteChar"/>
    <w:uiPriority w:val="30"/>
    <w:qFormat/>
    <w:rsid w:val="006075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7523"/>
    <w:rPr>
      <w:i/>
      <w:iCs/>
      <w:color w:val="0F4761" w:themeColor="accent1" w:themeShade="BF"/>
    </w:rPr>
  </w:style>
  <w:style w:type="character" w:styleId="IntenseReference">
    <w:name w:val="Intense Reference"/>
    <w:basedOn w:val="DefaultParagraphFont"/>
    <w:uiPriority w:val="32"/>
    <w:qFormat/>
    <w:rsid w:val="00607523"/>
    <w:rPr>
      <w:b/>
      <w:bCs/>
      <w:smallCaps/>
      <w:color w:val="0F4761" w:themeColor="accent1" w:themeShade="BF"/>
      <w:spacing w:val="5"/>
    </w:rPr>
  </w:style>
  <w:style w:type="table" w:styleId="TableGrid">
    <w:name w:val="Table Grid"/>
    <w:basedOn w:val="TableNormal"/>
    <w:uiPriority w:val="39"/>
    <w:rsid w:val="009905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0486"/>
    <w:rPr>
      <w:color w:val="467886" w:themeColor="hyperlink"/>
      <w:u w:val="single"/>
    </w:rPr>
  </w:style>
  <w:style w:type="character" w:styleId="UnresolvedMention">
    <w:name w:val="Unresolved Mention"/>
    <w:basedOn w:val="DefaultParagraphFont"/>
    <w:uiPriority w:val="99"/>
    <w:semiHidden/>
    <w:unhideWhenUsed/>
    <w:rsid w:val="001B04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30698513/?utm_source=chatgpt.com" TargetMode="External"/><Relationship Id="rId13" Type="http://schemas.openxmlformats.org/officeDocument/2006/relationships/hyperlink" Target="https://digital.nhs.uk/data-and-information/publications/statistical/mental-health-of-children-and-young-people-in-england/2021-follow-up-to-the-2017-surve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ssets.publishing.service.gov.uk/media/5a823518e5274a2e87dc1b56/Transforming_children_and_young_people_s_mental_health_provision.pdf?utm_source=chatgpt.com" TargetMode="External"/><Relationship Id="rId12" Type="http://schemas.openxmlformats.org/officeDocument/2006/relationships/hyperlink" Target="https://www.nice.org.uk/guidance/ng13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lace2be.org.uk/about-us/impact-and-evidence/" TargetMode="External"/><Relationship Id="rId1" Type="http://schemas.openxmlformats.org/officeDocument/2006/relationships/numbering" Target="numbering.xml"/><Relationship Id="rId6" Type="http://schemas.openxmlformats.org/officeDocument/2006/relationships/hyperlink" Target="https://www.legislation.gov.uk/ukpga/2014/6/contents/enacted" TargetMode="External"/><Relationship Id="rId11" Type="http://schemas.openxmlformats.org/officeDocument/2006/relationships/hyperlink" Target="https://implementationscience.biomedcentral.com/articles/10.1186/1748-5908-5-69" TargetMode="External"/><Relationship Id="rId5" Type="http://schemas.openxmlformats.org/officeDocument/2006/relationships/hyperlink" Target="https://doi.org/10.1080/1364557032000119616" TargetMode="External"/><Relationship Id="rId15" Type="http://schemas.openxmlformats.org/officeDocument/2006/relationships/hyperlink" Target="https://doi.org/10.46658/JBIMES-20-12" TargetMode="External"/><Relationship Id="rId10" Type="http://schemas.openxmlformats.org/officeDocument/2006/relationships/hyperlink" Target="https://pmc.ncbi.nlm.nih.gov/articles/PMC8620950/?utm_source=chatgpt.com" TargetMode="External"/><Relationship Id="rId4" Type="http://schemas.openxmlformats.org/officeDocument/2006/relationships/webSettings" Target="webSettings.xml"/><Relationship Id="rId9" Type="http://schemas.openxmlformats.org/officeDocument/2006/relationships/hyperlink" Target="https://commonslibrary.parliament.uk/research-briefings/cbp-7196/?utm_source=chatgpt.com" TargetMode="External"/><Relationship Id="rId14" Type="http://schemas.openxmlformats.org/officeDocument/2006/relationships/hyperlink" Target="https://www.longtermplan.nhs.uk/publication/nhs-long-term-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20</Pages>
  <Words>4949</Words>
  <Characters>31875</Characters>
  <Application>Microsoft Office Word</Application>
  <DocSecurity>0</DocSecurity>
  <Lines>937</Lines>
  <Paragraphs>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aisha begum</dc:creator>
  <cp:keywords/>
  <dc:description/>
  <cp:lastModifiedBy>aisha begum</cp:lastModifiedBy>
  <cp:revision>3</cp:revision>
  <dcterms:created xsi:type="dcterms:W3CDTF">2025-11-06T09:49:00Z</dcterms:created>
  <dcterms:modified xsi:type="dcterms:W3CDTF">2025-11-06T09:52:00Z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aa6583cc-0ccd-4b4b-9228-4630a9d093de</vt:lpwstr>
  </property>
</Properties>
</file>