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E5440" w:rsidRDefault="007E5440" w:rsidP="00A446E1">
      <w:pPr>
        <w:ind w:left="720" w:hanging="720"/>
        <w:contextualSpacing/>
        <w:jc w:val="center"/>
        <w:rPr>
          <w:rFonts w:eastAsia="Calibri"/>
          <w:shd w:val="clear" w:color="auto" w:fill="FFFFFF"/>
        </w:rPr>
      </w:pPr>
      <w:r>
        <w:drawing>
          <wp:inline distT="0" distB="0" distL="0" distR="0" wp14:anchorId="556A43A0" wp14:editId="68B12352">
            <wp:extent cx="3546281" cy="984737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66233" cy="10180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A446E1" w:rsidRPr="00107208" w:rsidRDefault="00A446E1" w:rsidP="00A446E1">
      <w:pPr>
        <w:jc w:val="center"/>
        <w:rPr>
          <w:rFonts w:ascii="Arial Black" w:hAnsi="Arial Black"/>
          <w:b/>
          <w:sz w:val="40"/>
        </w:rPr>
      </w:pPr>
      <w:r w:rsidRPr="00107208">
        <w:rPr>
          <w:rFonts w:ascii="Arial Black" w:hAnsi="Arial Black"/>
          <w:b/>
          <w:sz w:val="52"/>
        </w:rPr>
        <w:t>S</w:t>
      </w:r>
      <w:r w:rsidRPr="00107208">
        <w:rPr>
          <w:rFonts w:ascii="Arial Black" w:hAnsi="Arial Black"/>
          <w:b/>
          <w:sz w:val="40"/>
        </w:rPr>
        <w:t>wansea Business School</w:t>
      </w:r>
    </w:p>
    <w:p w:rsidR="00A446E1" w:rsidRDefault="00A446E1" w:rsidP="00A446E1">
      <w:pPr>
        <w:jc w:val="center"/>
        <w:rPr>
          <w:b/>
          <w:sz w:val="48"/>
        </w:rPr>
      </w:pPr>
    </w:p>
    <w:p w:rsidR="00A446E1" w:rsidRPr="00107208" w:rsidRDefault="00A446E1" w:rsidP="00A446E1">
      <w:pPr>
        <w:jc w:val="center"/>
        <w:rPr>
          <w:b/>
          <w:sz w:val="48"/>
        </w:rPr>
      </w:pPr>
    </w:p>
    <w:p w:rsidR="00A446E1" w:rsidRPr="00107208" w:rsidRDefault="00A446E1" w:rsidP="00A446E1">
      <w:pPr>
        <w:jc w:val="center"/>
        <w:rPr>
          <w:rFonts w:ascii="Century Gothic" w:eastAsia="Calibri" w:hAnsi="Century Gothic" w:cs="Arial"/>
          <w:b/>
          <w:sz w:val="44"/>
          <w:lang w:val="en-US"/>
        </w:rPr>
      </w:pPr>
      <w:r w:rsidRPr="00107208">
        <w:rPr>
          <w:rFonts w:ascii="Century Gothic" w:eastAsia="Calibri" w:hAnsi="Century Gothic" w:cs="Arial"/>
          <w:b/>
          <w:sz w:val="44"/>
          <w:lang w:val="en-US"/>
        </w:rPr>
        <w:t>Identity and Approaches to Applied Business Research</w:t>
      </w:r>
      <w:r>
        <w:rPr>
          <w:rFonts w:ascii="Century Gothic" w:eastAsia="Calibri" w:hAnsi="Century Gothic" w:cs="Arial"/>
          <w:b/>
          <w:sz w:val="44"/>
          <w:lang w:val="en-US"/>
        </w:rPr>
        <w:t xml:space="preserve"> (</w:t>
      </w:r>
      <w:r w:rsidRPr="003861B0">
        <w:rPr>
          <w:rFonts w:ascii="Century Gothic" w:eastAsia="Calibri" w:hAnsi="Century Gothic" w:cs="Arial"/>
          <w:b/>
          <w:sz w:val="44"/>
        </w:rPr>
        <w:t>BMDM7001</w:t>
      </w:r>
      <w:r>
        <w:rPr>
          <w:rFonts w:ascii="Century Gothic" w:eastAsia="Calibri" w:hAnsi="Century Gothic" w:cs="Arial"/>
          <w:b/>
          <w:sz w:val="44"/>
        </w:rPr>
        <w:t>)</w:t>
      </w:r>
    </w:p>
    <w:p w:rsidR="00A446E1" w:rsidRPr="00107208" w:rsidRDefault="00A446E1" w:rsidP="00A446E1">
      <w:pPr>
        <w:jc w:val="center"/>
        <w:rPr>
          <w:rFonts w:ascii="Arial" w:eastAsia="Calibri" w:hAnsi="Arial" w:cs="Arial"/>
          <w:b/>
          <w:sz w:val="32"/>
          <w:lang w:val="en-US"/>
        </w:rPr>
      </w:pPr>
    </w:p>
    <w:p w:rsidR="00A446E1" w:rsidRDefault="00A446E1" w:rsidP="00A446E1">
      <w:pPr>
        <w:jc w:val="center"/>
        <w:rPr>
          <w:rFonts w:ascii="Arial" w:eastAsia="Calibri" w:hAnsi="Arial" w:cs="Arial"/>
          <w:b/>
          <w:sz w:val="44"/>
          <w:lang w:val="en-US"/>
        </w:rPr>
      </w:pPr>
    </w:p>
    <w:p w:rsidR="00A446E1" w:rsidRPr="00107208" w:rsidRDefault="00A446E1" w:rsidP="00A446E1">
      <w:pPr>
        <w:jc w:val="center"/>
        <w:rPr>
          <w:rFonts w:ascii="Arial" w:eastAsia="Calibri" w:hAnsi="Arial" w:cs="Arial"/>
          <w:b/>
          <w:sz w:val="44"/>
          <w:lang w:val="en-US"/>
        </w:rPr>
      </w:pPr>
    </w:p>
    <w:p w:rsidR="00A446E1" w:rsidRDefault="00A446E1" w:rsidP="00A446E1">
      <w:pPr>
        <w:jc w:val="center"/>
        <w:rPr>
          <w:rFonts w:ascii="Century Gothic" w:eastAsia="Calibri" w:hAnsi="Century Gothic" w:cs="Arial"/>
          <w:b/>
          <w:sz w:val="44"/>
          <w:lang w:val="en-US"/>
        </w:rPr>
      </w:pPr>
      <w:r w:rsidRPr="00107208">
        <w:rPr>
          <w:rFonts w:ascii="Century Gothic" w:eastAsia="Calibri" w:hAnsi="Century Gothic" w:cs="Arial"/>
          <w:b/>
          <w:sz w:val="44"/>
          <w:lang w:val="en-US"/>
        </w:rPr>
        <w:t xml:space="preserve">Assignment Title: </w:t>
      </w:r>
      <w:r w:rsidRPr="00A446E1">
        <w:rPr>
          <w:rFonts w:ascii="Century Gothic" w:eastAsia="Calibri" w:hAnsi="Century Gothic" w:cs="Arial"/>
          <w:b/>
          <w:sz w:val="44"/>
          <w:lang w:val="en-US"/>
        </w:rPr>
        <w:t>Individual Video</w:t>
      </w:r>
    </w:p>
    <w:p w:rsidR="00A446E1" w:rsidRPr="00A446E1" w:rsidRDefault="00A446E1" w:rsidP="00A446E1">
      <w:pPr>
        <w:jc w:val="center"/>
        <w:rPr>
          <w:rFonts w:ascii="Century Gothic" w:eastAsia="Calibri" w:hAnsi="Century Gothic" w:cs="Arial"/>
          <w:b/>
          <w:sz w:val="44"/>
        </w:rPr>
      </w:pPr>
      <w:r>
        <w:rPr>
          <w:rFonts w:ascii="Century Gothic" w:eastAsia="Calibri" w:hAnsi="Century Gothic" w:cs="Arial"/>
          <w:b/>
          <w:sz w:val="44"/>
          <w:lang w:val="en-US"/>
        </w:rPr>
        <w:t xml:space="preserve">Youtube url: </w:t>
      </w:r>
      <w:hyperlink r:id="rId6" w:history="1">
        <w:r w:rsidRPr="00A446E1">
          <w:rPr>
            <w:rStyle w:val="Hyperlink"/>
            <w:rFonts w:ascii="Century Gothic" w:eastAsia="Calibri" w:hAnsi="Century Gothic" w:cs="Arial"/>
            <w:b/>
            <w:sz w:val="44"/>
          </w:rPr>
          <w:t>https://youtu.be/fZucMROhYYs</w:t>
        </w:r>
      </w:hyperlink>
    </w:p>
    <w:p w:rsidR="00A446E1" w:rsidRPr="00107208" w:rsidRDefault="00A446E1" w:rsidP="00A446E1">
      <w:pPr>
        <w:jc w:val="center"/>
        <w:rPr>
          <w:rFonts w:ascii="Century Gothic" w:eastAsia="Calibri" w:hAnsi="Century Gothic" w:cs="Arial"/>
          <w:b/>
          <w:sz w:val="44"/>
          <w:lang w:val="en-US"/>
        </w:rPr>
      </w:pPr>
    </w:p>
    <w:p w:rsidR="00A446E1" w:rsidRDefault="00A446E1" w:rsidP="00A446E1">
      <w:pPr>
        <w:jc w:val="center"/>
        <w:rPr>
          <w:rFonts w:ascii="Century Gothic" w:eastAsia="Calibri" w:hAnsi="Century Gothic" w:cs="Arial"/>
          <w:b/>
          <w:sz w:val="44"/>
          <w:lang w:val="en-US"/>
        </w:rPr>
      </w:pPr>
    </w:p>
    <w:p w:rsidR="00A446E1" w:rsidRDefault="00A446E1" w:rsidP="00A446E1">
      <w:pPr>
        <w:jc w:val="center"/>
        <w:rPr>
          <w:rFonts w:ascii="Century Gothic" w:eastAsia="Calibri" w:hAnsi="Century Gothic" w:cs="Arial"/>
          <w:b/>
          <w:sz w:val="44"/>
          <w:lang w:val="en-US"/>
        </w:rPr>
      </w:pPr>
      <w:r w:rsidRPr="00107208">
        <w:rPr>
          <w:rFonts w:ascii="Century Gothic" w:eastAsia="Calibri" w:hAnsi="Century Gothic" w:cs="Arial"/>
          <w:b/>
          <w:sz w:val="44"/>
          <w:lang w:val="en-US"/>
        </w:rPr>
        <w:t>Lecturer: Professor Jill Venus</w:t>
      </w:r>
    </w:p>
    <w:p w:rsidR="00A446E1" w:rsidRDefault="00A446E1" w:rsidP="00A446E1">
      <w:pPr>
        <w:jc w:val="center"/>
        <w:rPr>
          <w:rFonts w:ascii="Century Gothic" w:eastAsia="Calibri" w:hAnsi="Century Gothic" w:cs="Arial"/>
          <w:b/>
          <w:sz w:val="44"/>
          <w:lang w:val="en-US"/>
        </w:rPr>
      </w:pPr>
    </w:p>
    <w:p w:rsidR="00A446E1" w:rsidRDefault="00A446E1" w:rsidP="00A446E1">
      <w:pPr>
        <w:jc w:val="center"/>
        <w:rPr>
          <w:rFonts w:ascii="Century Gothic" w:eastAsia="Calibri" w:hAnsi="Century Gothic" w:cs="Arial"/>
          <w:b/>
          <w:sz w:val="44"/>
          <w:lang w:val="en-US"/>
        </w:rPr>
      </w:pPr>
    </w:p>
    <w:p w:rsidR="00A446E1" w:rsidRPr="00107208" w:rsidRDefault="00A446E1" w:rsidP="00A446E1">
      <w:pPr>
        <w:spacing w:after="240" w:line="360" w:lineRule="auto"/>
        <w:jc w:val="center"/>
        <w:rPr>
          <w:rFonts w:ascii="Century Gothic" w:eastAsia="Calibri" w:hAnsi="Century Gothic" w:cs="Arial"/>
          <w:b/>
          <w:sz w:val="36"/>
          <w:lang w:val="en-US"/>
        </w:rPr>
      </w:pPr>
      <w:r w:rsidRPr="00107208">
        <w:rPr>
          <w:rFonts w:ascii="Century Gothic" w:eastAsia="Calibri" w:hAnsi="Century Gothic" w:cs="Arial"/>
          <w:b/>
          <w:sz w:val="36"/>
          <w:lang w:val="en-US"/>
        </w:rPr>
        <w:t xml:space="preserve">Submitted </w:t>
      </w:r>
    </w:p>
    <w:p w:rsidR="00A446E1" w:rsidRPr="00107208" w:rsidRDefault="00A446E1" w:rsidP="00A446E1">
      <w:pPr>
        <w:spacing w:after="240" w:line="360" w:lineRule="auto"/>
        <w:jc w:val="center"/>
        <w:rPr>
          <w:rFonts w:ascii="Century Gothic" w:eastAsia="Calibri" w:hAnsi="Century Gothic" w:cs="Arial"/>
          <w:b/>
          <w:sz w:val="36"/>
          <w:lang w:val="en-US"/>
        </w:rPr>
      </w:pPr>
      <w:r w:rsidRPr="00107208">
        <w:rPr>
          <w:rFonts w:ascii="Century Gothic" w:eastAsia="Calibri" w:hAnsi="Century Gothic" w:cs="Arial"/>
          <w:b/>
          <w:sz w:val="36"/>
          <w:lang w:val="en-US"/>
        </w:rPr>
        <w:t>By</w:t>
      </w:r>
    </w:p>
    <w:p w:rsidR="00A446E1" w:rsidRPr="00107208" w:rsidRDefault="00A446E1" w:rsidP="00A446E1">
      <w:pPr>
        <w:spacing w:after="240" w:line="360" w:lineRule="auto"/>
        <w:jc w:val="center"/>
        <w:rPr>
          <w:rFonts w:ascii="Century Gothic" w:eastAsia="Calibri" w:hAnsi="Century Gothic" w:cs="Arial"/>
          <w:b/>
          <w:sz w:val="36"/>
          <w:lang w:val="en-US"/>
        </w:rPr>
      </w:pPr>
      <w:r w:rsidRPr="00107208">
        <w:rPr>
          <w:rFonts w:ascii="Century Gothic" w:eastAsia="Calibri" w:hAnsi="Century Gothic" w:cs="Arial"/>
          <w:b/>
          <w:sz w:val="36"/>
          <w:lang w:val="en-US"/>
        </w:rPr>
        <w:t>Nabil Hossain Tonmoy</w:t>
      </w:r>
    </w:p>
    <w:p w:rsidR="00A446E1" w:rsidRDefault="00A446E1" w:rsidP="00A446E1">
      <w:pPr>
        <w:spacing w:after="240" w:line="360" w:lineRule="auto"/>
        <w:jc w:val="center"/>
        <w:rPr>
          <w:rFonts w:ascii="Century Gothic" w:eastAsia="Calibri" w:hAnsi="Century Gothic" w:cs="Arial"/>
          <w:b/>
          <w:sz w:val="36"/>
          <w:lang w:val="en-US"/>
        </w:rPr>
      </w:pPr>
      <w:r w:rsidRPr="00107208">
        <w:rPr>
          <w:rFonts w:ascii="Century Gothic" w:eastAsia="Calibri" w:hAnsi="Century Gothic" w:cs="Arial"/>
          <w:b/>
          <w:sz w:val="36"/>
          <w:lang w:val="en-US"/>
        </w:rPr>
        <w:t>Student ID: 1813032</w:t>
      </w:r>
    </w:p>
    <w:p w:rsidR="00A446E1" w:rsidRPr="00A446E1" w:rsidRDefault="00A446E1" w:rsidP="00A446E1">
      <w:pPr>
        <w:spacing w:line="480" w:lineRule="auto"/>
        <w:ind w:left="720" w:hanging="720"/>
        <w:contextualSpacing/>
        <w:jc w:val="center"/>
        <w:rPr>
          <w:rFonts w:eastAsia="Calibri"/>
          <w:b/>
          <w:sz w:val="40"/>
          <w:u w:val="single"/>
          <w:shd w:val="clear" w:color="auto" w:fill="FFFFFF"/>
        </w:rPr>
      </w:pPr>
      <w:r w:rsidRPr="00A446E1">
        <w:rPr>
          <w:rFonts w:eastAsia="Calibri"/>
          <w:b/>
          <w:sz w:val="40"/>
          <w:u w:val="single"/>
          <w:shd w:val="clear" w:color="auto" w:fill="FFFFFF"/>
        </w:rPr>
        <w:lastRenderedPageBreak/>
        <w:t>Bibliography</w:t>
      </w:r>
    </w:p>
    <w:p w:rsidR="007E5440" w:rsidRPr="006E66C3" w:rsidRDefault="007E5440" w:rsidP="00A46E9B">
      <w:pPr>
        <w:spacing w:line="480" w:lineRule="auto"/>
        <w:ind w:left="720" w:hanging="720"/>
        <w:contextualSpacing/>
        <w:rPr>
          <w:rFonts w:eastAsia="Calibri"/>
          <w:shd w:val="clear" w:color="auto" w:fill="FFFFFF"/>
        </w:rPr>
      </w:pPr>
      <w:r w:rsidRPr="006E66C3">
        <w:rPr>
          <w:rFonts w:eastAsia="Calibri"/>
          <w:shd w:val="clear" w:color="auto" w:fill="FFFFFF"/>
        </w:rPr>
        <w:t>Amann, M., K. Roehrich, J., Eßig, M., and Harland, C. 2014. Driving sustainable supply chain management in the public sector: The importance of public procurement in the European Union. Supply Chain Management: An International Journal, 19(3), 351-366.</w:t>
      </w:r>
    </w:p>
    <w:p w:rsidR="007E5440" w:rsidRPr="00540F14" w:rsidRDefault="007E5440" w:rsidP="0065711A">
      <w:pPr>
        <w:spacing w:line="480" w:lineRule="auto"/>
        <w:ind w:left="720" w:hanging="720"/>
        <w:contextualSpacing/>
        <w:rPr>
          <w:color w:val="000000"/>
          <w:shd w:val="clear" w:color="auto" w:fill="FFFFFF"/>
        </w:rPr>
      </w:pPr>
      <w:r w:rsidRPr="00540F14">
        <w:rPr>
          <w:color w:val="000000"/>
          <w:shd w:val="clear" w:color="auto" w:fill="FFFFFF"/>
        </w:rPr>
        <w:t>Beske, P. and Seuring, S., 2014. Putting sustainability into supply chain management. </w:t>
      </w:r>
      <w:r w:rsidRPr="00540F14">
        <w:rPr>
          <w:i/>
          <w:iCs/>
          <w:color w:val="000000"/>
          <w:shd w:val="clear" w:color="auto" w:fill="FFFFFF"/>
        </w:rPr>
        <w:t>Supply Chain Management: an international journal</w:t>
      </w:r>
      <w:r w:rsidRPr="00540F14">
        <w:rPr>
          <w:color w:val="000000"/>
          <w:shd w:val="clear" w:color="auto" w:fill="FFFFFF"/>
        </w:rPr>
        <w:t>, </w:t>
      </w:r>
      <w:r w:rsidRPr="00540F14">
        <w:rPr>
          <w:i/>
          <w:iCs/>
          <w:color w:val="000000"/>
          <w:shd w:val="clear" w:color="auto" w:fill="FFFFFF"/>
        </w:rPr>
        <w:t>19</w:t>
      </w:r>
      <w:r w:rsidRPr="00540F14">
        <w:rPr>
          <w:color w:val="000000"/>
          <w:shd w:val="clear" w:color="auto" w:fill="FFFFFF"/>
        </w:rPr>
        <w:t>(3), pp.322-331.</w:t>
      </w:r>
    </w:p>
    <w:p w:rsidR="007E5440" w:rsidRDefault="007E5440" w:rsidP="0065711A">
      <w:pPr>
        <w:spacing w:line="480" w:lineRule="auto"/>
        <w:ind w:left="720" w:hanging="720"/>
        <w:contextualSpacing/>
        <w:rPr>
          <w:rFonts w:eastAsia="Calibri"/>
          <w:shd w:val="clear" w:color="auto" w:fill="FFFFFF"/>
        </w:rPr>
      </w:pPr>
      <w:r w:rsidRPr="006E66C3">
        <w:rPr>
          <w:rFonts w:eastAsia="Calibri"/>
          <w:shd w:val="clear" w:color="auto" w:fill="FFFFFF"/>
        </w:rPr>
        <w:t>Brandenburg, M., Govindan, K., Sarkis, J. and Seuring, S., 2014. Quantitative models for sustainable supply chain management: Developments and directions. </w:t>
      </w:r>
      <w:r w:rsidRPr="006E66C3">
        <w:rPr>
          <w:rFonts w:eastAsia="Calibri"/>
          <w:i/>
          <w:iCs/>
          <w:shd w:val="clear" w:color="auto" w:fill="FFFFFF"/>
        </w:rPr>
        <w:t>European Journal of Operational Research</w:t>
      </w:r>
      <w:r w:rsidRPr="006E66C3">
        <w:rPr>
          <w:rFonts w:eastAsia="Calibri"/>
          <w:shd w:val="clear" w:color="auto" w:fill="FFFFFF"/>
        </w:rPr>
        <w:t>, </w:t>
      </w:r>
      <w:r w:rsidRPr="006E66C3">
        <w:rPr>
          <w:rFonts w:eastAsia="Calibri"/>
          <w:i/>
          <w:iCs/>
          <w:shd w:val="clear" w:color="auto" w:fill="FFFFFF"/>
        </w:rPr>
        <w:t>233</w:t>
      </w:r>
      <w:r w:rsidRPr="006E66C3">
        <w:rPr>
          <w:rFonts w:eastAsia="Calibri"/>
          <w:shd w:val="clear" w:color="auto" w:fill="FFFFFF"/>
        </w:rPr>
        <w:t>(2), pp.299-312</w:t>
      </w:r>
    </w:p>
    <w:p w:rsidR="007E5440" w:rsidRDefault="007E5440" w:rsidP="0065711A">
      <w:pPr>
        <w:spacing w:line="480" w:lineRule="auto"/>
        <w:ind w:left="720" w:hanging="720"/>
        <w:contextualSpacing/>
        <w:rPr>
          <w:rFonts w:eastAsia="Calibri"/>
          <w:shd w:val="clear" w:color="auto" w:fill="FFFFFF"/>
        </w:rPr>
      </w:pPr>
      <w:r w:rsidRPr="006E66C3">
        <w:rPr>
          <w:rFonts w:eastAsia="Calibri"/>
          <w:shd w:val="clear" w:color="auto" w:fill="FFFFFF"/>
        </w:rPr>
        <w:t xml:space="preserve">Bryman, A. and Bell, E., </w:t>
      </w:r>
      <w:r>
        <w:rPr>
          <w:rFonts w:eastAsia="Calibri"/>
          <w:shd w:val="clear" w:color="auto" w:fill="FFFFFF"/>
        </w:rPr>
        <w:t>(</w:t>
      </w:r>
      <w:r w:rsidRPr="006E66C3">
        <w:rPr>
          <w:rFonts w:eastAsia="Calibri"/>
          <w:shd w:val="clear" w:color="auto" w:fill="FFFFFF"/>
        </w:rPr>
        <w:t>2015</w:t>
      </w:r>
      <w:r>
        <w:rPr>
          <w:rFonts w:eastAsia="Calibri"/>
          <w:shd w:val="clear" w:color="auto" w:fill="FFFFFF"/>
        </w:rPr>
        <w:t>)</w:t>
      </w:r>
      <w:r w:rsidRPr="006E66C3">
        <w:rPr>
          <w:rFonts w:eastAsia="Calibri"/>
          <w:shd w:val="clear" w:color="auto" w:fill="FFFFFF"/>
        </w:rPr>
        <w:t>. </w:t>
      </w:r>
      <w:r w:rsidRPr="006E66C3">
        <w:rPr>
          <w:rFonts w:eastAsia="Calibri"/>
          <w:i/>
          <w:iCs/>
          <w:shd w:val="clear" w:color="auto" w:fill="FFFFFF"/>
        </w:rPr>
        <w:t>Business research methods</w:t>
      </w:r>
      <w:r w:rsidRPr="006E66C3">
        <w:rPr>
          <w:rFonts w:eastAsia="Calibri"/>
          <w:shd w:val="clear" w:color="auto" w:fill="FFFFFF"/>
        </w:rPr>
        <w:t>. Oxford University Press, USA.</w:t>
      </w:r>
    </w:p>
    <w:p w:rsidR="007E5440" w:rsidRPr="006E66C3" w:rsidRDefault="007E5440" w:rsidP="001532D5">
      <w:pPr>
        <w:spacing w:line="480" w:lineRule="auto"/>
        <w:ind w:left="720" w:hanging="720"/>
        <w:contextualSpacing/>
        <w:rPr>
          <w:rFonts w:eastAsia="Calibri"/>
          <w:shd w:val="clear" w:color="auto" w:fill="FFFFFF"/>
        </w:rPr>
      </w:pPr>
      <w:r w:rsidRPr="006E66C3">
        <w:t>Chardine-Baumann, E. and Botta-Genoulaz, V., 2014. A framework for sustainable performance assessment of supply chain management practices. Computers &amp; Industrial Engineering, 76, pp.138-147.</w:t>
      </w:r>
    </w:p>
    <w:p w:rsidR="007E5440" w:rsidRPr="00540F14" w:rsidRDefault="007E5440" w:rsidP="0065711A">
      <w:pPr>
        <w:spacing w:line="480" w:lineRule="auto"/>
        <w:ind w:left="720" w:hanging="720"/>
        <w:contextualSpacing/>
        <w:rPr>
          <w:color w:val="000000"/>
          <w:shd w:val="clear" w:color="auto" w:fill="FFFFFF"/>
        </w:rPr>
      </w:pPr>
      <w:r w:rsidRPr="00540F14">
        <w:rPr>
          <w:color w:val="000000"/>
          <w:shd w:val="clear" w:color="auto" w:fill="FFFFFF"/>
        </w:rPr>
        <w:t>Dubey, R., Gunasekaran, A., Papadopoulos, T., Childe, S.J., Shibin, K.T. and Wamba, S.F., 2017. Sustainable supply chain management: framework and further research directions. </w:t>
      </w:r>
      <w:r w:rsidRPr="00540F14">
        <w:rPr>
          <w:i/>
          <w:iCs/>
          <w:color w:val="000000"/>
          <w:shd w:val="clear" w:color="auto" w:fill="FFFFFF"/>
        </w:rPr>
        <w:t>Journal of Cleaner Production</w:t>
      </w:r>
      <w:r w:rsidRPr="00540F14">
        <w:rPr>
          <w:color w:val="000000"/>
          <w:shd w:val="clear" w:color="auto" w:fill="FFFFFF"/>
        </w:rPr>
        <w:t>, </w:t>
      </w:r>
      <w:r w:rsidRPr="00540F14">
        <w:rPr>
          <w:i/>
          <w:iCs/>
          <w:color w:val="000000"/>
          <w:shd w:val="clear" w:color="auto" w:fill="FFFFFF"/>
        </w:rPr>
        <w:t>142</w:t>
      </w:r>
      <w:r w:rsidRPr="00540F14">
        <w:rPr>
          <w:color w:val="000000"/>
          <w:shd w:val="clear" w:color="auto" w:fill="FFFFFF"/>
        </w:rPr>
        <w:t>, pp.1119-1130.</w:t>
      </w:r>
    </w:p>
    <w:p w:rsidR="007E5440" w:rsidRPr="00540F14" w:rsidRDefault="007E5440" w:rsidP="00FE46FA">
      <w:pPr>
        <w:spacing w:line="480" w:lineRule="auto"/>
        <w:ind w:left="720" w:hanging="720"/>
        <w:contextualSpacing/>
        <w:rPr>
          <w:color w:val="000000"/>
          <w:shd w:val="clear" w:color="auto" w:fill="FFFFFF"/>
        </w:rPr>
      </w:pPr>
      <w:r w:rsidRPr="00540F14">
        <w:rPr>
          <w:color w:val="000000"/>
          <w:shd w:val="clear" w:color="auto" w:fill="FFFFFF"/>
        </w:rPr>
        <w:t>Fahimnia, B., Sarkis, J.,  and Farahani, R., 2017. Decision models for sustainable supply chain design and management. </w:t>
      </w:r>
      <w:r w:rsidRPr="00540F14">
        <w:rPr>
          <w:i/>
          <w:iCs/>
          <w:color w:val="000000"/>
          <w:shd w:val="clear" w:color="auto" w:fill="FFFFFF"/>
        </w:rPr>
        <w:t>Annals of Operations Research</w:t>
      </w:r>
      <w:r w:rsidRPr="00540F14">
        <w:rPr>
          <w:color w:val="000000"/>
          <w:shd w:val="clear" w:color="auto" w:fill="FFFFFF"/>
        </w:rPr>
        <w:t>, </w:t>
      </w:r>
      <w:r w:rsidRPr="00540F14">
        <w:rPr>
          <w:i/>
          <w:iCs/>
          <w:color w:val="000000"/>
          <w:shd w:val="clear" w:color="auto" w:fill="FFFFFF"/>
        </w:rPr>
        <w:t>250</w:t>
      </w:r>
      <w:r w:rsidRPr="00540F14">
        <w:rPr>
          <w:color w:val="000000"/>
          <w:shd w:val="clear" w:color="auto" w:fill="FFFFFF"/>
        </w:rPr>
        <w:t>(2), pp.277-278.</w:t>
      </w:r>
    </w:p>
    <w:p w:rsidR="007E5440" w:rsidRPr="00540F14" w:rsidRDefault="007E5440" w:rsidP="00FE46FA">
      <w:pPr>
        <w:spacing w:line="480" w:lineRule="auto"/>
        <w:ind w:left="720" w:hanging="720"/>
        <w:contextualSpacing/>
        <w:rPr>
          <w:color w:val="000000"/>
          <w:shd w:val="clear" w:color="auto" w:fill="FFFFFF"/>
        </w:rPr>
      </w:pPr>
      <w:r w:rsidRPr="00540F14">
        <w:rPr>
          <w:color w:val="000000"/>
          <w:shd w:val="clear" w:color="auto" w:fill="FFFFFF"/>
        </w:rPr>
        <w:t>Gmelin, H. and Seuring, S., 2014. Determinants of a sustainable new product development. </w:t>
      </w:r>
      <w:r w:rsidRPr="00540F14">
        <w:rPr>
          <w:i/>
          <w:iCs/>
          <w:color w:val="000000"/>
          <w:shd w:val="clear" w:color="auto" w:fill="FFFFFF"/>
        </w:rPr>
        <w:t>Journal of Cleaner production</w:t>
      </w:r>
      <w:r w:rsidRPr="00540F14">
        <w:rPr>
          <w:color w:val="000000"/>
          <w:shd w:val="clear" w:color="auto" w:fill="FFFFFF"/>
        </w:rPr>
        <w:t>, </w:t>
      </w:r>
      <w:r w:rsidRPr="00540F14">
        <w:rPr>
          <w:i/>
          <w:iCs/>
          <w:color w:val="000000"/>
          <w:shd w:val="clear" w:color="auto" w:fill="FFFFFF"/>
        </w:rPr>
        <w:t>69</w:t>
      </w:r>
      <w:r w:rsidRPr="00540F14">
        <w:rPr>
          <w:color w:val="000000"/>
          <w:shd w:val="clear" w:color="auto" w:fill="FFFFFF"/>
        </w:rPr>
        <w:t>, pp.1-9.</w:t>
      </w:r>
    </w:p>
    <w:p w:rsidR="007E5440" w:rsidRDefault="007E5440" w:rsidP="00A46E9B">
      <w:pPr>
        <w:spacing w:line="480" w:lineRule="auto"/>
        <w:ind w:left="720" w:hanging="720"/>
        <w:contextualSpacing/>
      </w:pPr>
      <w:r w:rsidRPr="006E66C3">
        <w:t>Govindan, K., Azevedo, S.G., Carvalho, H. and Cruz-Machado, V., 2014. Impact of supply chain management practices on sustainability. Journal of Cleaner Production, 85, pp.212-225.</w:t>
      </w:r>
    </w:p>
    <w:p w:rsidR="007E5440" w:rsidRDefault="007E5440" w:rsidP="0065711A">
      <w:pPr>
        <w:spacing w:line="480" w:lineRule="auto"/>
        <w:ind w:left="720" w:hanging="720"/>
        <w:contextualSpacing/>
        <w:rPr>
          <w:rFonts w:eastAsia="Calibri"/>
          <w:shd w:val="clear" w:color="auto" w:fill="FFFFFF"/>
        </w:rPr>
      </w:pPr>
      <w:r w:rsidRPr="006E66C3">
        <w:rPr>
          <w:rFonts w:eastAsia="Calibri"/>
          <w:shd w:val="clear" w:color="auto" w:fill="FFFFFF"/>
        </w:rPr>
        <w:lastRenderedPageBreak/>
        <w:t>Handfield, R. B., Cousins, P. D., Lawson, B., and Petersen, K. J. 2015. How can supply management really improve performance? A knowledge</w:t>
      </w:r>
      <w:r w:rsidRPr="006E66C3">
        <w:rPr>
          <w:rFonts w:ascii="Cambria Math" w:eastAsia="Calibri" w:hAnsi="Cambria Math" w:cs="Cambria Math"/>
          <w:shd w:val="clear" w:color="auto" w:fill="FFFFFF"/>
        </w:rPr>
        <w:t>‐</w:t>
      </w:r>
      <w:r w:rsidRPr="006E66C3">
        <w:rPr>
          <w:rFonts w:eastAsia="Calibri"/>
          <w:shd w:val="clear" w:color="auto" w:fill="FFFFFF"/>
        </w:rPr>
        <w:t>based model of alignment capabilities. Journal of Supply Chain Management, 51(3), 3-17</w:t>
      </w:r>
    </w:p>
    <w:p w:rsidR="007E5440" w:rsidRPr="00540F14" w:rsidRDefault="007E5440" w:rsidP="00FE46FA">
      <w:pPr>
        <w:spacing w:line="480" w:lineRule="auto"/>
        <w:ind w:left="720" w:hanging="720"/>
        <w:contextualSpacing/>
        <w:rPr>
          <w:color w:val="000000"/>
          <w:shd w:val="clear" w:color="auto" w:fill="FFFFFF"/>
        </w:rPr>
      </w:pPr>
      <w:r w:rsidRPr="00540F14">
        <w:rPr>
          <w:color w:val="000000"/>
          <w:shd w:val="clear" w:color="auto" w:fill="FFFFFF"/>
        </w:rPr>
        <w:t>Houghton, C., Casey, D., Shaw, D. and Murphy, K., 2013. Rigour in qualitative case-study research. </w:t>
      </w:r>
      <w:r w:rsidRPr="00540F14">
        <w:rPr>
          <w:i/>
          <w:iCs/>
          <w:color w:val="000000"/>
          <w:shd w:val="clear" w:color="auto" w:fill="FFFFFF"/>
        </w:rPr>
        <w:t>Nurse researcher</w:t>
      </w:r>
      <w:r w:rsidRPr="00540F14">
        <w:rPr>
          <w:color w:val="000000"/>
          <w:shd w:val="clear" w:color="auto" w:fill="FFFFFF"/>
        </w:rPr>
        <w:t>, </w:t>
      </w:r>
      <w:r w:rsidRPr="00540F14">
        <w:rPr>
          <w:i/>
          <w:iCs/>
          <w:color w:val="000000"/>
          <w:shd w:val="clear" w:color="auto" w:fill="FFFFFF"/>
        </w:rPr>
        <w:t>20</w:t>
      </w:r>
      <w:r w:rsidRPr="00540F14">
        <w:rPr>
          <w:color w:val="000000"/>
          <w:shd w:val="clear" w:color="auto" w:fill="FFFFFF"/>
        </w:rPr>
        <w:t>(4).</w:t>
      </w:r>
    </w:p>
    <w:p w:rsidR="007E5440" w:rsidRDefault="007E5440" w:rsidP="00FE46FA">
      <w:pPr>
        <w:spacing w:line="480" w:lineRule="auto"/>
        <w:ind w:left="720" w:hanging="720"/>
        <w:contextualSpacing/>
        <w:rPr>
          <w:color w:val="000000"/>
          <w:shd w:val="clear" w:color="auto" w:fill="FFFFFF"/>
        </w:rPr>
      </w:pPr>
      <w:r w:rsidRPr="00540F14">
        <w:rPr>
          <w:color w:val="000000"/>
          <w:shd w:val="clear" w:color="auto" w:fill="FFFFFF"/>
        </w:rPr>
        <w:t>Hugos, M.H., 2018. </w:t>
      </w:r>
      <w:r w:rsidRPr="00540F14">
        <w:rPr>
          <w:i/>
          <w:iCs/>
          <w:color w:val="000000"/>
          <w:shd w:val="clear" w:color="auto" w:fill="FFFFFF"/>
        </w:rPr>
        <w:t>Essentials of supply chain management</w:t>
      </w:r>
      <w:r w:rsidRPr="00540F14">
        <w:rPr>
          <w:color w:val="000000"/>
          <w:shd w:val="clear" w:color="auto" w:fill="FFFFFF"/>
        </w:rPr>
        <w:t>. John Wiley &amp; Sons.</w:t>
      </w:r>
    </w:p>
    <w:bookmarkStart w:id="0" w:name="_GoBack"/>
    <w:bookmarkEnd w:id="0"/>
    <w:p w:rsidR="00A446E1" w:rsidRPr="00A446E1" w:rsidRDefault="00A446E1" w:rsidP="00A446E1">
      <w:pPr>
        <w:spacing w:line="480" w:lineRule="auto"/>
        <w:ind w:left="720" w:hanging="720"/>
        <w:contextualSpacing/>
        <w:rPr>
          <w:rStyle w:val="Hyperlink"/>
          <w:shd w:val="clear" w:color="auto" w:fill="FFFFFF"/>
        </w:rPr>
      </w:pPr>
      <w:r w:rsidRPr="00A446E1">
        <w:rPr>
          <w:color w:val="000000"/>
          <w:shd w:val="clear" w:color="auto" w:fill="FFFFFF"/>
        </w:rPr>
        <w:fldChar w:fldCharType="begin"/>
      </w:r>
      <w:r w:rsidRPr="00A446E1">
        <w:rPr>
          <w:color w:val="000000"/>
          <w:shd w:val="clear" w:color="auto" w:fill="FFFFFF"/>
        </w:rPr>
        <w:instrText xml:space="preserve"> HYPERLINK "https://www.ibm.com/" </w:instrText>
      </w:r>
      <w:r w:rsidRPr="00A446E1">
        <w:rPr>
          <w:color w:val="000000"/>
          <w:shd w:val="clear" w:color="auto" w:fill="FFFFFF"/>
        </w:rPr>
        <w:fldChar w:fldCharType="separate"/>
      </w:r>
    </w:p>
    <w:p w:rsidR="007E5440" w:rsidRPr="006E66C3" w:rsidRDefault="00A446E1" w:rsidP="00A446E1">
      <w:pPr>
        <w:spacing w:line="480" w:lineRule="auto"/>
        <w:contextualSpacing/>
        <w:rPr>
          <w:rFonts w:eastAsia="Calibri"/>
          <w:shd w:val="clear" w:color="auto" w:fill="FFFFFF"/>
        </w:rPr>
      </w:pPr>
      <w:r w:rsidRPr="00A446E1">
        <w:rPr>
          <w:color w:val="000000"/>
          <w:shd w:val="clear" w:color="auto" w:fill="FFFFFF"/>
        </w:rPr>
        <w:fldChar w:fldCharType="end"/>
      </w:r>
      <w:r w:rsidR="007E5440" w:rsidRPr="006E66C3">
        <w:rPr>
          <w:rFonts w:eastAsia="Calibri"/>
          <w:shd w:val="clear" w:color="auto" w:fill="FFFFFF"/>
        </w:rPr>
        <w:t>Lao, G., and Xing, L. 2007. Supply chain system integration in retailing: A case study of LianHua. In Research and Practical Issues of Enterprise Information Systems II (pp. 519-528). Springer, Boston, MA.</w:t>
      </w:r>
    </w:p>
    <w:p w:rsidR="007E5440" w:rsidRPr="00540F14" w:rsidRDefault="007E5440" w:rsidP="00FE46FA">
      <w:pPr>
        <w:spacing w:line="480" w:lineRule="auto"/>
        <w:ind w:left="720" w:hanging="720"/>
        <w:contextualSpacing/>
        <w:rPr>
          <w:color w:val="000000"/>
          <w:shd w:val="clear" w:color="auto" w:fill="FFFFFF"/>
        </w:rPr>
      </w:pPr>
      <w:r w:rsidRPr="00540F14">
        <w:rPr>
          <w:color w:val="000000"/>
          <w:shd w:val="clear" w:color="auto" w:fill="FFFFFF"/>
        </w:rPr>
        <w:t>Matthews, L., Power, D., Touboulic, A. and Marques, L., 2016. Building bridges: toward alternative theory of sustainable supply chain management. </w:t>
      </w:r>
      <w:r w:rsidRPr="00540F14">
        <w:rPr>
          <w:i/>
          <w:iCs/>
          <w:color w:val="000000"/>
          <w:shd w:val="clear" w:color="auto" w:fill="FFFFFF"/>
        </w:rPr>
        <w:t>Journal of supply chain management</w:t>
      </w:r>
      <w:r w:rsidRPr="00540F14">
        <w:rPr>
          <w:color w:val="000000"/>
          <w:shd w:val="clear" w:color="auto" w:fill="FFFFFF"/>
        </w:rPr>
        <w:t>, </w:t>
      </w:r>
      <w:r w:rsidRPr="00540F14">
        <w:rPr>
          <w:i/>
          <w:iCs/>
          <w:color w:val="000000"/>
          <w:shd w:val="clear" w:color="auto" w:fill="FFFFFF"/>
        </w:rPr>
        <w:t>52</w:t>
      </w:r>
      <w:r w:rsidRPr="00540F14">
        <w:rPr>
          <w:color w:val="000000"/>
          <w:shd w:val="clear" w:color="auto" w:fill="FFFFFF"/>
        </w:rPr>
        <w:t>(1), pp.82-94.</w:t>
      </w:r>
    </w:p>
    <w:p w:rsidR="007E5440" w:rsidRPr="006E66C3" w:rsidRDefault="007E5440" w:rsidP="001532D5">
      <w:pPr>
        <w:spacing w:line="480" w:lineRule="auto"/>
        <w:ind w:left="720" w:hanging="720"/>
        <w:contextualSpacing/>
        <w:rPr>
          <w:rFonts w:eastAsia="Calibri"/>
          <w:shd w:val="clear" w:color="auto" w:fill="FFFFFF"/>
        </w:rPr>
      </w:pPr>
      <w:r w:rsidRPr="006E66C3">
        <w:t>Meixell, M.J. and Luoma, P., 2015. Stakeholder pressure in sustainable supply chain management: a systematic review. International Journal of Physical Distribution &amp; Logistics Management, 45(1/2), pp.69-89.</w:t>
      </w:r>
    </w:p>
    <w:p w:rsidR="007E5440" w:rsidRPr="00540F14" w:rsidRDefault="007E5440" w:rsidP="007E5440">
      <w:pPr>
        <w:spacing w:line="480" w:lineRule="auto"/>
        <w:ind w:left="720" w:hanging="720"/>
        <w:contextualSpacing/>
        <w:rPr>
          <w:color w:val="000000"/>
          <w:shd w:val="clear" w:color="auto" w:fill="FFFFFF"/>
        </w:rPr>
      </w:pPr>
      <w:r w:rsidRPr="00540F14">
        <w:rPr>
          <w:color w:val="000000"/>
          <w:shd w:val="clear" w:color="auto" w:fill="FFFFFF"/>
        </w:rPr>
        <w:t>Mitchell, M.L. and Jolley, J.M., 2012. </w:t>
      </w:r>
      <w:r w:rsidRPr="00540F14">
        <w:rPr>
          <w:i/>
          <w:iCs/>
          <w:color w:val="000000"/>
          <w:shd w:val="clear" w:color="auto" w:fill="FFFFFF"/>
        </w:rPr>
        <w:t>Research design explained</w:t>
      </w:r>
      <w:r w:rsidRPr="00540F14">
        <w:rPr>
          <w:color w:val="000000"/>
          <w:shd w:val="clear" w:color="auto" w:fill="FFFFFF"/>
        </w:rPr>
        <w:t>. Cengage Learning.</w:t>
      </w:r>
    </w:p>
    <w:p w:rsidR="007E5440" w:rsidRPr="00540F14" w:rsidRDefault="007E5440" w:rsidP="007E5440">
      <w:pPr>
        <w:spacing w:line="480" w:lineRule="auto"/>
        <w:ind w:left="720" w:hanging="720"/>
        <w:contextualSpacing/>
        <w:rPr>
          <w:color w:val="000000"/>
          <w:shd w:val="clear" w:color="auto" w:fill="FFFFFF"/>
        </w:rPr>
      </w:pPr>
      <w:r w:rsidRPr="00540F14">
        <w:rPr>
          <w:color w:val="000000"/>
          <w:shd w:val="clear" w:color="auto" w:fill="FFFFFF"/>
        </w:rPr>
        <w:t>Ritchie, J., Lewis, J., Nicholls, C.M. and Ormston, R. eds., 2013. </w:t>
      </w:r>
      <w:r w:rsidRPr="00540F14">
        <w:rPr>
          <w:i/>
          <w:iCs/>
          <w:color w:val="000000"/>
          <w:shd w:val="clear" w:color="auto" w:fill="FFFFFF"/>
        </w:rPr>
        <w:t>Qualitative research practice: A guide for social science students and researchers</w:t>
      </w:r>
      <w:r w:rsidRPr="00540F14">
        <w:rPr>
          <w:color w:val="000000"/>
          <w:shd w:val="clear" w:color="auto" w:fill="FFFFFF"/>
        </w:rPr>
        <w:t>. sage.</w:t>
      </w:r>
    </w:p>
    <w:p w:rsidR="007E5440" w:rsidRPr="00540F14" w:rsidRDefault="007E5440" w:rsidP="001532D5">
      <w:pPr>
        <w:spacing w:line="480" w:lineRule="auto"/>
        <w:ind w:left="720" w:hanging="720"/>
        <w:contextualSpacing/>
        <w:rPr>
          <w:color w:val="000000"/>
          <w:shd w:val="clear" w:color="auto" w:fill="FFFFFF"/>
        </w:rPr>
      </w:pPr>
      <w:r w:rsidRPr="00540F14">
        <w:rPr>
          <w:color w:val="000000"/>
          <w:shd w:val="clear" w:color="auto" w:fill="FFFFFF"/>
        </w:rPr>
        <w:t>Sekaran, U. and Bougie, R., 2016. </w:t>
      </w:r>
      <w:r w:rsidRPr="00540F14">
        <w:rPr>
          <w:i/>
          <w:iCs/>
          <w:color w:val="000000"/>
          <w:shd w:val="clear" w:color="auto" w:fill="FFFFFF"/>
        </w:rPr>
        <w:t>Research methods for business: A skill building approach</w:t>
      </w:r>
      <w:r w:rsidRPr="00540F14">
        <w:rPr>
          <w:color w:val="000000"/>
          <w:shd w:val="clear" w:color="auto" w:fill="FFFFFF"/>
        </w:rPr>
        <w:t>. John Wiley &amp; Sons.</w:t>
      </w:r>
    </w:p>
    <w:p w:rsidR="007E5440" w:rsidRPr="00540F14" w:rsidRDefault="007E5440" w:rsidP="007E5440">
      <w:pPr>
        <w:spacing w:line="480" w:lineRule="auto"/>
        <w:ind w:left="720" w:hanging="720"/>
        <w:contextualSpacing/>
        <w:rPr>
          <w:color w:val="000000"/>
          <w:shd w:val="clear" w:color="auto" w:fill="FFFFFF"/>
        </w:rPr>
      </w:pPr>
      <w:r w:rsidRPr="00540F14">
        <w:rPr>
          <w:color w:val="000000"/>
          <w:shd w:val="clear" w:color="auto" w:fill="FFFFFF"/>
        </w:rPr>
        <w:t>Silverman, D., 2013. </w:t>
      </w:r>
      <w:r w:rsidRPr="00540F14">
        <w:rPr>
          <w:i/>
          <w:iCs/>
          <w:color w:val="000000"/>
          <w:shd w:val="clear" w:color="auto" w:fill="FFFFFF"/>
        </w:rPr>
        <w:t>Doing qualitative research: A practical handbook</w:t>
      </w:r>
      <w:r w:rsidRPr="00540F14">
        <w:rPr>
          <w:color w:val="000000"/>
          <w:shd w:val="clear" w:color="auto" w:fill="FFFFFF"/>
        </w:rPr>
        <w:t>. SAGE Publications Limited.</w:t>
      </w:r>
    </w:p>
    <w:p w:rsidR="007E5440" w:rsidRPr="006E66C3" w:rsidRDefault="007E5440" w:rsidP="007E5440">
      <w:pPr>
        <w:spacing w:line="480" w:lineRule="auto"/>
        <w:ind w:left="720" w:hanging="720"/>
        <w:contextualSpacing/>
        <w:rPr>
          <w:rFonts w:eastAsia="Calibri"/>
          <w:shd w:val="clear" w:color="auto" w:fill="FFFFFF"/>
        </w:rPr>
      </w:pPr>
      <w:r w:rsidRPr="006E66C3">
        <w:rPr>
          <w:rFonts w:eastAsia="Calibri"/>
          <w:shd w:val="clear" w:color="auto" w:fill="FFFFFF"/>
        </w:rPr>
        <w:t>Smith, J.A. ed., 2015. </w:t>
      </w:r>
      <w:r w:rsidRPr="006E66C3">
        <w:rPr>
          <w:rFonts w:eastAsia="Calibri"/>
          <w:i/>
          <w:iCs/>
          <w:shd w:val="clear" w:color="auto" w:fill="FFFFFF"/>
        </w:rPr>
        <w:t>Qualitative psychology: A practical guide to research methods</w:t>
      </w:r>
      <w:r w:rsidRPr="006E66C3">
        <w:rPr>
          <w:rFonts w:eastAsia="Calibri"/>
          <w:shd w:val="clear" w:color="auto" w:fill="FFFFFF"/>
        </w:rPr>
        <w:t>. Sage.</w:t>
      </w:r>
    </w:p>
    <w:p w:rsidR="007E5440" w:rsidRPr="00540F14" w:rsidRDefault="007E5440" w:rsidP="007E5440">
      <w:pPr>
        <w:spacing w:line="480" w:lineRule="auto"/>
        <w:ind w:left="720" w:hanging="720"/>
        <w:contextualSpacing/>
        <w:rPr>
          <w:color w:val="000000"/>
          <w:shd w:val="clear" w:color="auto" w:fill="FFFFFF"/>
        </w:rPr>
      </w:pPr>
      <w:r w:rsidRPr="00540F14">
        <w:rPr>
          <w:color w:val="000000"/>
          <w:shd w:val="clear" w:color="auto" w:fill="FFFFFF"/>
        </w:rPr>
        <w:lastRenderedPageBreak/>
        <w:t>Speziale, H.S., Streubert, H.J. and Carpenter, D.R., 2011. </w:t>
      </w:r>
      <w:r w:rsidRPr="00540F14">
        <w:rPr>
          <w:i/>
          <w:iCs/>
          <w:color w:val="000000"/>
          <w:shd w:val="clear" w:color="auto" w:fill="FFFFFF"/>
        </w:rPr>
        <w:t>Qualitative research in nursing: Advancing the humanistic imperative</w:t>
      </w:r>
      <w:r w:rsidRPr="00540F14">
        <w:rPr>
          <w:color w:val="000000"/>
          <w:shd w:val="clear" w:color="auto" w:fill="FFFFFF"/>
        </w:rPr>
        <w:t>. Lippincott Williams &amp; Wilkins.</w:t>
      </w:r>
    </w:p>
    <w:p w:rsidR="007E5440" w:rsidRPr="00540F14" w:rsidRDefault="007E5440" w:rsidP="007E5440">
      <w:pPr>
        <w:spacing w:line="480" w:lineRule="auto"/>
        <w:ind w:left="720" w:hanging="720"/>
        <w:contextualSpacing/>
        <w:rPr>
          <w:color w:val="000000"/>
          <w:shd w:val="clear" w:color="auto" w:fill="FFFFFF"/>
        </w:rPr>
      </w:pPr>
      <w:r w:rsidRPr="00540F14">
        <w:rPr>
          <w:color w:val="000000"/>
          <w:shd w:val="clear" w:color="auto" w:fill="FFFFFF"/>
        </w:rPr>
        <w:t>Wahyuni, D., 2012. The research design maze: Understanding paradigms, cases, methods and methodologies.</w:t>
      </w:r>
    </w:p>
    <w:p w:rsidR="007E5440" w:rsidRPr="0065711A" w:rsidRDefault="007E5440" w:rsidP="0065711A">
      <w:pPr>
        <w:spacing w:line="480" w:lineRule="auto"/>
        <w:ind w:left="720" w:hanging="720"/>
        <w:contextualSpacing/>
        <w:rPr>
          <w:rFonts w:eastAsia="Calibri"/>
          <w:shd w:val="clear" w:color="auto" w:fill="FFFFFF"/>
        </w:rPr>
      </w:pPr>
      <w:r w:rsidRPr="0065711A">
        <w:rPr>
          <w:rFonts w:eastAsia="Calibri"/>
          <w:shd w:val="clear" w:color="auto" w:fill="FFFFFF"/>
        </w:rPr>
        <w:t>Winter, M., and Knemeyer, A. M. 2013. Exploring the integration of sustainability and supply chain management: Current state and opportunities for future inquiry. International Journal of Physical Distribution &amp; Logistics Management, 43(1), 18-38.</w:t>
      </w:r>
    </w:p>
    <w:p w:rsidR="007E5440" w:rsidRPr="006E66C3" w:rsidRDefault="007E5440" w:rsidP="001532D5">
      <w:pPr>
        <w:spacing w:line="480" w:lineRule="auto"/>
        <w:ind w:left="720" w:hanging="720"/>
        <w:contextualSpacing/>
        <w:rPr>
          <w:rFonts w:eastAsia="Calibri"/>
          <w:shd w:val="clear" w:color="auto" w:fill="FFFFFF"/>
        </w:rPr>
      </w:pPr>
      <w:r w:rsidRPr="006E66C3">
        <w:rPr>
          <w:rFonts w:eastAsia="Calibri"/>
          <w:shd w:val="clear" w:color="auto" w:fill="FFFFFF"/>
        </w:rPr>
        <w:t>Yurtkulu, E. Z., Hilletofth, P., and Johansson, G. 2014. Foundation of the integration of supply chain decisions in new product development. In EurOMA.</w:t>
      </w:r>
    </w:p>
    <w:p w:rsidR="007E5440" w:rsidRPr="006E66C3" w:rsidRDefault="007E5440" w:rsidP="00A46E9B">
      <w:pPr>
        <w:spacing w:line="480" w:lineRule="auto"/>
        <w:ind w:left="720" w:hanging="720"/>
        <w:contextualSpacing/>
        <w:rPr>
          <w:rFonts w:eastAsia="Calibri"/>
        </w:rPr>
      </w:pPr>
      <w:r w:rsidRPr="006E66C3">
        <w:t>Zhu, Q., Qu, Y., Geng, Y. and Fujita, T., 2017. A comparison of regulatory awareness and green supply chain management practices among Chinese and Japanese manufacturers. Business Strategy and the Environment, 26(1), pp.18-30.</w:t>
      </w:r>
    </w:p>
    <w:sectPr w:rsidR="007E5440" w:rsidRPr="006E66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B5A2282"/>
    <w:multiLevelType w:val="multilevel"/>
    <w:tmpl w:val="2E7A53D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711A"/>
    <w:rsid w:val="001532D5"/>
    <w:rsid w:val="005F79B9"/>
    <w:rsid w:val="0065711A"/>
    <w:rsid w:val="007E5440"/>
    <w:rsid w:val="00A446E1"/>
    <w:rsid w:val="00A46E9B"/>
    <w:rsid w:val="00E7709D"/>
    <w:rsid w:val="00FE46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21B42D"/>
  <w15:chartTrackingRefBased/>
  <w15:docId w15:val="{1B56E4F0-166D-4B09-BC2D-6026F4F7AF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5711A"/>
    <w:pPr>
      <w:spacing w:after="0" w:line="240" w:lineRule="auto"/>
    </w:pPr>
    <w:rPr>
      <w:rFonts w:ascii="Times New Roman" w:eastAsia="Times New Roman" w:hAnsi="Times New Roman" w:cs="Times New Roman"/>
      <w:noProof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E544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5440"/>
    <w:rPr>
      <w:rFonts w:ascii="Segoe UI" w:eastAsia="Times New Roman" w:hAnsi="Segoe UI" w:cs="Segoe UI"/>
      <w:noProof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A446E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446E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3509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4394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1929527">
          <w:marLeft w:val="45"/>
          <w:marRight w:val="45"/>
          <w:marTop w:val="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9662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56879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3367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3938396">
          <w:marLeft w:val="45"/>
          <w:marRight w:val="45"/>
          <w:marTop w:val="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4733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youtu.be/fZucMROhYYs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144</TotalTime>
  <Pages>4</Pages>
  <Words>663</Words>
  <Characters>3781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Nabil Tonmoy</dc:creator>
  <cp:keywords/>
  <dc:description/>
  <cp:lastModifiedBy>Nabil Tonmoy</cp:lastModifiedBy>
  <cp:revision>1</cp:revision>
  <dcterms:created xsi:type="dcterms:W3CDTF">2019-05-02T04:32:00Z</dcterms:created>
  <dcterms:modified xsi:type="dcterms:W3CDTF">2019-05-02T07:32:00Z</dcterms:modified>
</cp:coreProperties>
</file>