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1703319" w:displacedByCustomXml="next"/>
    <w:sdt>
      <w:sdtPr>
        <w:id w:val="2053264903"/>
        <w:docPartObj>
          <w:docPartGallery w:val="Cover Pages"/>
          <w:docPartUnique/>
        </w:docPartObj>
      </w:sdtPr>
      <w:sdtEndPr>
        <w:rPr>
          <w:rFonts w:eastAsiaTheme="minorHAnsi" w:cstheme="minorHAnsi"/>
          <w:b/>
          <w:bCs/>
          <w:color w:val="000000" w:themeColor="text1"/>
          <w:kern w:val="2"/>
          <w:sz w:val="24"/>
          <w:szCs w:val="24"/>
          <w:lang w:val="en-US" w:eastAsia="en-US"/>
          <w14:ligatures w14:val="standardContextual"/>
        </w:rPr>
      </w:sdtEndPr>
      <w:sdtContent>
        <w:p w14:paraId="2A0BEE45" w14:textId="4E29FC7C" w:rsidR="008B420E" w:rsidRDefault="008B420E">
          <w:pPr>
            <w:pStyle w:val="NoSpacing"/>
          </w:pPr>
          <w:r>
            <w:rPr>
              <w:noProof/>
            </w:rPr>
            <mc:AlternateContent>
              <mc:Choice Requires="wpg">
                <w:drawing>
                  <wp:anchor distT="0" distB="0" distL="114300" distR="114300" simplePos="0" relativeHeight="251654144" behindDoc="1" locked="0" layoutInCell="1" allowOverlap="1" wp14:anchorId="26C09E4A" wp14:editId="468552D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8T00:00:00Z">
                                      <w:dateFormat w:val="dd/MM/yyyy"/>
                                      <w:lid w:val="en-GB"/>
                                      <w:storeMappedDataAs w:val="dateTime"/>
                                      <w:calendar w:val="gregorian"/>
                                    </w:date>
                                  </w:sdtPr>
                                  <w:sdtContent>
                                    <w:p w14:paraId="3823FAAB" w14:textId="7AF81D92" w:rsidR="008B420E" w:rsidRDefault="00BF06D3">
                                      <w:pPr>
                                        <w:pStyle w:val="NoSpacing"/>
                                        <w:jc w:val="right"/>
                                        <w:rPr>
                                          <w:color w:val="FFFFFF" w:themeColor="background1"/>
                                          <w:sz w:val="28"/>
                                          <w:szCs w:val="28"/>
                                        </w:rPr>
                                      </w:pPr>
                                      <w:r>
                                        <w:rPr>
                                          <w:color w:val="FFFFFF" w:themeColor="background1"/>
                                          <w:sz w:val="28"/>
                                          <w:szCs w:val="28"/>
                                        </w:rPr>
                                        <w:t>18/06/2026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C09E4A" id="Group 26" o:spid="_x0000_s1026" style="position:absolute;margin-left:0;margin-top:0;width:172.8pt;height:718.55pt;z-index:-2516623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8T00:00:00Z">
                                <w:dateFormat w:val="dd/MM/yyyy"/>
                                <w:lid w:val="en-GB"/>
                                <w:storeMappedDataAs w:val="dateTime"/>
                                <w:calendar w:val="gregorian"/>
                              </w:date>
                            </w:sdtPr>
                            <w:sdtContent>
                              <w:p w14:paraId="3823FAAB" w14:textId="7AF81D92" w:rsidR="008B420E" w:rsidRDefault="00BF06D3">
                                <w:pPr>
                                  <w:pStyle w:val="NoSpacing"/>
                                  <w:jc w:val="right"/>
                                  <w:rPr>
                                    <w:color w:val="FFFFFF" w:themeColor="background1"/>
                                    <w:sz w:val="28"/>
                                    <w:szCs w:val="28"/>
                                  </w:rPr>
                                </w:pPr>
                                <w:r>
                                  <w:rPr>
                                    <w:color w:val="FFFFFF" w:themeColor="background1"/>
                                    <w:sz w:val="28"/>
                                    <w:szCs w:val="28"/>
                                  </w:rPr>
                                  <w:t>18/06/2026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F5241D8" w14:textId="77777777" w:rsidR="006A76DF" w:rsidRDefault="001535A7" w:rsidP="006A76DF">
          <w:pPr>
            <w:rPr>
              <w:rFonts w:cstheme="minorHAnsi"/>
              <w:b/>
              <w:bCs/>
              <w:color w:val="000000" w:themeColor="text1"/>
            </w:rPr>
          </w:pPr>
          <w:r>
            <w:rPr>
              <w:noProof/>
            </w:rPr>
            <mc:AlternateContent>
              <mc:Choice Requires="wps">
                <w:drawing>
                  <wp:anchor distT="0" distB="0" distL="114300" distR="114300" simplePos="0" relativeHeight="251659264" behindDoc="0" locked="0" layoutInCell="1" allowOverlap="1" wp14:anchorId="5D832AAB" wp14:editId="66F7D351">
                    <wp:simplePos x="0" y="0"/>
                    <wp:positionH relativeFrom="page">
                      <wp:posOffset>2946400</wp:posOffset>
                    </wp:positionH>
                    <wp:positionV relativeFrom="page">
                      <wp:posOffset>1758950</wp:posOffset>
                    </wp:positionV>
                    <wp:extent cx="4051300" cy="1943100"/>
                    <wp:effectExtent l="0" t="0" r="6350" b="0"/>
                    <wp:wrapNone/>
                    <wp:docPr id="1" name="Text Box 30"/>
                    <wp:cNvGraphicFramePr/>
                    <a:graphic xmlns:a="http://schemas.openxmlformats.org/drawingml/2006/main">
                      <a:graphicData uri="http://schemas.microsoft.com/office/word/2010/wordprocessingShape">
                        <wps:wsp>
                          <wps:cNvSpPr txBox="1"/>
                          <wps:spPr>
                            <a:xfrm>
                              <a:off x="0" y="0"/>
                              <a:ext cx="4051300" cy="1943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725F7E" w14:textId="7053DDFD" w:rsidR="008B420E" w:rsidRPr="00FC6949" w:rsidRDefault="008B420E">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535A7" w:rsidRPr="00FC6949">
                                      <w:rPr>
                                        <w:rFonts w:asciiTheme="majorHAnsi" w:eastAsiaTheme="majorEastAsia" w:hAnsiTheme="majorHAnsi" w:cstheme="majorBidi"/>
                                        <w:color w:val="262626" w:themeColor="text1" w:themeTint="D9"/>
                                        <w:sz w:val="44"/>
                                        <w:szCs w:val="44"/>
                                      </w:rPr>
                                      <w:t xml:space="preserve">    </w:t>
                                    </w:r>
                                    <w:r w:rsidR="00BF06D3" w:rsidRPr="00FC6949">
                                      <w:rPr>
                                        <w:rFonts w:asciiTheme="majorHAnsi" w:eastAsiaTheme="majorEastAsia" w:hAnsiTheme="majorHAnsi" w:cstheme="majorBidi"/>
                                        <w:color w:val="262626" w:themeColor="text1" w:themeTint="D9"/>
                                        <w:sz w:val="44"/>
                                        <w:szCs w:val="44"/>
                                      </w:rPr>
                                      <w:t>Indepen</w:t>
                                    </w:r>
                                    <w:r w:rsidR="00FC04C2" w:rsidRPr="00FC6949">
                                      <w:rPr>
                                        <w:rFonts w:asciiTheme="majorHAnsi" w:eastAsiaTheme="majorEastAsia" w:hAnsiTheme="majorHAnsi" w:cstheme="majorBidi"/>
                                        <w:color w:val="262626" w:themeColor="text1" w:themeTint="D9"/>
                                        <w:sz w:val="44"/>
                                        <w:szCs w:val="44"/>
                                      </w:rPr>
                                      <w:t>dent Project</w:t>
                                    </w:r>
                                    <w:r w:rsidR="009512C8" w:rsidRPr="00FC6949">
                                      <w:rPr>
                                        <w:rFonts w:asciiTheme="majorHAnsi" w:eastAsiaTheme="majorEastAsia" w:hAnsiTheme="majorHAnsi" w:cstheme="majorBidi"/>
                                        <w:color w:val="262626" w:themeColor="text1" w:themeTint="D9"/>
                                        <w:sz w:val="44"/>
                                        <w:szCs w:val="44"/>
                                      </w:rPr>
                                      <w:t xml:space="preserve"> BMH</w:t>
                                    </w:r>
                                    <w:r w:rsidR="00FC6949" w:rsidRPr="00FC6949">
                                      <w:rPr>
                                        <w:rFonts w:asciiTheme="majorHAnsi" w:eastAsiaTheme="majorEastAsia" w:hAnsiTheme="majorHAnsi" w:cstheme="majorBidi"/>
                                        <w:color w:val="262626" w:themeColor="text1" w:themeTint="D9"/>
                                        <w:sz w:val="44"/>
                                        <w:szCs w:val="44"/>
                                      </w:rPr>
                                      <w:t>P 6020</w:t>
                                    </w:r>
                                  </w:sdtContent>
                                </w:sdt>
                              </w:p>
                              <w:p w14:paraId="12C63F37" w14:textId="1A9CD1F6" w:rsidR="008B420E" w:rsidRDefault="008B420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535A7">
                                      <w:rPr>
                                        <w:color w:val="404040" w:themeColor="text1" w:themeTint="BF"/>
                                        <w:sz w:val="36"/>
                                        <w:szCs w:val="36"/>
                                      </w:rPr>
                                      <w:t xml:space="preserve">            Chapter 3 Methodology</w:t>
                                    </w:r>
                                    <w:r w:rsidR="00BF2286">
                                      <w:rPr>
                                        <w:color w:val="404040" w:themeColor="text1" w:themeTint="BF"/>
                                        <w:sz w:val="36"/>
                                        <w:szCs w:val="36"/>
                                      </w:rPr>
                                      <w:t xml:space="preserve">    </w:t>
                                    </w:r>
                                    <w:r w:rsidR="009512C8">
                                      <w:rPr>
                                        <w:color w:val="404040" w:themeColor="text1" w:themeTint="BF"/>
                                        <w:sz w:val="36"/>
                                        <w:szCs w:val="36"/>
                                      </w:rPr>
                                      <w:t xml:space="preserve">                   </w:t>
                                    </w:r>
                                  </w:sdtContent>
                                </w:sdt>
                              </w:p>
                              <w:p w14:paraId="12571117" w14:textId="337349E9" w:rsidR="001535A7" w:rsidRDefault="00BF2286">
                                <w:pPr>
                                  <w:spacing w:before="120"/>
                                  <w:rPr>
                                    <w:color w:val="404040" w:themeColor="text1" w:themeTint="BF"/>
                                    <w:sz w:val="36"/>
                                    <w:szCs w:val="36"/>
                                  </w:rPr>
                                </w:pPr>
                                <w:r>
                                  <w:rPr>
                                    <w:color w:val="404040" w:themeColor="text1" w:themeTint="BF"/>
                                    <w:sz w:val="36"/>
                                    <w:szCs w:val="36"/>
                                  </w:rPr>
                                  <w:t xml:space="preserve">      </w:t>
                                </w:r>
                                <w:r w:rsidR="00ED1E59">
                                  <w:rPr>
                                    <w:color w:val="404040" w:themeColor="text1" w:themeTint="BF"/>
                                    <w:sz w:val="36"/>
                                    <w:szCs w:val="36"/>
                                  </w:rPr>
                                  <w:t xml:space="preserve">       </w:t>
                                </w:r>
                                <w:r>
                                  <w:rPr>
                                    <w:color w:val="404040" w:themeColor="text1" w:themeTint="BF"/>
                                    <w:sz w:val="36"/>
                                    <w:szCs w:val="36"/>
                                  </w:rPr>
                                  <w:t>Lecturer-</w:t>
                                </w:r>
                                <w:r w:rsidR="00ED1E59">
                                  <w:rPr>
                                    <w:color w:val="404040" w:themeColor="text1" w:themeTint="BF"/>
                                    <w:sz w:val="36"/>
                                    <w:szCs w:val="36"/>
                                  </w:rPr>
                                  <w:t>Chloe Harries</w:t>
                                </w:r>
                              </w:p>
                              <w:p w14:paraId="08B0B19D" w14:textId="28A66D58" w:rsidR="00ED1E59" w:rsidRDefault="00ED1E59">
                                <w:pPr>
                                  <w:spacing w:before="120"/>
                                  <w:rPr>
                                    <w:color w:val="404040" w:themeColor="text1" w:themeTint="BF"/>
                                    <w:sz w:val="36"/>
                                    <w:szCs w:val="36"/>
                                  </w:rPr>
                                </w:pPr>
                                <w:r>
                                  <w:rPr>
                                    <w:color w:val="404040" w:themeColor="text1" w:themeTint="BF"/>
                                    <w:sz w:val="36"/>
                                    <w:szCs w:val="36"/>
                                  </w:rPr>
                                  <w:t xml:space="preserve">     Student name/number</w:t>
                                </w:r>
                                <w:r w:rsidR="00B873E1">
                                  <w:rPr>
                                    <w:color w:val="404040" w:themeColor="text1" w:themeTint="BF"/>
                                    <w:sz w:val="36"/>
                                    <w:szCs w:val="36"/>
                                  </w:rPr>
                                  <w:t>- Faria Naeem</w:t>
                                </w:r>
                              </w:p>
                              <w:p w14:paraId="6B21C7A1" w14:textId="4B561DC7" w:rsidR="00B873E1" w:rsidRDefault="00B873E1">
                                <w:pPr>
                                  <w:spacing w:before="120"/>
                                  <w:rPr>
                                    <w:color w:val="404040" w:themeColor="text1" w:themeTint="BF"/>
                                    <w:sz w:val="36"/>
                                    <w:szCs w:val="36"/>
                                  </w:rPr>
                                </w:pPr>
                                <w:r>
                                  <w:rPr>
                                    <w:color w:val="404040" w:themeColor="text1" w:themeTint="BF"/>
                                    <w:sz w:val="36"/>
                                    <w:szCs w:val="36"/>
                                  </w:rPr>
                                  <w:t xml:space="preserve">                              (2314330)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D832AAB" id="_x0000_t202" coordsize="21600,21600" o:spt="202" path="m,l,21600r21600,l21600,xe">
                    <v:stroke joinstyle="miter"/>
                    <v:path gradientshapeok="t" o:connecttype="rect"/>
                  </v:shapetype>
                  <v:shape id="Text Box 30" o:spid="_x0000_s1055" type="#_x0000_t202" style="position:absolute;margin-left:232pt;margin-top:138.5pt;width:319pt;height:15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" filled="f" stroked="f" strokeweight=".5pt">
                    <v:textbox inset="0,0,0,0">
                      <w:txbxContent>
                        <w:p w14:paraId="64725F7E" w14:textId="7053DDFD" w:rsidR="008B420E" w:rsidRPr="00FC6949" w:rsidRDefault="008B420E">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535A7" w:rsidRPr="00FC6949">
                                <w:rPr>
                                  <w:rFonts w:asciiTheme="majorHAnsi" w:eastAsiaTheme="majorEastAsia" w:hAnsiTheme="majorHAnsi" w:cstheme="majorBidi"/>
                                  <w:color w:val="262626" w:themeColor="text1" w:themeTint="D9"/>
                                  <w:sz w:val="44"/>
                                  <w:szCs w:val="44"/>
                                </w:rPr>
                                <w:t xml:space="preserve">    </w:t>
                              </w:r>
                              <w:r w:rsidR="00BF06D3" w:rsidRPr="00FC6949">
                                <w:rPr>
                                  <w:rFonts w:asciiTheme="majorHAnsi" w:eastAsiaTheme="majorEastAsia" w:hAnsiTheme="majorHAnsi" w:cstheme="majorBidi"/>
                                  <w:color w:val="262626" w:themeColor="text1" w:themeTint="D9"/>
                                  <w:sz w:val="44"/>
                                  <w:szCs w:val="44"/>
                                </w:rPr>
                                <w:t>Indepen</w:t>
                              </w:r>
                              <w:r w:rsidR="00FC04C2" w:rsidRPr="00FC6949">
                                <w:rPr>
                                  <w:rFonts w:asciiTheme="majorHAnsi" w:eastAsiaTheme="majorEastAsia" w:hAnsiTheme="majorHAnsi" w:cstheme="majorBidi"/>
                                  <w:color w:val="262626" w:themeColor="text1" w:themeTint="D9"/>
                                  <w:sz w:val="44"/>
                                  <w:szCs w:val="44"/>
                                </w:rPr>
                                <w:t>dent Project</w:t>
                              </w:r>
                              <w:r w:rsidR="009512C8" w:rsidRPr="00FC6949">
                                <w:rPr>
                                  <w:rFonts w:asciiTheme="majorHAnsi" w:eastAsiaTheme="majorEastAsia" w:hAnsiTheme="majorHAnsi" w:cstheme="majorBidi"/>
                                  <w:color w:val="262626" w:themeColor="text1" w:themeTint="D9"/>
                                  <w:sz w:val="44"/>
                                  <w:szCs w:val="44"/>
                                </w:rPr>
                                <w:t xml:space="preserve"> BMH</w:t>
                              </w:r>
                              <w:r w:rsidR="00FC6949" w:rsidRPr="00FC6949">
                                <w:rPr>
                                  <w:rFonts w:asciiTheme="majorHAnsi" w:eastAsiaTheme="majorEastAsia" w:hAnsiTheme="majorHAnsi" w:cstheme="majorBidi"/>
                                  <w:color w:val="262626" w:themeColor="text1" w:themeTint="D9"/>
                                  <w:sz w:val="44"/>
                                  <w:szCs w:val="44"/>
                                </w:rPr>
                                <w:t>P 6020</w:t>
                              </w:r>
                            </w:sdtContent>
                          </w:sdt>
                        </w:p>
                        <w:p w14:paraId="12C63F37" w14:textId="1A9CD1F6" w:rsidR="008B420E" w:rsidRDefault="008B420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535A7">
                                <w:rPr>
                                  <w:color w:val="404040" w:themeColor="text1" w:themeTint="BF"/>
                                  <w:sz w:val="36"/>
                                  <w:szCs w:val="36"/>
                                </w:rPr>
                                <w:t xml:space="preserve">            Chapter 3 Methodology</w:t>
                              </w:r>
                              <w:r w:rsidR="00BF2286">
                                <w:rPr>
                                  <w:color w:val="404040" w:themeColor="text1" w:themeTint="BF"/>
                                  <w:sz w:val="36"/>
                                  <w:szCs w:val="36"/>
                                </w:rPr>
                                <w:t xml:space="preserve">    </w:t>
                              </w:r>
                              <w:r w:rsidR="009512C8">
                                <w:rPr>
                                  <w:color w:val="404040" w:themeColor="text1" w:themeTint="BF"/>
                                  <w:sz w:val="36"/>
                                  <w:szCs w:val="36"/>
                                </w:rPr>
                                <w:t xml:space="preserve">                   </w:t>
                              </w:r>
                            </w:sdtContent>
                          </w:sdt>
                        </w:p>
                        <w:p w14:paraId="12571117" w14:textId="337349E9" w:rsidR="001535A7" w:rsidRDefault="00BF2286">
                          <w:pPr>
                            <w:spacing w:before="120"/>
                            <w:rPr>
                              <w:color w:val="404040" w:themeColor="text1" w:themeTint="BF"/>
                              <w:sz w:val="36"/>
                              <w:szCs w:val="36"/>
                            </w:rPr>
                          </w:pPr>
                          <w:r>
                            <w:rPr>
                              <w:color w:val="404040" w:themeColor="text1" w:themeTint="BF"/>
                              <w:sz w:val="36"/>
                              <w:szCs w:val="36"/>
                            </w:rPr>
                            <w:t xml:space="preserve">      </w:t>
                          </w:r>
                          <w:r w:rsidR="00ED1E59">
                            <w:rPr>
                              <w:color w:val="404040" w:themeColor="text1" w:themeTint="BF"/>
                              <w:sz w:val="36"/>
                              <w:szCs w:val="36"/>
                            </w:rPr>
                            <w:t xml:space="preserve">       </w:t>
                          </w:r>
                          <w:r>
                            <w:rPr>
                              <w:color w:val="404040" w:themeColor="text1" w:themeTint="BF"/>
                              <w:sz w:val="36"/>
                              <w:szCs w:val="36"/>
                            </w:rPr>
                            <w:t>Lecturer-</w:t>
                          </w:r>
                          <w:r w:rsidR="00ED1E59">
                            <w:rPr>
                              <w:color w:val="404040" w:themeColor="text1" w:themeTint="BF"/>
                              <w:sz w:val="36"/>
                              <w:szCs w:val="36"/>
                            </w:rPr>
                            <w:t>Chloe Harries</w:t>
                          </w:r>
                        </w:p>
                        <w:p w14:paraId="08B0B19D" w14:textId="28A66D58" w:rsidR="00ED1E59" w:rsidRDefault="00ED1E59">
                          <w:pPr>
                            <w:spacing w:before="120"/>
                            <w:rPr>
                              <w:color w:val="404040" w:themeColor="text1" w:themeTint="BF"/>
                              <w:sz w:val="36"/>
                              <w:szCs w:val="36"/>
                            </w:rPr>
                          </w:pPr>
                          <w:r>
                            <w:rPr>
                              <w:color w:val="404040" w:themeColor="text1" w:themeTint="BF"/>
                              <w:sz w:val="36"/>
                              <w:szCs w:val="36"/>
                            </w:rPr>
                            <w:t xml:space="preserve">     Student name/number</w:t>
                          </w:r>
                          <w:r w:rsidR="00B873E1">
                            <w:rPr>
                              <w:color w:val="404040" w:themeColor="text1" w:themeTint="BF"/>
                              <w:sz w:val="36"/>
                              <w:szCs w:val="36"/>
                            </w:rPr>
                            <w:t>- Faria Naeem</w:t>
                          </w:r>
                        </w:p>
                        <w:p w14:paraId="6B21C7A1" w14:textId="4B561DC7" w:rsidR="00B873E1" w:rsidRDefault="00B873E1">
                          <w:pPr>
                            <w:spacing w:before="120"/>
                            <w:rPr>
                              <w:color w:val="404040" w:themeColor="text1" w:themeTint="BF"/>
                              <w:sz w:val="36"/>
                              <w:szCs w:val="36"/>
                            </w:rPr>
                          </w:pPr>
                          <w:r>
                            <w:rPr>
                              <w:color w:val="404040" w:themeColor="text1" w:themeTint="BF"/>
                              <w:sz w:val="36"/>
                              <w:szCs w:val="36"/>
                            </w:rPr>
                            <w:t xml:space="preserve">                              (2314330)</w:t>
                          </w:r>
                        </w:p>
                      </w:txbxContent>
                    </v:textbox>
                    <w10:wrap anchorx="page" anchory="page"/>
                  </v:shape>
                </w:pict>
              </mc:Fallback>
            </mc:AlternateContent>
          </w:r>
          <w:r w:rsidR="008B420E">
            <w:rPr>
              <w:rFonts w:cstheme="minorHAnsi"/>
              <w:b/>
              <w:bCs/>
              <w:color w:val="000000" w:themeColor="text1"/>
            </w:rPr>
            <w:br w:type="page"/>
          </w:r>
        </w:p>
      </w:sdtContent>
    </w:sdt>
    <w:p w14:paraId="0DBDF70C" w14:textId="0D5D3CFB" w:rsidR="003C06CB" w:rsidRPr="00023BF1" w:rsidRDefault="00023BF1" w:rsidP="00023BF1">
      <w:pPr>
        <w:rPr>
          <w:rFonts w:eastAsiaTheme="majorEastAsia" w:cstheme="minorHAnsi"/>
          <w:b/>
          <w:bCs/>
          <w:color w:val="000000" w:themeColor="text1"/>
        </w:rPr>
      </w:pPr>
      <w:r>
        <w:rPr>
          <w:rFonts w:cstheme="minorHAnsi"/>
          <w:b/>
          <w:bCs/>
          <w:color w:val="000000" w:themeColor="text1"/>
          <w:sz w:val="28"/>
          <w:szCs w:val="28"/>
        </w:rPr>
        <w:lastRenderedPageBreak/>
        <w:t xml:space="preserve">                                         </w:t>
      </w:r>
      <w:r w:rsidR="003C06CB" w:rsidRPr="009D721F">
        <w:rPr>
          <w:rFonts w:cstheme="minorHAnsi"/>
          <w:b/>
          <w:bCs/>
          <w:color w:val="000000" w:themeColor="text1"/>
          <w:sz w:val="28"/>
          <w:szCs w:val="28"/>
        </w:rPr>
        <w:t xml:space="preserve">CHAPTER </w:t>
      </w:r>
      <w:bookmarkEnd w:id="0"/>
      <w:r w:rsidR="00641FC5" w:rsidRPr="009D721F">
        <w:rPr>
          <w:rFonts w:cstheme="minorHAnsi"/>
          <w:b/>
          <w:bCs/>
          <w:color w:val="000000" w:themeColor="text1"/>
          <w:sz w:val="28"/>
          <w:szCs w:val="28"/>
        </w:rPr>
        <w:t>3</w:t>
      </w:r>
      <w:r w:rsidR="00641FC5">
        <w:rPr>
          <w:rFonts w:cstheme="minorHAnsi"/>
          <w:b/>
          <w:bCs/>
          <w:color w:val="000000" w:themeColor="text1"/>
          <w:sz w:val="28"/>
          <w:szCs w:val="28"/>
        </w:rPr>
        <w:t xml:space="preserve"> METHODOLOGY</w:t>
      </w:r>
    </w:p>
    <w:p w14:paraId="4BBB2CE6" w14:textId="77777777" w:rsidR="003C06CB" w:rsidRPr="009D721F" w:rsidRDefault="003C06CB" w:rsidP="003C06CB">
      <w:pPr>
        <w:pStyle w:val="Heading2"/>
        <w:rPr>
          <w:rFonts w:asciiTheme="minorHAnsi" w:hAnsiTheme="minorHAnsi" w:cstheme="minorHAnsi"/>
          <w:b/>
          <w:bCs/>
          <w:color w:val="000000" w:themeColor="text1"/>
          <w:sz w:val="24"/>
          <w:szCs w:val="24"/>
        </w:rPr>
      </w:pPr>
      <w:bookmarkStart w:id="1" w:name="_Toc231703320"/>
      <w:r w:rsidRPr="009D721F">
        <w:rPr>
          <w:rFonts w:asciiTheme="minorHAnsi" w:hAnsiTheme="minorHAnsi" w:cstheme="minorHAnsi"/>
          <w:b/>
          <w:bCs/>
          <w:color w:val="000000" w:themeColor="text1"/>
          <w:sz w:val="24"/>
          <w:szCs w:val="24"/>
        </w:rPr>
        <w:t>3.1. Introduction</w:t>
      </w:r>
      <w:bookmarkEnd w:id="1"/>
      <w:r w:rsidRPr="009D721F">
        <w:rPr>
          <w:rFonts w:asciiTheme="minorHAnsi" w:hAnsiTheme="minorHAnsi" w:cstheme="minorHAnsi"/>
          <w:b/>
          <w:bCs/>
          <w:color w:val="000000" w:themeColor="text1"/>
          <w:sz w:val="24"/>
          <w:szCs w:val="24"/>
        </w:rPr>
        <w:t xml:space="preserve"> </w:t>
      </w:r>
    </w:p>
    <w:p w14:paraId="66B64D77"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This chapter will discuss the methodology used to conduct an examination into how dementia affects the quality of life of elderly people in Birmingham. Desk-based, secondary research was chosen to conduct the investigation by reviewing various pieces of literature rather than conducting a new study. Such a strategy was chosen because secondary research provides for an efficient synthesis of the broad evidence base concerning the topic of interest, which makes it an effective means of studying complex problems related to ageing populations.</w:t>
      </w:r>
    </w:p>
    <w:p w14:paraId="7AC6CD3B"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A structured methodology for finding, appraising, and analyzing the literature was used. It is important to emphasize that the methodology helped to ensure that all the information selected and presented in the study was of high quality and reliable. The methodology followed the well-established principles for literature review found in health and social care literature (Aveyard, 2019; Snyder, 2019).</w:t>
      </w:r>
    </w:p>
    <w:p w14:paraId="37BC4C11" w14:textId="77777777" w:rsidR="003C06CB" w:rsidRPr="009D721F" w:rsidRDefault="003C06CB" w:rsidP="003C06CB">
      <w:pPr>
        <w:pStyle w:val="Heading2"/>
        <w:rPr>
          <w:rFonts w:asciiTheme="minorHAnsi" w:hAnsiTheme="minorHAnsi" w:cstheme="minorHAnsi"/>
          <w:b/>
          <w:bCs/>
          <w:color w:val="000000" w:themeColor="text1"/>
          <w:sz w:val="24"/>
          <w:szCs w:val="24"/>
        </w:rPr>
      </w:pPr>
      <w:bookmarkStart w:id="2" w:name="_Toc231703321"/>
      <w:r w:rsidRPr="009D721F">
        <w:rPr>
          <w:rFonts w:asciiTheme="minorHAnsi" w:hAnsiTheme="minorHAnsi" w:cstheme="minorHAnsi"/>
          <w:b/>
          <w:bCs/>
          <w:color w:val="000000" w:themeColor="text1"/>
          <w:sz w:val="24"/>
          <w:szCs w:val="24"/>
        </w:rPr>
        <w:t>3.2. Searching strategy</w:t>
      </w:r>
      <w:bookmarkEnd w:id="2"/>
      <w:r w:rsidRPr="009D721F">
        <w:rPr>
          <w:rFonts w:asciiTheme="minorHAnsi" w:hAnsiTheme="minorHAnsi" w:cstheme="minorHAnsi"/>
          <w:b/>
          <w:bCs/>
          <w:color w:val="000000" w:themeColor="text1"/>
          <w:sz w:val="24"/>
          <w:szCs w:val="24"/>
        </w:rPr>
        <w:t xml:space="preserve"> </w:t>
      </w:r>
    </w:p>
    <w:p w14:paraId="4DBEF6ED"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The search strategy was created based on the key terms generated from the study objective, which includes dementia, quality of life, older people, and Birmingham. Other search terms, such as Alzheimer’s disease, cognition, wellbeing, and social isolation, were added to ensure that the search criteria were broader.</w:t>
      </w:r>
    </w:p>
    <w:p w14:paraId="3213B844"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Boolean operators were applied in narrowing down the search process. The “AND” operator was utilized in combining phrases like dementia AND quality of life. Meanwhile, the “OR” operator was employed in adding synonyms like dementia OR Alzheimer’s disease. Lastly, the “NOT” operator was used in excluding certain populations, specifically younger individuals and unrelated neurologic diseases.</w:t>
      </w:r>
    </w:p>
    <w:p w14:paraId="3990DE32"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An organized search log was kept throughout the search process, involving the keywords, databases, and results obtained. The process increased transparency, minimized bias, and facilitated reproducibility for future studies (Xiao and Watson, 2019).</w:t>
      </w:r>
    </w:p>
    <w:p w14:paraId="05A907AC" w14:textId="77777777" w:rsidR="003C06CB" w:rsidRPr="009D721F" w:rsidRDefault="003C06CB" w:rsidP="003C06CB">
      <w:pPr>
        <w:pStyle w:val="Heading2"/>
        <w:rPr>
          <w:rFonts w:asciiTheme="minorHAnsi" w:hAnsiTheme="minorHAnsi" w:cstheme="minorHAnsi"/>
          <w:b/>
          <w:bCs/>
          <w:color w:val="000000" w:themeColor="text1"/>
          <w:sz w:val="24"/>
          <w:szCs w:val="24"/>
        </w:rPr>
      </w:pPr>
      <w:bookmarkStart w:id="3" w:name="_Toc231703322"/>
      <w:r w:rsidRPr="009D721F">
        <w:rPr>
          <w:rFonts w:asciiTheme="minorHAnsi" w:hAnsiTheme="minorHAnsi" w:cstheme="minorHAnsi"/>
          <w:b/>
          <w:bCs/>
          <w:color w:val="000000" w:themeColor="text1"/>
          <w:sz w:val="24"/>
          <w:szCs w:val="24"/>
        </w:rPr>
        <w:t>3.3. Searching for information</w:t>
      </w:r>
      <w:bookmarkEnd w:id="3"/>
    </w:p>
    <w:p w14:paraId="40980D5A"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Relevant sources were retrieved from Google Scholar, PubMed, CINAHL, and university library databases. Besides, credible sources like NHS, NICE, ONS, and WHO were chosen because of their high credibility and pertinence.</w:t>
      </w:r>
    </w:p>
    <w:p w14:paraId="2445148E"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lastRenderedPageBreak/>
        <w:t>The following filters were used to guarantee the quality of retrieved articles: date range of publication from 2014 to 2025, peer review, and English language. The research papers that examined the relationship between social isolation and quality of life among adults aged 65 or more in the UK healthcare system had priority.</w:t>
      </w:r>
    </w:p>
    <w:p w14:paraId="093263C8"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Keywords were modified during the search process to enhance its efficiency, e.g., dementia AND social isolation UK, quality of life Alzheimer’s Birmingham. A source tracking table was created to structure the extracted information (Ridley, 2012).</w:t>
      </w:r>
    </w:p>
    <w:p w14:paraId="6D2A9B1D" w14:textId="77777777" w:rsidR="003C06CB" w:rsidRPr="00EB4548" w:rsidRDefault="003C06CB" w:rsidP="003C06CB">
      <w:pPr>
        <w:spacing w:line="360" w:lineRule="auto"/>
        <w:jc w:val="both"/>
        <w:rPr>
          <w:rFonts w:cstheme="minorHAnsi"/>
          <w:b/>
          <w:bCs/>
          <w:sz w:val="22"/>
          <w:szCs w:val="22"/>
        </w:rPr>
      </w:pPr>
      <w:r w:rsidRPr="00EB4548">
        <w:rPr>
          <w:rFonts w:cstheme="minorHAnsi"/>
          <w:b/>
          <w:bCs/>
          <w:sz w:val="22"/>
          <w:szCs w:val="22"/>
        </w:rPr>
        <w:t xml:space="preserve">Table of key sources </w:t>
      </w:r>
    </w:p>
    <w:tbl>
      <w:tblPr>
        <w:tblStyle w:val="TableGrid"/>
        <w:tblW w:w="0" w:type="auto"/>
        <w:tblLook w:val="04A0" w:firstRow="1" w:lastRow="0" w:firstColumn="1" w:lastColumn="0" w:noHBand="0" w:noVBand="1"/>
      </w:tblPr>
      <w:tblGrid>
        <w:gridCol w:w="1663"/>
        <w:gridCol w:w="1806"/>
        <w:gridCol w:w="1927"/>
        <w:gridCol w:w="2307"/>
        <w:gridCol w:w="1647"/>
      </w:tblGrid>
      <w:tr w:rsidR="003C06CB" w:rsidRPr="00EB7AB3" w14:paraId="6729FD47" w14:textId="77777777" w:rsidTr="006B673C">
        <w:tc>
          <w:tcPr>
            <w:tcW w:w="0" w:type="auto"/>
            <w:hideMark/>
          </w:tcPr>
          <w:p w14:paraId="168D8EDD" w14:textId="77777777" w:rsidR="003C06CB" w:rsidRPr="00EB7AB3" w:rsidRDefault="003C06CB" w:rsidP="006B673C">
            <w:pPr>
              <w:spacing w:line="360" w:lineRule="auto"/>
              <w:jc w:val="both"/>
              <w:rPr>
                <w:rFonts w:cstheme="minorHAnsi"/>
                <w:b/>
                <w:bCs/>
                <w:sz w:val="22"/>
                <w:szCs w:val="22"/>
              </w:rPr>
            </w:pPr>
            <w:r w:rsidRPr="00EB7AB3">
              <w:rPr>
                <w:rFonts w:cstheme="minorHAnsi"/>
                <w:b/>
                <w:bCs/>
                <w:sz w:val="22"/>
                <w:szCs w:val="22"/>
              </w:rPr>
              <w:t>Author(s)</w:t>
            </w:r>
          </w:p>
        </w:tc>
        <w:tc>
          <w:tcPr>
            <w:tcW w:w="0" w:type="auto"/>
            <w:hideMark/>
          </w:tcPr>
          <w:p w14:paraId="4FAE7A58" w14:textId="77777777" w:rsidR="003C06CB" w:rsidRPr="00EB7AB3" w:rsidRDefault="003C06CB" w:rsidP="006B673C">
            <w:pPr>
              <w:spacing w:line="360" w:lineRule="auto"/>
              <w:jc w:val="both"/>
              <w:rPr>
                <w:rFonts w:cstheme="minorHAnsi"/>
                <w:b/>
                <w:bCs/>
                <w:sz w:val="22"/>
                <w:szCs w:val="22"/>
              </w:rPr>
            </w:pPr>
            <w:r w:rsidRPr="00EB7AB3">
              <w:rPr>
                <w:rFonts w:cstheme="minorHAnsi"/>
                <w:b/>
                <w:bCs/>
                <w:sz w:val="22"/>
                <w:szCs w:val="22"/>
              </w:rPr>
              <w:t>Focus</w:t>
            </w:r>
          </w:p>
        </w:tc>
        <w:tc>
          <w:tcPr>
            <w:tcW w:w="0" w:type="auto"/>
            <w:hideMark/>
          </w:tcPr>
          <w:p w14:paraId="73985570" w14:textId="77777777" w:rsidR="003C06CB" w:rsidRPr="00EB7AB3" w:rsidRDefault="003C06CB" w:rsidP="006B673C">
            <w:pPr>
              <w:spacing w:line="360" w:lineRule="auto"/>
              <w:jc w:val="both"/>
              <w:rPr>
                <w:rFonts w:cstheme="minorHAnsi"/>
                <w:b/>
                <w:bCs/>
                <w:sz w:val="22"/>
                <w:szCs w:val="22"/>
              </w:rPr>
            </w:pPr>
            <w:r w:rsidRPr="00EB7AB3">
              <w:rPr>
                <w:rFonts w:cstheme="minorHAnsi"/>
                <w:b/>
                <w:bCs/>
                <w:sz w:val="22"/>
                <w:szCs w:val="22"/>
              </w:rPr>
              <w:t>Method</w:t>
            </w:r>
          </w:p>
        </w:tc>
        <w:tc>
          <w:tcPr>
            <w:tcW w:w="0" w:type="auto"/>
            <w:hideMark/>
          </w:tcPr>
          <w:p w14:paraId="361290DD" w14:textId="77777777" w:rsidR="003C06CB" w:rsidRPr="00EB7AB3" w:rsidRDefault="003C06CB" w:rsidP="006B673C">
            <w:pPr>
              <w:spacing w:line="360" w:lineRule="auto"/>
              <w:jc w:val="both"/>
              <w:rPr>
                <w:rFonts w:cstheme="minorHAnsi"/>
                <w:b/>
                <w:bCs/>
                <w:sz w:val="22"/>
                <w:szCs w:val="22"/>
              </w:rPr>
            </w:pPr>
            <w:r w:rsidRPr="00EB7AB3">
              <w:rPr>
                <w:rFonts w:cstheme="minorHAnsi"/>
                <w:b/>
                <w:bCs/>
                <w:sz w:val="22"/>
                <w:szCs w:val="22"/>
              </w:rPr>
              <w:t>Key Findings</w:t>
            </w:r>
          </w:p>
        </w:tc>
        <w:tc>
          <w:tcPr>
            <w:tcW w:w="0" w:type="auto"/>
            <w:hideMark/>
          </w:tcPr>
          <w:p w14:paraId="014C4CC6" w14:textId="77777777" w:rsidR="003C06CB" w:rsidRPr="00EB7AB3" w:rsidRDefault="003C06CB" w:rsidP="006B673C">
            <w:pPr>
              <w:spacing w:line="360" w:lineRule="auto"/>
              <w:jc w:val="both"/>
              <w:rPr>
                <w:rFonts w:cstheme="minorHAnsi"/>
                <w:b/>
                <w:bCs/>
                <w:sz w:val="22"/>
                <w:szCs w:val="22"/>
              </w:rPr>
            </w:pPr>
            <w:r w:rsidRPr="00EB7AB3">
              <w:rPr>
                <w:rFonts w:cstheme="minorHAnsi"/>
                <w:b/>
                <w:bCs/>
                <w:sz w:val="22"/>
                <w:szCs w:val="22"/>
              </w:rPr>
              <w:t>Relevance</w:t>
            </w:r>
          </w:p>
        </w:tc>
      </w:tr>
      <w:tr w:rsidR="003C06CB" w:rsidRPr="00EB7AB3" w14:paraId="536090B8" w14:textId="77777777" w:rsidTr="006B673C">
        <w:tc>
          <w:tcPr>
            <w:tcW w:w="0" w:type="auto"/>
            <w:hideMark/>
          </w:tcPr>
          <w:p w14:paraId="50E67338"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Livingston et al. (2020)</w:t>
            </w:r>
          </w:p>
        </w:tc>
        <w:tc>
          <w:tcPr>
            <w:tcW w:w="0" w:type="auto"/>
            <w:hideMark/>
          </w:tcPr>
          <w:p w14:paraId="33DF1C43"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Dementia care</w:t>
            </w:r>
          </w:p>
        </w:tc>
        <w:tc>
          <w:tcPr>
            <w:tcW w:w="0" w:type="auto"/>
            <w:hideMark/>
          </w:tcPr>
          <w:p w14:paraId="114C05EB"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Systematic review</w:t>
            </w:r>
          </w:p>
        </w:tc>
        <w:tc>
          <w:tcPr>
            <w:tcW w:w="0" w:type="auto"/>
            <w:hideMark/>
          </w:tcPr>
          <w:p w14:paraId="2C8BB81A"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Holistic care improves outcomes</w:t>
            </w:r>
          </w:p>
        </w:tc>
        <w:tc>
          <w:tcPr>
            <w:tcW w:w="0" w:type="auto"/>
            <w:hideMark/>
          </w:tcPr>
          <w:p w14:paraId="07228BF9"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QoL domains</w:t>
            </w:r>
          </w:p>
        </w:tc>
      </w:tr>
      <w:tr w:rsidR="003C06CB" w:rsidRPr="00EB7AB3" w14:paraId="2BB71E02" w14:textId="77777777" w:rsidTr="006B673C">
        <w:tc>
          <w:tcPr>
            <w:tcW w:w="0" w:type="auto"/>
            <w:hideMark/>
          </w:tcPr>
          <w:p w14:paraId="3A9CC4B3"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Prince et al. (2015)</w:t>
            </w:r>
          </w:p>
        </w:tc>
        <w:tc>
          <w:tcPr>
            <w:tcW w:w="0" w:type="auto"/>
            <w:hideMark/>
          </w:tcPr>
          <w:p w14:paraId="2B32E969"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Global dementia burden</w:t>
            </w:r>
          </w:p>
        </w:tc>
        <w:tc>
          <w:tcPr>
            <w:tcW w:w="0" w:type="auto"/>
            <w:hideMark/>
          </w:tcPr>
          <w:p w14:paraId="5B312793"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Epidemiological study</w:t>
            </w:r>
          </w:p>
        </w:tc>
        <w:tc>
          <w:tcPr>
            <w:tcW w:w="0" w:type="auto"/>
            <w:hideMark/>
          </w:tcPr>
          <w:p w14:paraId="07C828B8"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Rising prevalence worldwide</w:t>
            </w:r>
          </w:p>
        </w:tc>
        <w:tc>
          <w:tcPr>
            <w:tcW w:w="0" w:type="auto"/>
            <w:hideMark/>
          </w:tcPr>
          <w:p w14:paraId="24CEC70E"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Contextual data</w:t>
            </w:r>
          </w:p>
        </w:tc>
      </w:tr>
      <w:tr w:rsidR="003C06CB" w:rsidRPr="00EB7AB3" w14:paraId="0AA1F9AC" w14:textId="77777777" w:rsidTr="006B673C">
        <w:tc>
          <w:tcPr>
            <w:tcW w:w="0" w:type="auto"/>
            <w:hideMark/>
          </w:tcPr>
          <w:p w14:paraId="2B06F5DD"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Cahill (2018)</w:t>
            </w:r>
          </w:p>
        </w:tc>
        <w:tc>
          <w:tcPr>
            <w:tcW w:w="0" w:type="auto"/>
            <w:hideMark/>
          </w:tcPr>
          <w:p w14:paraId="4512EF89"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Dementia care practice</w:t>
            </w:r>
          </w:p>
        </w:tc>
        <w:tc>
          <w:tcPr>
            <w:tcW w:w="0" w:type="auto"/>
            <w:hideMark/>
          </w:tcPr>
          <w:p w14:paraId="027C22DB"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Literature review</w:t>
            </w:r>
          </w:p>
        </w:tc>
        <w:tc>
          <w:tcPr>
            <w:tcW w:w="0" w:type="auto"/>
            <w:hideMark/>
          </w:tcPr>
          <w:p w14:paraId="6F51D4FE"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Independence improves QoL</w:t>
            </w:r>
          </w:p>
        </w:tc>
        <w:tc>
          <w:tcPr>
            <w:tcW w:w="0" w:type="auto"/>
            <w:hideMark/>
          </w:tcPr>
          <w:p w14:paraId="3164FF46"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Physical dimension</w:t>
            </w:r>
          </w:p>
        </w:tc>
      </w:tr>
      <w:tr w:rsidR="003C06CB" w:rsidRPr="00EB7AB3" w14:paraId="38A643ED" w14:textId="77777777" w:rsidTr="006B673C">
        <w:tc>
          <w:tcPr>
            <w:tcW w:w="0" w:type="auto"/>
            <w:hideMark/>
          </w:tcPr>
          <w:p w14:paraId="02F3FBC7"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Kitwood (1997)</w:t>
            </w:r>
          </w:p>
        </w:tc>
        <w:tc>
          <w:tcPr>
            <w:tcW w:w="0" w:type="auto"/>
            <w:hideMark/>
          </w:tcPr>
          <w:p w14:paraId="650EAEEC" w14:textId="51EAC92F" w:rsidR="003C06CB" w:rsidRPr="00EB7AB3" w:rsidRDefault="003C06CB" w:rsidP="006B673C">
            <w:pPr>
              <w:spacing w:line="360" w:lineRule="auto"/>
              <w:jc w:val="both"/>
              <w:rPr>
                <w:rFonts w:cstheme="minorHAnsi"/>
                <w:sz w:val="22"/>
                <w:szCs w:val="22"/>
              </w:rPr>
            </w:pPr>
            <w:r w:rsidRPr="00EB7AB3">
              <w:rPr>
                <w:rFonts w:cstheme="minorHAnsi"/>
                <w:sz w:val="22"/>
                <w:szCs w:val="22"/>
              </w:rPr>
              <w:t>Person-</w:t>
            </w:r>
            <w:r w:rsidR="006B79C3" w:rsidRPr="00EB7AB3">
              <w:rPr>
                <w:rFonts w:cstheme="minorHAnsi"/>
                <w:sz w:val="22"/>
                <w:szCs w:val="22"/>
              </w:rPr>
              <w:t>centered</w:t>
            </w:r>
            <w:r w:rsidRPr="00EB7AB3">
              <w:rPr>
                <w:rFonts w:cstheme="minorHAnsi"/>
                <w:sz w:val="22"/>
                <w:szCs w:val="22"/>
              </w:rPr>
              <w:t xml:space="preserve"> care</w:t>
            </w:r>
          </w:p>
        </w:tc>
        <w:tc>
          <w:tcPr>
            <w:tcW w:w="0" w:type="auto"/>
            <w:hideMark/>
          </w:tcPr>
          <w:p w14:paraId="7F598553"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Theoretical framework</w:t>
            </w:r>
          </w:p>
        </w:tc>
        <w:tc>
          <w:tcPr>
            <w:tcW w:w="0" w:type="auto"/>
            <w:hideMark/>
          </w:tcPr>
          <w:p w14:paraId="285CC015"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Dignity and identity essential</w:t>
            </w:r>
          </w:p>
        </w:tc>
        <w:tc>
          <w:tcPr>
            <w:tcW w:w="0" w:type="auto"/>
            <w:hideMark/>
          </w:tcPr>
          <w:p w14:paraId="0941B415"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Psychological QoL</w:t>
            </w:r>
          </w:p>
        </w:tc>
      </w:tr>
      <w:tr w:rsidR="003C06CB" w:rsidRPr="00EB7AB3" w14:paraId="491C3DF0" w14:textId="77777777" w:rsidTr="006B673C">
        <w:tc>
          <w:tcPr>
            <w:tcW w:w="0" w:type="auto"/>
            <w:hideMark/>
          </w:tcPr>
          <w:p w14:paraId="5D889AB6"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Marmot (2010)</w:t>
            </w:r>
          </w:p>
        </w:tc>
        <w:tc>
          <w:tcPr>
            <w:tcW w:w="0" w:type="auto"/>
            <w:hideMark/>
          </w:tcPr>
          <w:p w14:paraId="5CA41A1F"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Health inequalities</w:t>
            </w:r>
          </w:p>
        </w:tc>
        <w:tc>
          <w:tcPr>
            <w:tcW w:w="0" w:type="auto"/>
            <w:hideMark/>
          </w:tcPr>
          <w:p w14:paraId="1E8B0795"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Policy review</w:t>
            </w:r>
          </w:p>
        </w:tc>
        <w:tc>
          <w:tcPr>
            <w:tcW w:w="0" w:type="auto"/>
            <w:hideMark/>
          </w:tcPr>
          <w:p w14:paraId="56AE9D51"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Social factors affect health</w:t>
            </w:r>
          </w:p>
        </w:tc>
        <w:tc>
          <w:tcPr>
            <w:tcW w:w="0" w:type="auto"/>
            <w:hideMark/>
          </w:tcPr>
          <w:p w14:paraId="03D6237E"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Social QoL</w:t>
            </w:r>
          </w:p>
        </w:tc>
      </w:tr>
      <w:tr w:rsidR="003C06CB" w:rsidRPr="00EB7AB3" w14:paraId="049586E4" w14:textId="77777777" w:rsidTr="006B673C">
        <w:tc>
          <w:tcPr>
            <w:tcW w:w="0" w:type="auto"/>
            <w:hideMark/>
          </w:tcPr>
          <w:p w14:paraId="5B80FD9F"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NICE (2018)</w:t>
            </w:r>
          </w:p>
        </w:tc>
        <w:tc>
          <w:tcPr>
            <w:tcW w:w="0" w:type="auto"/>
            <w:hideMark/>
          </w:tcPr>
          <w:p w14:paraId="7E8EAA01"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Dementia guidance</w:t>
            </w:r>
          </w:p>
        </w:tc>
        <w:tc>
          <w:tcPr>
            <w:tcW w:w="0" w:type="auto"/>
            <w:hideMark/>
          </w:tcPr>
          <w:p w14:paraId="421CE21F"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Policy document</w:t>
            </w:r>
          </w:p>
        </w:tc>
        <w:tc>
          <w:tcPr>
            <w:tcW w:w="0" w:type="auto"/>
            <w:hideMark/>
          </w:tcPr>
          <w:p w14:paraId="691B9F8B" w14:textId="07122440" w:rsidR="003C06CB" w:rsidRPr="00EB7AB3" w:rsidRDefault="006B79C3" w:rsidP="006B673C">
            <w:pPr>
              <w:spacing w:line="360" w:lineRule="auto"/>
              <w:jc w:val="both"/>
              <w:rPr>
                <w:rFonts w:cstheme="minorHAnsi"/>
                <w:sz w:val="22"/>
                <w:szCs w:val="22"/>
              </w:rPr>
            </w:pPr>
            <w:r w:rsidRPr="00EB7AB3">
              <w:rPr>
                <w:rFonts w:cstheme="minorHAnsi"/>
                <w:sz w:val="22"/>
                <w:szCs w:val="22"/>
              </w:rPr>
              <w:t>Personalized</w:t>
            </w:r>
            <w:r w:rsidR="003C06CB" w:rsidRPr="00EB7AB3">
              <w:rPr>
                <w:rFonts w:cstheme="minorHAnsi"/>
                <w:sz w:val="22"/>
                <w:szCs w:val="22"/>
              </w:rPr>
              <w:t xml:space="preserve"> care recommended</w:t>
            </w:r>
          </w:p>
        </w:tc>
        <w:tc>
          <w:tcPr>
            <w:tcW w:w="0" w:type="auto"/>
            <w:hideMark/>
          </w:tcPr>
          <w:p w14:paraId="63C480FE"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UK framework</w:t>
            </w:r>
          </w:p>
        </w:tc>
      </w:tr>
      <w:tr w:rsidR="003C06CB" w:rsidRPr="00EB7AB3" w14:paraId="641F80AA" w14:textId="77777777" w:rsidTr="006B673C">
        <w:tc>
          <w:tcPr>
            <w:tcW w:w="0" w:type="auto"/>
            <w:hideMark/>
          </w:tcPr>
          <w:p w14:paraId="77647A8B"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ONS (2021)</w:t>
            </w:r>
          </w:p>
        </w:tc>
        <w:tc>
          <w:tcPr>
            <w:tcW w:w="0" w:type="auto"/>
            <w:hideMark/>
          </w:tcPr>
          <w:p w14:paraId="64BE1CA8"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Ageing population</w:t>
            </w:r>
          </w:p>
        </w:tc>
        <w:tc>
          <w:tcPr>
            <w:tcW w:w="0" w:type="auto"/>
            <w:hideMark/>
          </w:tcPr>
          <w:p w14:paraId="6C5E441A"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Statistical report</w:t>
            </w:r>
          </w:p>
        </w:tc>
        <w:tc>
          <w:tcPr>
            <w:tcW w:w="0" w:type="auto"/>
            <w:hideMark/>
          </w:tcPr>
          <w:p w14:paraId="776788F0"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Increasing elderly population</w:t>
            </w:r>
          </w:p>
        </w:tc>
        <w:tc>
          <w:tcPr>
            <w:tcW w:w="0" w:type="auto"/>
            <w:hideMark/>
          </w:tcPr>
          <w:p w14:paraId="59FD43D1"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National context</w:t>
            </w:r>
          </w:p>
        </w:tc>
      </w:tr>
      <w:tr w:rsidR="003C06CB" w:rsidRPr="00EB7AB3" w14:paraId="36B50936" w14:textId="77777777" w:rsidTr="006B673C">
        <w:tc>
          <w:tcPr>
            <w:tcW w:w="0" w:type="auto"/>
            <w:hideMark/>
          </w:tcPr>
          <w:p w14:paraId="2797EE7F"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NHS (2022)</w:t>
            </w:r>
          </w:p>
        </w:tc>
        <w:tc>
          <w:tcPr>
            <w:tcW w:w="0" w:type="auto"/>
            <w:hideMark/>
          </w:tcPr>
          <w:p w14:paraId="0AA557D4"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Dementia services</w:t>
            </w:r>
          </w:p>
        </w:tc>
        <w:tc>
          <w:tcPr>
            <w:tcW w:w="0" w:type="auto"/>
            <w:hideMark/>
          </w:tcPr>
          <w:p w14:paraId="042723C1"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Government report</w:t>
            </w:r>
          </w:p>
        </w:tc>
        <w:tc>
          <w:tcPr>
            <w:tcW w:w="0" w:type="auto"/>
            <w:hideMark/>
          </w:tcPr>
          <w:p w14:paraId="6C935E61"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Integrated care systems</w:t>
            </w:r>
          </w:p>
        </w:tc>
        <w:tc>
          <w:tcPr>
            <w:tcW w:w="0" w:type="auto"/>
            <w:hideMark/>
          </w:tcPr>
          <w:p w14:paraId="6C98A313"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Service delivery</w:t>
            </w:r>
          </w:p>
        </w:tc>
      </w:tr>
      <w:tr w:rsidR="003C06CB" w:rsidRPr="00EB7AB3" w14:paraId="0F8FBF95" w14:textId="77777777" w:rsidTr="006B673C">
        <w:tc>
          <w:tcPr>
            <w:tcW w:w="0" w:type="auto"/>
            <w:hideMark/>
          </w:tcPr>
          <w:p w14:paraId="5A2F3974"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WHO (2021)</w:t>
            </w:r>
          </w:p>
        </w:tc>
        <w:tc>
          <w:tcPr>
            <w:tcW w:w="0" w:type="auto"/>
            <w:hideMark/>
          </w:tcPr>
          <w:p w14:paraId="60BBF300"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Dementia impact</w:t>
            </w:r>
          </w:p>
        </w:tc>
        <w:tc>
          <w:tcPr>
            <w:tcW w:w="0" w:type="auto"/>
            <w:hideMark/>
          </w:tcPr>
          <w:p w14:paraId="25663B5E"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Global report</w:t>
            </w:r>
          </w:p>
        </w:tc>
        <w:tc>
          <w:tcPr>
            <w:tcW w:w="0" w:type="auto"/>
            <w:hideMark/>
          </w:tcPr>
          <w:p w14:paraId="5E003BFF"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Public health burden rising</w:t>
            </w:r>
          </w:p>
        </w:tc>
        <w:tc>
          <w:tcPr>
            <w:tcW w:w="0" w:type="auto"/>
            <w:hideMark/>
          </w:tcPr>
          <w:p w14:paraId="4A0A7DFA"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Global relevance</w:t>
            </w:r>
          </w:p>
        </w:tc>
      </w:tr>
    </w:tbl>
    <w:p w14:paraId="18B56FDA" w14:textId="0C8074BB" w:rsidR="003C06CB" w:rsidRPr="00EB7AB3" w:rsidRDefault="003C06CB" w:rsidP="003C06CB">
      <w:pPr>
        <w:spacing w:line="360" w:lineRule="auto"/>
        <w:jc w:val="both"/>
        <w:rPr>
          <w:rFonts w:cstheme="minorHAnsi"/>
          <w:sz w:val="22"/>
          <w:szCs w:val="22"/>
        </w:rPr>
      </w:pPr>
      <w:r w:rsidRPr="00EB7AB3">
        <w:rPr>
          <w:rFonts w:cstheme="minorHAnsi"/>
          <w:sz w:val="22"/>
          <w:szCs w:val="22"/>
        </w:rPr>
        <w:t>Table 3.3</w:t>
      </w:r>
      <w:r>
        <w:rPr>
          <w:rFonts w:cstheme="minorHAnsi"/>
          <w:sz w:val="22"/>
          <w:szCs w:val="22"/>
        </w:rPr>
        <w:t>.</w:t>
      </w:r>
      <w:r w:rsidRPr="00EB7AB3">
        <w:rPr>
          <w:rFonts w:cstheme="minorHAnsi"/>
          <w:sz w:val="22"/>
          <w:szCs w:val="22"/>
        </w:rPr>
        <w:t xml:space="preserve"> </w:t>
      </w:r>
      <w:r w:rsidR="006B79C3" w:rsidRPr="00EB7AB3">
        <w:rPr>
          <w:rFonts w:cstheme="minorHAnsi"/>
          <w:sz w:val="22"/>
          <w:szCs w:val="22"/>
        </w:rPr>
        <w:t>summarizes</w:t>
      </w:r>
      <w:r w:rsidRPr="00EB7AB3">
        <w:rPr>
          <w:rFonts w:cstheme="minorHAnsi"/>
          <w:sz w:val="22"/>
          <w:szCs w:val="22"/>
        </w:rPr>
        <w:t xml:space="preserve"> key literature used to develop analytical themes in Chapter 4.</w:t>
      </w:r>
    </w:p>
    <w:p w14:paraId="0390C4EE" w14:textId="77777777" w:rsidR="003C06CB" w:rsidRPr="009D721F" w:rsidRDefault="003C06CB" w:rsidP="003C06CB">
      <w:pPr>
        <w:pStyle w:val="Heading2"/>
        <w:rPr>
          <w:rFonts w:asciiTheme="minorHAnsi" w:hAnsiTheme="minorHAnsi" w:cstheme="minorHAnsi"/>
          <w:b/>
          <w:bCs/>
          <w:color w:val="000000" w:themeColor="text1"/>
          <w:sz w:val="24"/>
          <w:szCs w:val="24"/>
        </w:rPr>
      </w:pPr>
      <w:bookmarkStart w:id="4" w:name="_Toc231703323"/>
      <w:r w:rsidRPr="009D721F">
        <w:rPr>
          <w:rFonts w:asciiTheme="minorHAnsi" w:hAnsiTheme="minorHAnsi" w:cstheme="minorHAnsi"/>
          <w:b/>
          <w:bCs/>
          <w:color w:val="000000" w:themeColor="text1"/>
          <w:sz w:val="24"/>
          <w:szCs w:val="24"/>
        </w:rPr>
        <w:lastRenderedPageBreak/>
        <w:t>3.4. Research validation</w:t>
      </w:r>
      <w:bookmarkEnd w:id="4"/>
      <w:r w:rsidRPr="009D721F">
        <w:rPr>
          <w:rFonts w:asciiTheme="minorHAnsi" w:hAnsiTheme="minorHAnsi" w:cstheme="minorHAnsi"/>
          <w:b/>
          <w:bCs/>
          <w:color w:val="000000" w:themeColor="text1"/>
          <w:sz w:val="24"/>
          <w:szCs w:val="24"/>
        </w:rPr>
        <w:t xml:space="preserve"> </w:t>
      </w:r>
    </w:p>
    <w:p w14:paraId="63DFA3EB"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Credibility has been addressed through a structured validation approach. Initially, titles, abstracts, and conclusions have been screened to determine relevance (Hart, 2018).</w:t>
      </w:r>
    </w:p>
    <w:p w14:paraId="15A056D3"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Reliability has been assessed using the CRAAP framework, which includes currency, relevance, authority, accuracy, and purpose (Blakeslee, 2004). Priority has been given to peer-reviewed and official sources of information.</w:t>
      </w:r>
    </w:p>
    <w:p w14:paraId="432F9812" w14:textId="399FF701" w:rsidR="003C06CB" w:rsidRPr="00EB7AB3" w:rsidRDefault="003C06CB" w:rsidP="003C06CB">
      <w:pPr>
        <w:spacing w:line="360" w:lineRule="auto"/>
        <w:jc w:val="both"/>
        <w:rPr>
          <w:rFonts w:cstheme="minorHAnsi"/>
          <w:sz w:val="22"/>
          <w:szCs w:val="22"/>
        </w:rPr>
      </w:pPr>
      <w:r w:rsidRPr="00EB7AB3">
        <w:rPr>
          <w:rFonts w:cstheme="minorHAnsi"/>
          <w:sz w:val="22"/>
          <w:szCs w:val="22"/>
        </w:rPr>
        <w:t xml:space="preserve">Sources that do not meet </w:t>
      </w:r>
      <w:r w:rsidR="006B79C3" w:rsidRPr="00EB7AB3">
        <w:rPr>
          <w:rFonts w:cstheme="minorHAnsi"/>
          <w:sz w:val="22"/>
          <w:szCs w:val="22"/>
        </w:rPr>
        <w:t>academic</w:t>
      </w:r>
      <w:r w:rsidRPr="00EB7AB3">
        <w:rPr>
          <w:rFonts w:cstheme="minorHAnsi"/>
          <w:sz w:val="22"/>
          <w:szCs w:val="22"/>
        </w:rPr>
        <w:t xml:space="preserve"> standards, such as blogs, have been excluded from the analysis to preserve the academic nature of the research and enhance its reliability (Gough et al., 2017).</w:t>
      </w:r>
    </w:p>
    <w:p w14:paraId="13E9C5F4" w14:textId="77777777" w:rsidR="003C06CB" w:rsidRPr="009D721F" w:rsidRDefault="003C06CB" w:rsidP="003C06CB">
      <w:pPr>
        <w:pStyle w:val="Heading2"/>
        <w:rPr>
          <w:rFonts w:asciiTheme="minorHAnsi" w:hAnsiTheme="minorHAnsi" w:cstheme="minorHAnsi"/>
          <w:b/>
          <w:bCs/>
          <w:color w:val="000000" w:themeColor="text1"/>
          <w:sz w:val="24"/>
          <w:szCs w:val="24"/>
        </w:rPr>
      </w:pPr>
      <w:bookmarkStart w:id="5" w:name="_Toc231703324"/>
      <w:r w:rsidRPr="009D721F">
        <w:rPr>
          <w:rFonts w:asciiTheme="minorHAnsi" w:hAnsiTheme="minorHAnsi" w:cstheme="minorHAnsi"/>
          <w:b/>
          <w:bCs/>
          <w:color w:val="000000" w:themeColor="text1"/>
          <w:sz w:val="24"/>
          <w:szCs w:val="24"/>
        </w:rPr>
        <w:t>3.5. Inclusion and exclusion criteria</w:t>
      </w:r>
      <w:bookmarkEnd w:id="5"/>
      <w:r w:rsidRPr="009D721F">
        <w:rPr>
          <w:rFonts w:asciiTheme="minorHAnsi" w:hAnsiTheme="minorHAnsi" w:cstheme="minorHAnsi"/>
          <w:b/>
          <w:bCs/>
          <w:color w:val="000000" w:themeColor="text1"/>
          <w:sz w:val="24"/>
          <w:szCs w:val="24"/>
        </w:rPr>
        <w:t xml:space="preserve"> </w:t>
      </w:r>
    </w:p>
    <w:p w14:paraId="0A5BEC33" w14:textId="05D1ECF8" w:rsidR="003C06CB" w:rsidRPr="00EB7AB3" w:rsidRDefault="003C06CB" w:rsidP="003C06CB">
      <w:pPr>
        <w:spacing w:line="360" w:lineRule="auto"/>
        <w:jc w:val="both"/>
        <w:rPr>
          <w:rFonts w:cstheme="minorHAnsi"/>
          <w:sz w:val="22"/>
          <w:szCs w:val="22"/>
        </w:rPr>
      </w:pPr>
      <w:r w:rsidRPr="00EB7AB3">
        <w:rPr>
          <w:rFonts w:cstheme="minorHAnsi"/>
          <w:sz w:val="22"/>
          <w:szCs w:val="22"/>
        </w:rPr>
        <w:t xml:space="preserve">Criteria for including and excluding literature in the research have been clearly formulated </w:t>
      </w:r>
      <w:r w:rsidR="009943FA" w:rsidRPr="00EB7AB3">
        <w:rPr>
          <w:rFonts w:cstheme="minorHAnsi"/>
          <w:sz w:val="22"/>
          <w:szCs w:val="22"/>
        </w:rPr>
        <w:t>to</w:t>
      </w:r>
      <w:r w:rsidRPr="00EB7AB3">
        <w:rPr>
          <w:rFonts w:cstheme="minorHAnsi"/>
          <w:sz w:val="22"/>
          <w:szCs w:val="22"/>
        </w:rPr>
        <w:t xml:space="preserve"> keep the research focused and ensure high-quality sources are chosen. The inclusion criteria for the selection include peer-reviewed journal articles, governmental sources, and organizational reports, covering the period between 2014 and 2025 (except seminal/theoretical works). Priorities will be given to sources examining the problem of dementia in adults over 65 in the United Kingdom.</w:t>
      </w:r>
    </w:p>
    <w:p w14:paraId="038109BE"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The exclusion criteria include studies on younger samples, materials not written in English, outdated publications, sources that lack academic credibility (such as blogs and opinions), and literature discussing issues other than dementia.</w:t>
      </w:r>
    </w:p>
    <w:p w14:paraId="085F6DC2" w14:textId="77777777" w:rsidR="003C06CB" w:rsidRPr="00EB7AB3" w:rsidRDefault="003C06CB" w:rsidP="003C06CB">
      <w:pPr>
        <w:spacing w:line="360" w:lineRule="auto"/>
        <w:jc w:val="both"/>
        <w:rPr>
          <w:rFonts w:cstheme="minorHAnsi"/>
          <w:b/>
          <w:bCs/>
          <w:sz w:val="22"/>
          <w:szCs w:val="22"/>
        </w:rPr>
      </w:pPr>
      <w:r w:rsidRPr="00EB7AB3">
        <w:rPr>
          <w:rFonts w:cstheme="minorHAnsi"/>
          <w:b/>
          <w:bCs/>
          <w:sz w:val="22"/>
          <w:szCs w:val="22"/>
        </w:rPr>
        <w:t>Table 3.2 Inclusion and Exclusion Criteria</w:t>
      </w:r>
    </w:p>
    <w:tbl>
      <w:tblPr>
        <w:tblStyle w:val="TableGrid"/>
        <w:tblW w:w="0" w:type="auto"/>
        <w:tblLook w:val="04A0" w:firstRow="1" w:lastRow="0" w:firstColumn="1" w:lastColumn="0" w:noHBand="0" w:noVBand="1"/>
      </w:tblPr>
      <w:tblGrid>
        <w:gridCol w:w="2688"/>
        <w:gridCol w:w="4448"/>
      </w:tblGrid>
      <w:tr w:rsidR="003C06CB" w:rsidRPr="00EB7AB3" w14:paraId="784EC8F5" w14:textId="77777777" w:rsidTr="006B673C">
        <w:tc>
          <w:tcPr>
            <w:tcW w:w="0" w:type="auto"/>
            <w:hideMark/>
          </w:tcPr>
          <w:p w14:paraId="500253A3" w14:textId="77777777" w:rsidR="003C06CB" w:rsidRPr="00EB7AB3" w:rsidRDefault="003C06CB" w:rsidP="006B673C">
            <w:pPr>
              <w:spacing w:line="360" w:lineRule="auto"/>
              <w:jc w:val="both"/>
              <w:rPr>
                <w:rFonts w:cstheme="minorHAnsi"/>
                <w:b/>
                <w:bCs/>
                <w:sz w:val="22"/>
                <w:szCs w:val="22"/>
              </w:rPr>
            </w:pPr>
            <w:r w:rsidRPr="00EB7AB3">
              <w:rPr>
                <w:rFonts w:cstheme="minorHAnsi"/>
                <w:b/>
                <w:bCs/>
                <w:sz w:val="22"/>
                <w:szCs w:val="22"/>
              </w:rPr>
              <w:t>Inclusion Criteria</w:t>
            </w:r>
          </w:p>
        </w:tc>
        <w:tc>
          <w:tcPr>
            <w:tcW w:w="0" w:type="auto"/>
            <w:hideMark/>
          </w:tcPr>
          <w:p w14:paraId="044F7BD8" w14:textId="77777777" w:rsidR="003C06CB" w:rsidRPr="00EB7AB3" w:rsidRDefault="003C06CB" w:rsidP="006B673C">
            <w:pPr>
              <w:spacing w:line="360" w:lineRule="auto"/>
              <w:jc w:val="both"/>
              <w:rPr>
                <w:rFonts w:cstheme="minorHAnsi"/>
                <w:b/>
                <w:bCs/>
                <w:sz w:val="22"/>
                <w:szCs w:val="22"/>
              </w:rPr>
            </w:pPr>
            <w:r w:rsidRPr="00EB7AB3">
              <w:rPr>
                <w:rFonts w:cstheme="minorHAnsi"/>
                <w:b/>
                <w:bCs/>
                <w:sz w:val="22"/>
                <w:szCs w:val="22"/>
              </w:rPr>
              <w:t>Exclusion Criteria</w:t>
            </w:r>
          </w:p>
        </w:tc>
      </w:tr>
      <w:tr w:rsidR="003C06CB" w:rsidRPr="00EB7AB3" w14:paraId="76D275E4" w14:textId="77777777" w:rsidTr="006B673C">
        <w:tc>
          <w:tcPr>
            <w:tcW w:w="0" w:type="auto"/>
            <w:hideMark/>
          </w:tcPr>
          <w:p w14:paraId="018067C1"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Peer-reviewed (2014–2025)</w:t>
            </w:r>
          </w:p>
        </w:tc>
        <w:tc>
          <w:tcPr>
            <w:tcW w:w="0" w:type="auto"/>
            <w:hideMark/>
          </w:tcPr>
          <w:p w14:paraId="3618F742"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Before 2014 (except seminal/theoretical works)</w:t>
            </w:r>
          </w:p>
        </w:tc>
      </w:tr>
      <w:tr w:rsidR="003C06CB" w:rsidRPr="00EB7AB3" w14:paraId="5E64F10C" w14:textId="77777777" w:rsidTr="006B673C">
        <w:tc>
          <w:tcPr>
            <w:tcW w:w="0" w:type="auto"/>
            <w:hideMark/>
          </w:tcPr>
          <w:p w14:paraId="0301AC1C"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UK or comparable context</w:t>
            </w:r>
          </w:p>
        </w:tc>
        <w:tc>
          <w:tcPr>
            <w:tcW w:w="0" w:type="auto"/>
            <w:hideMark/>
          </w:tcPr>
          <w:p w14:paraId="72346072"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Non-English sources</w:t>
            </w:r>
          </w:p>
        </w:tc>
      </w:tr>
      <w:tr w:rsidR="003C06CB" w:rsidRPr="00EB7AB3" w14:paraId="4ACBC1A4" w14:textId="77777777" w:rsidTr="006B673C">
        <w:tc>
          <w:tcPr>
            <w:tcW w:w="0" w:type="auto"/>
            <w:hideMark/>
          </w:tcPr>
          <w:p w14:paraId="61803F09"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Dementia and QoL focus</w:t>
            </w:r>
          </w:p>
        </w:tc>
        <w:tc>
          <w:tcPr>
            <w:tcW w:w="0" w:type="auto"/>
            <w:hideMark/>
          </w:tcPr>
          <w:p w14:paraId="0FFF28C5"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Irrelevant conditions</w:t>
            </w:r>
          </w:p>
        </w:tc>
      </w:tr>
      <w:tr w:rsidR="003C06CB" w:rsidRPr="00EB7AB3" w14:paraId="356C1A70" w14:textId="77777777" w:rsidTr="006B673C">
        <w:tc>
          <w:tcPr>
            <w:tcW w:w="0" w:type="auto"/>
            <w:hideMark/>
          </w:tcPr>
          <w:p w14:paraId="05D093A3"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Adults aged 65+</w:t>
            </w:r>
          </w:p>
        </w:tc>
        <w:tc>
          <w:tcPr>
            <w:tcW w:w="0" w:type="auto"/>
            <w:hideMark/>
          </w:tcPr>
          <w:p w14:paraId="2DBC8CA3" w14:textId="77777777" w:rsidR="003C06CB" w:rsidRPr="00EB7AB3" w:rsidRDefault="003C06CB" w:rsidP="006B673C">
            <w:pPr>
              <w:spacing w:line="360" w:lineRule="auto"/>
              <w:jc w:val="both"/>
              <w:rPr>
                <w:rFonts w:cstheme="minorHAnsi"/>
                <w:sz w:val="22"/>
                <w:szCs w:val="22"/>
              </w:rPr>
            </w:pPr>
            <w:r w:rsidRPr="00EB7AB3">
              <w:rPr>
                <w:rFonts w:cstheme="minorHAnsi"/>
                <w:sz w:val="22"/>
                <w:szCs w:val="22"/>
              </w:rPr>
              <w:t>Younger populations</w:t>
            </w:r>
          </w:p>
        </w:tc>
      </w:tr>
    </w:tbl>
    <w:p w14:paraId="0F3F10A2"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These criteria ensured relevance, consistency, and high-quality evidence selection (Aveyard, 2019; Booth et al., 2016).</w:t>
      </w:r>
    </w:p>
    <w:p w14:paraId="016DD772" w14:textId="4CCBD6E1" w:rsidR="003C06CB" w:rsidRPr="009D721F" w:rsidRDefault="003C06CB" w:rsidP="003C06CB">
      <w:pPr>
        <w:pStyle w:val="Heading2"/>
        <w:rPr>
          <w:rFonts w:asciiTheme="minorHAnsi" w:hAnsiTheme="minorHAnsi" w:cstheme="minorHAnsi"/>
          <w:b/>
          <w:bCs/>
          <w:color w:val="000000" w:themeColor="text1"/>
          <w:sz w:val="24"/>
          <w:szCs w:val="24"/>
        </w:rPr>
      </w:pPr>
      <w:bookmarkStart w:id="6" w:name="_Toc231703325"/>
      <w:r w:rsidRPr="009D721F">
        <w:rPr>
          <w:rFonts w:asciiTheme="minorHAnsi" w:hAnsiTheme="minorHAnsi" w:cstheme="minorHAnsi"/>
          <w:b/>
          <w:bCs/>
          <w:color w:val="000000" w:themeColor="text1"/>
          <w:sz w:val="24"/>
          <w:szCs w:val="24"/>
        </w:rPr>
        <w:t xml:space="preserve">3.6. </w:t>
      </w:r>
      <w:r w:rsidR="009943FA" w:rsidRPr="009D721F">
        <w:rPr>
          <w:rFonts w:asciiTheme="minorHAnsi" w:hAnsiTheme="minorHAnsi" w:cstheme="minorHAnsi"/>
          <w:b/>
          <w:bCs/>
          <w:color w:val="000000" w:themeColor="text1"/>
          <w:sz w:val="24"/>
          <w:szCs w:val="24"/>
        </w:rPr>
        <w:t>Analyzing</w:t>
      </w:r>
      <w:r w:rsidRPr="009D721F">
        <w:rPr>
          <w:rFonts w:asciiTheme="minorHAnsi" w:hAnsiTheme="minorHAnsi" w:cstheme="minorHAnsi"/>
          <w:b/>
          <w:bCs/>
          <w:color w:val="000000" w:themeColor="text1"/>
          <w:sz w:val="24"/>
          <w:szCs w:val="24"/>
        </w:rPr>
        <w:t xml:space="preserve"> research</w:t>
      </w:r>
      <w:bookmarkEnd w:id="6"/>
      <w:r w:rsidRPr="009D721F">
        <w:rPr>
          <w:rFonts w:asciiTheme="minorHAnsi" w:hAnsiTheme="minorHAnsi" w:cstheme="minorHAnsi"/>
          <w:b/>
          <w:bCs/>
          <w:color w:val="000000" w:themeColor="text1"/>
          <w:sz w:val="24"/>
          <w:szCs w:val="24"/>
        </w:rPr>
        <w:t xml:space="preserve"> </w:t>
      </w:r>
    </w:p>
    <w:p w14:paraId="6DEED38E"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For literature analysis, the thematic analysis technique was used since it is efficient in discovering recurring patterns in qualitative research (Braun and Clarke, 2006).</w:t>
      </w:r>
    </w:p>
    <w:p w14:paraId="7E36CFB1" w14:textId="59BBF9FE" w:rsidR="003C06CB" w:rsidRPr="00EB7AB3" w:rsidRDefault="003C06CB" w:rsidP="003C06CB">
      <w:pPr>
        <w:spacing w:line="360" w:lineRule="auto"/>
        <w:jc w:val="both"/>
        <w:rPr>
          <w:rFonts w:cstheme="minorHAnsi"/>
          <w:sz w:val="22"/>
          <w:szCs w:val="22"/>
        </w:rPr>
      </w:pPr>
      <w:r w:rsidRPr="00EB7AB3">
        <w:rPr>
          <w:rFonts w:cstheme="minorHAnsi"/>
          <w:sz w:val="22"/>
          <w:szCs w:val="22"/>
        </w:rPr>
        <w:lastRenderedPageBreak/>
        <w:t xml:space="preserve">At the coding stage, recurrent themes of cognitive changes, physical deterioration, mental health, social isolation, and access to medical care emerged. They were divided into three major categories, which corresponded to physical, psychological, and social aspects of </w:t>
      </w:r>
      <w:r w:rsidR="009943FA" w:rsidRPr="00EB7AB3">
        <w:rPr>
          <w:rFonts w:cstheme="minorHAnsi"/>
          <w:sz w:val="22"/>
          <w:szCs w:val="22"/>
        </w:rPr>
        <w:t>QoL</w:t>
      </w:r>
      <w:r w:rsidRPr="00EB7AB3">
        <w:rPr>
          <w:rFonts w:cstheme="minorHAnsi"/>
          <w:sz w:val="22"/>
          <w:szCs w:val="22"/>
        </w:rPr>
        <w:t>.</w:t>
      </w:r>
    </w:p>
    <w:p w14:paraId="17CAAE44" w14:textId="11A89FD1" w:rsidR="003C06CB" w:rsidRPr="00EB7AB3" w:rsidRDefault="003C06CB" w:rsidP="003C06CB">
      <w:pPr>
        <w:spacing w:line="360" w:lineRule="auto"/>
        <w:jc w:val="both"/>
        <w:rPr>
          <w:rFonts w:cstheme="minorHAnsi"/>
          <w:sz w:val="22"/>
          <w:szCs w:val="22"/>
        </w:rPr>
      </w:pPr>
      <w:r w:rsidRPr="00EB7AB3">
        <w:rPr>
          <w:rFonts w:cstheme="minorHAnsi"/>
          <w:sz w:val="22"/>
          <w:szCs w:val="22"/>
        </w:rPr>
        <w:t xml:space="preserve">Coding techniques and </w:t>
      </w:r>
      <w:r w:rsidR="009943FA" w:rsidRPr="00EB7AB3">
        <w:rPr>
          <w:rFonts w:cstheme="minorHAnsi"/>
          <w:sz w:val="22"/>
          <w:szCs w:val="22"/>
        </w:rPr>
        <w:t>color</w:t>
      </w:r>
      <w:r w:rsidRPr="00EB7AB3">
        <w:rPr>
          <w:rFonts w:cstheme="minorHAnsi"/>
          <w:sz w:val="22"/>
          <w:szCs w:val="22"/>
        </w:rPr>
        <w:t xml:space="preserve"> classification were used for greater transparency and consistent interpretation to compare the results obtained in different studies (Nowell et al., 2017).</w:t>
      </w:r>
    </w:p>
    <w:p w14:paraId="558C2F02" w14:textId="77777777" w:rsidR="003C06CB" w:rsidRPr="00EB7AB3" w:rsidRDefault="003C06CB" w:rsidP="003C06CB">
      <w:pPr>
        <w:spacing w:line="360" w:lineRule="auto"/>
        <w:jc w:val="both"/>
        <w:rPr>
          <w:rFonts w:cstheme="minorHAnsi"/>
          <w:sz w:val="22"/>
          <w:szCs w:val="22"/>
        </w:rPr>
      </w:pPr>
    </w:p>
    <w:p w14:paraId="7DF4446D" w14:textId="77777777" w:rsidR="003C06CB" w:rsidRPr="009D721F" w:rsidRDefault="003C06CB" w:rsidP="003C06CB">
      <w:pPr>
        <w:pStyle w:val="Heading2"/>
        <w:rPr>
          <w:rFonts w:asciiTheme="minorHAnsi" w:hAnsiTheme="minorHAnsi" w:cstheme="minorHAnsi"/>
          <w:b/>
          <w:bCs/>
          <w:color w:val="000000" w:themeColor="text1"/>
          <w:sz w:val="24"/>
          <w:szCs w:val="24"/>
        </w:rPr>
      </w:pPr>
      <w:bookmarkStart w:id="7" w:name="_Toc231703326"/>
      <w:r w:rsidRPr="009D721F">
        <w:rPr>
          <w:rFonts w:asciiTheme="minorHAnsi" w:hAnsiTheme="minorHAnsi" w:cstheme="minorHAnsi"/>
          <w:b/>
          <w:bCs/>
          <w:color w:val="000000" w:themeColor="text1"/>
          <w:sz w:val="24"/>
          <w:szCs w:val="24"/>
        </w:rPr>
        <w:t>3.7. Ethical consideration</w:t>
      </w:r>
      <w:bookmarkEnd w:id="7"/>
      <w:r w:rsidRPr="009D721F">
        <w:rPr>
          <w:rFonts w:asciiTheme="minorHAnsi" w:hAnsiTheme="minorHAnsi" w:cstheme="minorHAnsi"/>
          <w:b/>
          <w:bCs/>
          <w:color w:val="000000" w:themeColor="text1"/>
          <w:sz w:val="24"/>
          <w:szCs w:val="24"/>
        </w:rPr>
        <w:t xml:space="preserve"> </w:t>
      </w:r>
    </w:p>
    <w:p w14:paraId="1EF20E99"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The present study did not involve any primary data; therefore, there was no ethical risk at all.</w:t>
      </w:r>
    </w:p>
    <w:p w14:paraId="4726C6F1"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Ethical requirements were ensured by using appropriate referencing and proper citations, avoiding plagiarism. Only reputable and ethically conducted scientific articles were selected (Resnik, 2018).</w:t>
      </w:r>
    </w:p>
    <w:p w14:paraId="35AAF0B4"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Interpretation of findings was always based on evidence and remained objective throughout the research process.</w:t>
      </w:r>
    </w:p>
    <w:p w14:paraId="79E10B78" w14:textId="77777777" w:rsidR="003C06CB" w:rsidRPr="00EB7AB3" w:rsidRDefault="003C06CB" w:rsidP="003C06CB">
      <w:pPr>
        <w:spacing w:line="360" w:lineRule="auto"/>
        <w:jc w:val="both"/>
        <w:rPr>
          <w:rFonts w:cstheme="minorHAnsi"/>
          <w:sz w:val="22"/>
          <w:szCs w:val="22"/>
        </w:rPr>
      </w:pPr>
    </w:p>
    <w:p w14:paraId="4981F1E1" w14:textId="77777777" w:rsidR="003C06CB" w:rsidRPr="009D721F" w:rsidRDefault="003C06CB" w:rsidP="003C06CB">
      <w:pPr>
        <w:pStyle w:val="Heading2"/>
        <w:rPr>
          <w:rFonts w:asciiTheme="minorHAnsi" w:hAnsiTheme="minorHAnsi" w:cstheme="minorHAnsi"/>
          <w:b/>
          <w:bCs/>
          <w:color w:val="000000" w:themeColor="text1"/>
          <w:sz w:val="24"/>
          <w:szCs w:val="24"/>
        </w:rPr>
      </w:pPr>
      <w:bookmarkStart w:id="8" w:name="_Toc231703327"/>
      <w:r w:rsidRPr="009D721F">
        <w:rPr>
          <w:rFonts w:asciiTheme="minorHAnsi" w:hAnsiTheme="minorHAnsi" w:cstheme="minorHAnsi"/>
          <w:b/>
          <w:bCs/>
          <w:color w:val="000000" w:themeColor="text1"/>
          <w:sz w:val="24"/>
          <w:szCs w:val="24"/>
        </w:rPr>
        <w:t>3.8. Conclusion</w:t>
      </w:r>
      <w:bookmarkEnd w:id="8"/>
    </w:p>
    <w:p w14:paraId="1929252C" w14:textId="77777777" w:rsidR="003C06CB" w:rsidRPr="00EB7AB3" w:rsidRDefault="003C06CB" w:rsidP="003C06CB">
      <w:pPr>
        <w:spacing w:line="360" w:lineRule="auto"/>
        <w:jc w:val="both"/>
        <w:rPr>
          <w:rFonts w:cstheme="minorHAnsi"/>
          <w:sz w:val="22"/>
          <w:szCs w:val="22"/>
        </w:rPr>
      </w:pPr>
      <w:r w:rsidRPr="00EB7AB3">
        <w:rPr>
          <w:rFonts w:cstheme="minorHAnsi"/>
          <w:sz w:val="22"/>
          <w:szCs w:val="22"/>
        </w:rPr>
        <w:t>In this chapter, the methodology was presented, covering the search procedure, validation, criteria for inclusion, and analysis.</w:t>
      </w:r>
    </w:p>
    <w:p w14:paraId="5A83DA0E" w14:textId="0B030B05" w:rsidR="003C06CB" w:rsidRPr="00EB7AB3" w:rsidRDefault="003C06CB" w:rsidP="003C06CB">
      <w:pPr>
        <w:spacing w:line="360" w:lineRule="auto"/>
        <w:jc w:val="both"/>
        <w:rPr>
          <w:rFonts w:cstheme="minorHAnsi"/>
          <w:sz w:val="22"/>
          <w:szCs w:val="22"/>
        </w:rPr>
      </w:pPr>
      <w:r w:rsidRPr="00EB7AB3">
        <w:rPr>
          <w:rFonts w:cstheme="minorHAnsi"/>
          <w:sz w:val="22"/>
          <w:szCs w:val="22"/>
        </w:rPr>
        <w:t xml:space="preserve">Through </w:t>
      </w:r>
      <w:r w:rsidR="009943FA" w:rsidRPr="00EB7AB3">
        <w:rPr>
          <w:rFonts w:cstheme="minorHAnsi"/>
          <w:sz w:val="22"/>
          <w:szCs w:val="22"/>
        </w:rPr>
        <w:t>systematic</w:t>
      </w:r>
      <w:r w:rsidRPr="00EB7AB3">
        <w:rPr>
          <w:rFonts w:cstheme="minorHAnsi"/>
          <w:sz w:val="22"/>
          <w:szCs w:val="22"/>
        </w:rPr>
        <w:t xml:space="preserve"> selection, credible sources were only selected for further use. Thematic analysis helped identify recurrent patterns concerning </w:t>
      </w:r>
      <w:r w:rsidR="009943FA" w:rsidRPr="00EB7AB3">
        <w:rPr>
          <w:rFonts w:cstheme="minorHAnsi"/>
          <w:sz w:val="22"/>
          <w:szCs w:val="22"/>
        </w:rPr>
        <w:t>QoL</w:t>
      </w:r>
      <w:r w:rsidRPr="00EB7AB3">
        <w:rPr>
          <w:rFonts w:cstheme="minorHAnsi"/>
          <w:sz w:val="22"/>
          <w:szCs w:val="22"/>
        </w:rPr>
        <w:t xml:space="preserve"> and its aspects related to dementia. The findings provided a basis for Chapter 4.</w:t>
      </w:r>
    </w:p>
    <w:p w14:paraId="550267DE" w14:textId="77777777" w:rsidR="00233B24" w:rsidRDefault="00233B24"/>
    <w:p w14:paraId="3A160656" w14:textId="77777777" w:rsidR="003C06CB" w:rsidRDefault="003C06CB"/>
    <w:p w14:paraId="1384A5B2" w14:textId="77777777" w:rsidR="003C06CB" w:rsidRDefault="003C06CB" w:rsidP="003C06CB">
      <w:pPr>
        <w:rPr>
          <w:b/>
          <w:bCs/>
        </w:rPr>
      </w:pPr>
    </w:p>
    <w:p w14:paraId="2B09F599" w14:textId="77777777" w:rsidR="003C06CB" w:rsidRDefault="003C06CB" w:rsidP="003C06CB">
      <w:pPr>
        <w:rPr>
          <w:b/>
          <w:bCs/>
        </w:rPr>
      </w:pPr>
    </w:p>
    <w:p w14:paraId="3544B553" w14:textId="77777777" w:rsidR="003C06CB" w:rsidRDefault="003C06CB" w:rsidP="003C06CB">
      <w:pPr>
        <w:rPr>
          <w:b/>
          <w:bCs/>
        </w:rPr>
      </w:pPr>
    </w:p>
    <w:p w14:paraId="0DB8DAF4" w14:textId="77777777" w:rsidR="00641FC5" w:rsidRDefault="00641FC5" w:rsidP="003C06CB">
      <w:pPr>
        <w:rPr>
          <w:b/>
          <w:bCs/>
        </w:rPr>
      </w:pPr>
    </w:p>
    <w:p w14:paraId="34B36593" w14:textId="77777777" w:rsidR="00641FC5" w:rsidRDefault="00641FC5" w:rsidP="003C06CB">
      <w:pPr>
        <w:rPr>
          <w:b/>
          <w:bCs/>
        </w:rPr>
      </w:pPr>
    </w:p>
    <w:p w14:paraId="51344A76" w14:textId="77777777" w:rsidR="00641FC5" w:rsidRDefault="00641FC5" w:rsidP="003C06CB">
      <w:pPr>
        <w:rPr>
          <w:b/>
          <w:bCs/>
        </w:rPr>
      </w:pPr>
    </w:p>
    <w:p w14:paraId="37A3C2B0" w14:textId="614C8FC4" w:rsidR="003C06CB" w:rsidRPr="004C1014" w:rsidRDefault="003C06CB" w:rsidP="003C06CB">
      <w:pPr>
        <w:rPr>
          <w:b/>
          <w:bCs/>
        </w:rPr>
      </w:pPr>
      <w:r w:rsidRPr="004C1014">
        <w:rPr>
          <w:b/>
          <w:bCs/>
        </w:rPr>
        <w:lastRenderedPageBreak/>
        <w:t xml:space="preserve">References </w:t>
      </w:r>
    </w:p>
    <w:p w14:paraId="3B270BDF" w14:textId="77777777" w:rsidR="003C06CB" w:rsidRPr="004C1014" w:rsidRDefault="003C06CB" w:rsidP="003C06CB">
      <w:r w:rsidRPr="004C1014">
        <w:t xml:space="preserve">Aveyard, H. (2019) </w:t>
      </w:r>
      <w:r w:rsidRPr="004C1014">
        <w:rPr>
          <w:i/>
          <w:iCs/>
        </w:rPr>
        <w:t>Doing a literature review in health and social care</w:t>
      </w:r>
      <w:r w:rsidRPr="004C1014">
        <w:t>. 4th edn. Maidenhead: Open University Press.</w:t>
      </w:r>
    </w:p>
    <w:p w14:paraId="63FF3025" w14:textId="77777777" w:rsidR="003C06CB" w:rsidRPr="004C1014" w:rsidRDefault="003C06CB" w:rsidP="003C06CB">
      <w:r w:rsidRPr="004C1014">
        <w:t xml:space="preserve">Blakeslee, S. (2004) ‘The CRAAP test’, </w:t>
      </w:r>
      <w:r w:rsidRPr="004C1014">
        <w:rPr>
          <w:i/>
          <w:iCs/>
        </w:rPr>
        <w:t>LOEX Quarterly</w:t>
      </w:r>
      <w:r w:rsidRPr="004C1014">
        <w:t>, 31(3), pp. 6–7.</w:t>
      </w:r>
    </w:p>
    <w:p w14:paraId="4FE6D5E1" w14:textId="77777777" w:rsidR="003C06CB" w:rsidRPr="004C1014" w:rsidRDefault="003C06CB" w:rsidP="003C06CB">
      <w:r w:rsidRPr="004C1014">
        <w:t xml:space="preserve">Booth, A., Sutton, A. and Papaioannou, D. (2016) </w:t>
      </w:r>
      <w:r w:rsidRPr="004C1014">
        <w:rPr>
          <w:i/>
          <w:iCs/>
        </w:rPr>
        <w:t>Systematic approaches to a successful literature review</w:t>
      </w:r>
      <w:r w:rsidRPr="004C1014">
        <w:t>. London: Sage.</w:t>
      </w:r>
    </w:p>
    <w:p w14:paraId="65A7FBCB" w14:textId="77777777" w:rsidR="003C06CB" w:rsidRPr="004C1014" w:rsidRDefault="003C06CB" w:rsidP="003C06CB">
      <w:r w:rsidRPr="004C1014">
        <w:t xml:space="preserve">Braun, V. and Clarke, V. (2006) ‘Using thematic analysis in psychology’, </w:t>
      </w:r>
      <w:r w:rsidRPr="004C1014">
        <w:rPr>
          <w:i/>
          <w:iCs/>
        </w:rPr>
        <w:t>Qualitative Research in Psychology</w:t>
      </w:r>
      <w:r w:rsidRPr="004C1014">
        <w:t>, 3(2), pp. 77–101.</w:t>
      </w:r>
    </w:p>
    <w:p w14:paraId="78737987" w14:textId="77777777" w:rsidR="003C06CB" w:rsidRPr="004C1014" w:rsidRDefault="003C06CB" w:rsidP="003C06CB">
      <w:r w:rsidRPr="004C1014">
        <w:t xml:space="preserve">Gough, D., Oliver, S. and Thomas, J. (2017) </w:t>
      </w:r>
      <w:r w:rsidRPr="004C1014">
        <w:rPr>
          <w:i/>
          <w:iCs/>
        </w:rPr>
        <w:t>An introduction to systematic reviews</w:t>
      </w:r>
      <w:r w:rsidRPr="004C1014">
        <w:t>. London: Sage.</w:t>
      </w:r>
    </w:p>
    <w:p w14:paraId="010A27A2" w14:textId="77777777" w:rsidR="003C06CB" w:rsidRPr="004C1014" w:rsidRDefault="003C06CB" w:rsidP="003C06CB">
      <w:r w:rsidRPr="004C1014">
        <w:t xml:space="preserve">Hart, C. (2018) </w:t>
      </w:r>
      <w:r w:rsidRPr="004C1014">
        <w:rPr>
          <w:i/>
          <w:iCs/>
        </w:rPr>
        <w:t>Doing a literature review: releasing the research imagination</w:t>
      </w:r>
      <w:r w:rsidRPr="004C1014">
        <w:t>. London: Sage.</w:t>
      </w:r>
    </w:p>
    <w:p w14:paraId="7D9F216D" w14:textId="77777777" w:rsidR="003C06CB" w:rsidRPr="004C1014" w:rsidRDefault="003C06CB" w:rsidP="003C06CB">
      <w:r w:rsidRPr="004C1014">
        <w:t xml:space="preserve">Kitwood, T. (1997) </w:t>
      </w:r>
      <w:r w:rsidRPr="004C1014">
        <w:rPr>
          <w:i/>
          <w:iCs/>
        </w:rPr>
        <w:t>Dementia reconsidered: the person comes first</w:t>
      </w:r>
      <w:r w:rsidRPr="004C1014">
        <w:t>. Buckingham: Open University Press.</w:t>
      </w:r>
    </w:p>
    <w:p w14:paraId="5CD25FEA" w14:textId="77777777" w:rsidR="003C06CB" w:rsidRPr="004C1014" w:rsidRDefault="003C06CB" w:rsidP="003C06CB">
      <w:r w:rsidRPr="004C1014">
        <w:t xml:space="preserve">Livingston, G. et al. (2020) ‘Dementia prevention, intervention, and care’, </w:t>
      </w:r>
      <w:r w:rsidRPr="004C1014">
        <w:rPr>
          <w:i/>
          <w:iCs/>
        </w:rPr>
        <w:t>The Lancet</w:t>
      </w:r>
      <w:r w:rsidRPr="004C1014">
        <w:t>, 396(10248), pp. 413–446.</w:t>
      </w:r>
    </w:p>
    <w:p w14:paraId="0DB6690E" w14:textId="77777777" w:rsidR="003C06CB" w:rsidRPr="004C1014" w:rsidRDefault="003C06CB" w:rsidP="003C06CB">
      <w:r w:rsidRPr="004C1014">
        <w:t xml:space="preserve">Marmot, M. (2010) </w:t>
      </w:r>
      <w:r w:rsidRPr="004C1014">
        <w:rPr>
          <w:i/>
          <w:iCs/>
        </w:rPr>
        <w:t>Fair society, healthy lives: the Marmot review</w:t>
      </w:r>
      <w:r w:rsidRPr="004C1014">
        <w:t>. London: Marmot Review.</w:t>
      </w:r>
    </w:p>
    <w:p w14:paraId="29E8F7C8" w14:textId="77777777" w:rsidR="003C06CB" w:rsidRPr="004C1014" w:rsidRDefault="003C06CB" w:rsidP="003C06CB">
      <w:r w:rsidRPr="004C1014">
        <w:t xml:space="preserve">National Health Service (NHS) (2022) </w:t>
      </w:r>
      <w:r w:rsidRPr="004C1014">
        <w:rPr>
          <w:i/>
          <w:iCs/>
        </w:rPr>
        <w:t>Dementia care and support</w:t>
      </w:r>
      <w:r w:rsidRPr="004C1014">
        <w:t>. London: NHS.</w:t>
      </w:r>
    </w:p>
    <w:p w14:paraId="69768840" w14:textId="77777777" w:rsidR="003C06CB" w:rsidRPr="004C1014" w:rsidRDefault="003C06CB" w:rsidP="003C06CB">
      <w:r w:rsidRPr="004C1014">
        <w:t xml:space="preserve">National Institute for Health and Care Excellence (NICE) (2018) </w:t>
      </w:r>
      <w:r w:rsidRPr="004C1014">
        <w:rPr>
          <w:i/>
          <w:iCs/>
        </w:rPr>
        <w:t>Dementia: assessment, management and support</w:t>
      </w:r>
      <w:r w:rsidRPr="004C1014">
        <w:t>. London: NICE.</w:t>
      </w:r>
    </w:p>
    <w:p w14:paraId="0355DBDE" w14:textId="77777777" w:rsidR="003C06CB" w:rsidRPr="004C1014" w:rsidRDefault="003C06CB" w:rsidP="003C06CB">
      <w:r w:rsidRPr="004C1014">
        <w:t xml:space="preserve">Nowell, L.S. et al. (2017) ‘Thematic analysis: striving to meet the trustworthiness criteria’, </w:t>
      </w:r>
      <w:r w:rsidRPr="004C1014">
        <w:rPr>
          <w:i/>
          <w:iCs/>
        </w:rPr>
        <w:t>International Journal of Qualitative Methods</w:t>
      </w:r>
      <w:r w:rsidRPr="004C1014">
        <w:t>, 16(1), pp. 1–13.</w:t>
      </w:r>
    </w:p>
    <w:p w14:paraId="0FE0743F" w14:textId="77777777" w:rsidR="003C06CB" w:rsidRPr="004C1014" w:rsidRDefault="003C06CB" w:rsidP="003C06CB">
      <w:r w:rsidRPr="004C1014">
        <w:t xml:space="preserve">Office for National Statistics (ONS) (2021) </w:t>
      </w:r>
      <w:r w:rsidRPr="004C1014">
        <w:rPr>
          <w:i/>
          <w:iCs/>
        </w:rPr>
        <w:t>Population ageing in England</w:t>
      </w:r>
      <w:r w:rsidRPr="004C1014">
        <w:t>. London: ONS.</w:t>
      </w:r>
    </w:p>
    <w:p w14:paraId="30D848E3" w14:textId="77777777" w:rsidR="003C06CB" w:rsidRPr="004C1014" w:rsidRDefault="003C06CB" w:rsidP="003C06CB">
      <w:r w:rsidRPr="004C1014">
        <w:t xml:space="preserve">Prince, M. et al. (2015) </w:t>
      </w:r>
      <w:r w:rsidRPr="004C1014">
        <w:rPr>
          <w:i/>
          <w:iCs/>
        </w:rPr>
        <w:t>World Alzheimer report 2015: the global impact of dementia</w:t>
      </w:r>
      <w:r w:rsidRPr="004C1014">
        <w:t>. London: Alzheimer’s Disease International.</w:t>
      </w:r>
    </w:p>
    <w:p w14:paraId="7471088D" w14:textId="77777777" w:rsidR="003C06CB" w:rsidRPr="004C1014" w:rsidRDefault="003C06CB" w:rsidP="003C06CB">
      <w:r w:rsidRPr="004C1014">
        <w:t xml:space="preserve">Resnik, D.B. (2018) </w:t>
      </w:r>
      <w:r w:rsidRPr="004C1014">
        <w:rPr>
          <w:i/>
          <w:iCs/>
        </w:rPr>
        <w:t>The ethics of research with human subjects</w:t>
      </w:r>
      <w:r w:rsidRPr="004C1014">
        <w:t>. Cham: Springer.</w:t>
      </w:r>
    </w:p>
    <w:p w14:paraId="2F61EC21" w14:textId="77777777" w:rsidR="003C06CB" w:rsidRPr="004C1014" w:rsidRDefault="003C06CB" w:rsidP="003C06CB">
      <w:r w:rsidRPr="004C1014">
        <w:t xml:space="preserve">Ridley, D. (2012) </w:t>
      </w:r>
      <w:r w:rsidRPr="004C1014">
        <w:rPr>
          <w:i/>
          <w:iCs/>
        </w:rPr>
        <w:t>The literature review: a step-by-step guide for students</w:t>
      </w:r>
      <w:r w:rsidRPr="004C1014">
        <w:t>. London: Sage.</w:t>
      </w:r>
    </w:p>
    <w:p w14:paraId="5AAC7ED6" w14:textId="77777777" w:rsidR="003C06CB" w:rsidRPr="004C1014" w:rsidRDefault="003C06CB" w:rsidP="003C06CB">
      <w:r w:rsidRPr="004C1014">
        <w:t xml:space="preserve">Snyder, H. (2019) ‘Literature review as a research methodology’, </w:t>
      </w:r>
      <w:r w:rsidRPr="004C1014">
        <w:rPr>
          <w:i/>
          <w:iCs/>
        </w:rPr>
        <w:t>Journal of Business Research</w:t>
      </w:r>
      <w:r w:rsidRPr="004C1014">
        <w:t>, 104, pp. 333–339.</w:t>
      </w:r>
    </w:p>
    <w:p w14:paraId="268AB135" w14:textId="77777777" w:rsidR="003C06CB" w:rsidRPr="004C1014" w:rsidRDefault="003C06CB" w:rsidP="003C06CB">
      <w:r w:rsidRPr="004C1014">
        <w:t xml:space="preserve">World Health Organization (WHO) (2021) </w:t>
      </w:r>
      <w:r w:rsidRPr="004C1014">
        <w:rPr>
          <w:i/>
          <w:iCs/>
        </w:rPr>
        <w:t>Global status report on the public health response to dementia</w:t>
      </w:r>
      <w:r w:rsidRPr="004C1014">
        <w:t>. Geneva: WHO.</w:t>
      </w:r>
    </w:p>
    <w:p w14:paraId="31BD1373" w14:textId="77777777" w:rsidR="003C06CB" w:rsidRPr="004C1014" w:rsidRDefault="003C06CB" w:rsidP="003C06CB">
      <w:r w:rsidRPr="004C1014">
        <w:lastRenderedPageBreak/>
        <w:t xml:space="preserve">Xiao, Y. and Watson, M. (2019) ‘Guidance on conducting a systematic literature review’, </w:t>
      </w:r>
      <w:r w:rsidRPr="004C1014">
        <w:rPr>
          <w:i/>
          <w:iCs/>
        </w:rPr>
        <w:t>Journal of Planning Education and Research</w:t>
      </w:r>
      <w:r w:rsidRPr="004C1014">
        <w:t>, 39(1), pp. 93–112.</w:t>
      </w:r>
    </w:p>
    <w:p w14:paraId="1AA0F3CA" w14:textId="77777777" w:rsidR="003C06CB" w:rsidRDefault="003C06CB"/>
    <w:sectPr w:rsidR="003C06CB" w:rsidSect="008B420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6CB"/>
    <w:rsid w:val="000124C8"/>
    <w:rsid w:val="00023BF1"/>
    <w:rsid w:val="00114AFA"/>
    <w:rsid w:val="001535A7"/>
    <w:rsid w:val="00233B24"/>
    <w:rsid w:val="002471D5"/>
    <w:rsid w:val="003C06CB"/>
    <w:rsid w:val="00457E49"/>
    <w:rsid w:val="00641FC5"/>
    <w:rsid w:val="006A76DF"/>
    <w:rsid w:val="006B79C3"/>
    <w:rsid w:val="00710B50"/>
    <w:rsid w:val="007B7F81"/>
    <w:rsid w:val="007E3D40"/>
    <w:rsid w:val="008B420E"/>
    <w:rsid w:val="009512C8"/>
    <w:rsid w:val="00967166"/>
    <w:rsid w:val="009943FA"/>
    <w:rsid w:val="00AC48E8"/>
    <w:rsid w:val="00B873E1"/>
    <w:rsid w:val="00BF06D3"/>
    <w:rsid w:val="00BF2286"/>
    <w:rsid w:val="00E23BC4"/>
    <w:rsid w:val="00ED1E59"/>
    <w:rsid w:val="00EE7106"/>
    <w:rsid w:val="00FC04C2"/>
    <w:rsid w:val="00FC694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8924A"/>
  <w15:chartTrackingRefBased/>
  <w15:docId w15:val="{8B77E5E3-CAA5-4469-A21C-4F22CAA8A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6CB"/>
  </w:style>
  <w:style w:type="paragraph" w:styleId="Heading1">
    <w:name w:val="heading 1"/>
    <w:basedOn w:val="Normal"/>
    <w:next w:val="Normal"/>
    <w:link w:val="Heading1Char"/>
    <w:uiPriority w:val="9"/>
    <w:qFormat/>
    <w:rsid w:val="003C06C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C06C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06C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06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06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06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6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6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6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3C06C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C06C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06C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06C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06C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06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6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6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6CB"/>
    <w:rPr>
      <w:rFonts w:eastAsiaTheme="majorEastAsia" w:cstheme="majorBidi"/>
      <w:color w:val="272727" w:themeColor="text1" w:themeTint="D8"/>
    </w:rPr>
  </w:style>
  <w:style w:type="paragraph" w:styleId="Title">
    <w:name w:val="Title"/>
    <w:basedOn w:val="Normal"/>
    <w:next w:val="Normal"/>
    <w:link w:val="TitleChar"/>
    <w:uiPriority w:val="10"/>
    <w:qFormat/>
    <w:rsid w:val="003C06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6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6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6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6CB"/>
    <w:pPr>
      <w:spacing w:before="160"/>
      <w:jc w:val="center"/>
    </w:pPr>
    <w:rPr>
      <w:i/>
      <w:iCs/>
      <w:color w:val="404040" w:themeColor="text1" w:themeTint="BF"/>
    </w:rPr>
  </w:style>
  <w:style w:type="character" w:customStyle="1" w:styleId="QuoteChar">
    <w:name w:val="Quote Char"/>
    <w:basedOn w:val="DefaultParagraphFont"/>
    <w:link w:val="Quote"/>
    <w:uiPriority w:val="29"/>
    <w:rsid w:val="003C06CB"/>
    <w:rPr>
      <w:i/>
      <w:iCs/>
      <w:color w:val="404040" w:themeColor="text1" w:themeTint="BF"/>
    </w:rPr>
  </w:style>
  <w:style w:type="paragraph" w:styleId="ListParagraph">
    <w:name w:val="List Paragraph"/>
    <w:basedOn w:val="Normal"/>
    <w:uiPriority w:val="34"/>
    <w:qFormat/>
    <w:rsid w:val="003C06CB"/>
    <w:pPr>
      <w:ind w:left="720"/>
      <w:contextualSpacing/>
    </w:pPr>
  </w:style>
  <w:style w:type="character" w:styleId="IntenseEmphasis">
    <w:name w:val="Intense Emphasis"/>
    <w:basedOn w:val="DefaultParagraphFont"/>
    <w:uiPriority w:val="21"/>
    <w:qFormat/>
    <w:rsid w:val="003C06CB"/>
    <w:rPr>
      <w:i/>
      <w:iCs/>
      <w:color w:val="2F5496" w:themeColor="accent1" w:themeShade="BF"/>
    </w:rPr>
  </w:style>
  <w:style w:type="paragraph" w:styleId="IntenseQuote">
    <w:name w:val="Intense Quote"/>
    <w:basedOn w:val="Normal"/>
    <w:next w:val="Normal"/>
    <w:link w:val="IntenseQuoteChar"/>
    <w:uiPriority w:val="30"/>
    <w:qFormat/>
    <w:rsid w:val="003C06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06CB"/>
    <w:rPr>
      <w:i/>
      <w:iCs/>
      <w:color w:val="2F5496" w:themeColor="accent1" w:themeShade="BF"/>
    </w:rPr>
  </w:style>
  <w:style w:type="character" w:styleId="IntenseReference">
    <w:name w:val="Intense Reference"/>
    <w:basedOn w:val="DefaultParagraphFont"/>
    <w:uiPriority w:val="32"/>
    <w:qFormat/>
    <w:rsid w:val="003C06CB"/>
    <w:rPr>
      <w:b/>
      <w:bCs/>
      <w:smallCaps/>
      <w:color w:val="2F5496" w:themeColor="accent1" w:themeShade="BF"/>
      <w:spacing w:val="5"/>
    </w:rPr>
  </w:style>
  <w:style w:type="table" w:styleId="TableGrid">
    <w:name w:val="Table Grid"/>
    <w:basedOn w:val="TableNormal"/>
    <w:uiPriority w:val="39"/>
    <w:rsid w:val="003C06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B420E"/>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8B420E"/>
    <w:rPr>
      <w:rFonts w:eastAsiaTheme="minorEastAsia"/>
      <w:kern w:val="0"/>
      <w:sz w:val="22"/>
      <w:szCs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1374</Words>
  <Characters>7832</Characters>
  <Application>Microsoft Office Word</Application>
  <DocSecurity>0</DocSecurity>
  <Lines>65</Lines>
  <Paragraphs>18</Paragraphs>
  <ScaleCrop>false</ScaleCrop>
  <Company/>
  <LinksUpToDate>false</LinksUpToDate>
  <CharactersWithSpaces>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BMH</dc:title>
  <dc:subject>Chapter 3 Methodology</dc:subject>
  <dc:creator>Personal</dc:creator>
  <cp:keywords/>
  <dc:description/>
  <cp:lastModifiedBy>Faria Naeem</cp:lastModifiedBy>
  <cp:revision>2</cp:revision>
  <dcterms:created xsi:type="dcterms:W3CDTF">2026-06-18T10:32:00Z</dcterms:created>
  <dcterms:modified xsi:type="dcterms:W3CDTF">2026-06-18T10:32:00Z</dcterms:modified>
</cp:coreProperties>
</file>