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E15BE" w14:textId="77777777" w:rsidR="00026A49" w:rsidRPr="00A406E5" w:rsidRDefault="00026A49" w:rsidP="00026A49">
      <w:pPr>
        <w:spacing w:line="360" w:lineRule="auto"/>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282"/>
        <w:gridCol w:w="2097"/>
      </w:tblGrid>
      <w:tr w:rsidR="00026A49" w:rsidRPr="00A406E5" w14:paraId="17357EFB" w14:textId="77777777" w:rsidTr="005F791E">
        <w:tc>
          <w:tcPr>
            <w:tcW w:w="2093" w:type="dxa"/>
            <w:shd w:val="clear" w:color="auto" w:fill="D9D9D9" w:themeFill="background1" w:themeFillShade="D9"/>
            <w:vAlign w:val="center"/>
          </w:tcPr>
          <w:p w14:paraId="4B4509F7" w14:textId="77777777" w:rsidR="00026A49" w:rsidRPr="00A406E5" w:rsidRDefault="00026A49" w:rsidP="005F791E">
            <w:pPr>
              <w:spacing w:before="120" w:after="120"/>
              <w:rPr>
                <w:rFonts w:ascii="Arial" w:hAnsi="Arial" w:cs="Arial"/>
                <w:b/>
              </w:rPr>
            </w:pPr>
            <w:r w:rsidRPr="00A406E5">
              <w:rPr>
                <w:rFonts w:ascii="Arial" w:hAnsi="Arial" w:cs="Arial"/>
                <w:b/>
              </w:rPr>
              <w:t>Student name:</w:t>
            </w:r>
          </w:p>
        </w:tc>
        <w:tc>
          <w:tcPr>
            <w:tcW w:w="3450" w:type="dxa"/>
            <w:vAlign w:val="center"/>
          </w:tcPr>
          <w:p w14:paraId="329C30CF" w14:textId="53C58246" w:rsidR="00026A49" w:rsidRPr="00A406E5" w:rsidRDefault="00026A49" w:rsidP="005F791E">
            <w:pPr>
              <w:spacing w:before="120" w:after="120"/>
              <w:rPr>
                <w:rFonts w:ascii="Arial" w:hAnsi="Arial" w:cs="Arial"/>
                <w:b/>
              </w:rPr>
            </w:pPr>
            <w:r>
              <w:rPr>
                <w:rFonts w:ascii="Arial" w:hAnsi="Arial" w:cs="Arial"/>
                <w:b/>
              </w:rPr>
              <w:t>Andreea Craciun</w:t>
            </w:r>
          </w:p>
        </w:tc>
        <w:tc>
          <w:tcPr>
            <w:tcW w:w="2282" w:type="dxa"/>
            <w:shd w:val="clear" w:color="auto" w:fill="D9D9D9" w:themeFill="background1" w:themeFillShade="D9"/>
            <w:vAlign w:val="center"/>
          </w:tcPr>
          <w:p w14:paraId="2D093424" w14:textId="77777777" w:rsidR="00026A49" w:rsidRPr="00A406E5" w:rsidRDefault="00026A49" w:rsidP="005F791E">
            <w:pPr>
              <w:spacing w:before="120" w:after="120"/>
              <w:rPr>
                <w:rFonts w:ascii="Arial" w:hAnsi="Arial" w:cs="Arial"/>
                <w:b/>
              </w:rPr>
            </w:pPr>
            <w:r w:rsidRPr="00A406E5">
              <w:rPr>
                <w:rFonts w:ascii="Arial" w:hAnsi="Arial" w:cs="Arial"/>
                <w:b/>
              </w:rPr>
              <w:t>Student ID number:</w:t>
            </w:r>
          </w:p>
        </w:tc>
        <w:tc>
          <w:tcPr>
            <w:tcW w:w="2097" w:type="dxa"/>
            <w:vAlign w:val="center"/>
          </w:tcPr>
          <w:p w14:paraId="552212BB" w14:textId="6E43A0E1" w:rsidR="00026A49" w:rsidRPr="00A406E5" w:rsidRDefault="00026A49" w:rsidP="005F791E">
            <w:pPr>
              <w:spacing w:before="120" w:after="120"/>
              <w:rPr>
                <w:rFonts w:ascii="Arial" w:hAnsi="Arial" w:cs="Arial"/>
                <w:b/>
              </w:rPr>
            </w:pPr>
            <w:r>
              <w:rPr>
                <w:rFonts w:ascii="Arial" w:hAnsi="Arial" w:cs="Arial"/>
                <w:b/>
              </w:rPr>
              <w:t>2212082</w:t>
            </w:r>
          </w:p>
        </w:tc>
      </w:tr>
      <w:tr w:rsidR="00026A49" w:rsidRPr="00A406E5" w14:paraId="2069A5DA" w14:textId="77777777" w:rsidTr="005F791E">
        <w:tc>
          <w:tcPr>
            <w:tcW w:w="2093" w:type="dxa"/>
            <w:shd w:val="clear" w:color="auto" w:fill="D9D9D9" w:themeFill="background1" w:themeFillShade="D9"/>
            <w:vAlign w:val="center"/>
          </w:tcPr>
          <w:p w14:paraId="7A551E00" w14:textId="77777777" w:rsidR="00026A49" w:rsidRPr="00A406E5" w:rsidRDefault="00026A49" w:rsidP="005F791E">
            <w:pPr>
              <w:spacing w:before="120" w:after="120"/>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vAlign w:val="center"/>
          </w:tcPr>
          <w:p w14:paraId="2E6CD665" w14:textId="77777777" w:rsidR="00026A49" w:rsidRPr="00A406E5" w:rsidRDefault="00026A49" w:rsidP="005F791E">
            <w:pPr>
              <w:spacing w:before="120" w:after="120"/>
              <w:rPr>
                <w:rFonts w:ascii="Arial" w:hAnsi="Arial" w:cs="Arial"/>
                <w:b/>
              </w:rPr>
            </w:pPr>
            <w:r>
              <w:rPr>
                <w:rFonts w:ascii="Arial" w:hAnsi="Arial" w:cs="Arial"/>
                <w:b/>
              </w:rPr>
              <w:t>Master of Business Administration</w:t>
            </w:r>
          </w:p>
        </w:tc>
      </w:tr>
      <w:tr w:rsidR="00026A49" w:rsidRPr="00A406E5" w14:paraId="21C9A84C" w14:textId="77777777" w:rsidTr="005F791E">
        <w:trPr>
          <w:trHeight w:val="440"/>
        </w:trPr>
        <w:tc>
          <w:tcPr>
            <w:tcW w:w="2093" w:type="dxa"/>
            <w:shd w:val="clear" w:color="auto" w:fill="D9D9D9" w:themeFill="background1" w:themeFillShade="D9"/>
            <w:vAlign w:val="center"/>
          </w:tcPr>
          <w:p w14:paraId="100C68C6" w14:textId="77777777" w:rsidR="00026A49" w:rsidRPr="00A406E5" w:rsidRDefault="00026A49" w:rsidP="005F791E">
            <w:pPr>
              <w:spacing w:before="120" w:after="120"/>
              <w:rPr>
                <w:rFonts w:ascii="Arial" w:hAnsi="Arial" w:cs="Arial"/>
                <w:b/>
              </w:rPr>
            </w:pPr>
            <w:r w:rsidRPr="00A406E5">
              <w:rPr>
                <w:rFonts w:ascii="Arial" w:hAnsi="Arial" w:cs="Arial"/>
                <w:b/>
              </w:rPr>
              <w:t>Module:</w:t>
            </w:r>
          </w:p>
        </w:tc>
        <w:tc>
          <w:tcPr>
            <w:tcW w:w="7829" w:type="dxa"/>
            <w:gridSpan w:val="3"/>
            <w:vAlign w:val="center"/>
          </w:tcPr>
          <w:p w14:paraId="471C3FD5" w14:textId="77777777" w:rsidR="00026A49" w:rsidRPr="00A406E5" w:rsidRDefault="00026A49" w:rsidP="005F791E">
            <w:pPr>
              <w:spacing w:before="120" w:after="120"/>
              <w:rPr>
                <w:rFonts w:ascii="Arial" w:hAnsi="Arial" w:cs="Arial"/>
                <w:b/>
              </w:rPr>
            </w:pPr>
            <w:r>
              <w:rPr>
                <w:rFonts w:ascii="Arial" w:hAnsi="Arial" w:cs="Arial"/>
                <w:b/>
              </w:rPr>
              <w:t>Strategic Management</w:t>
            </w:r>
          </w:p>
        </w:tc>
      </w:tr>
      <w:tr w:rsidR="00026A49" w:rsidRPr="00A406E5" w14:paraId="130C13C2" w14:textId="77777777" w:rsidTr="005F791E">
        <w:tc>
          <w:tcPr>
            <w:tcW w:w="2093" w:type="dxa"/>
            <w:shd w:val="clear" w:color="auto" w:fill="D9D9D9" w:themeFill="background1" w:themeFillShade="D9"/>
            <w:vAlign w:val="center"/>
          </w:tcPr>
          <w:p w14:paraId="504A1DE3" w14:textId="77777777" w:rsidR="00026A49" w:rsidRPr="00A406E5" w:rsidRDefault="00026A49" w:rsidP="005F791E">
            <w:pPr>
              <w:spacing w:before="120" w:after="120"/>
              <w:rPr>
                <w:rFonts w:ascii="Arial" w:hAnsi="Arial" w:cs="Arial"/>
                <w:b/>
              </w:rPr>
            </w:pPr>
            <w:r w:rsidRPr="00A406E5">
              <w:rPr>
                <w:rFonts w:ascii="Arial" w:hAnsi="Arial" w:cs="Arial"/>
                <w:b/>
              </w:rPr>
              <w:t>Module code:</w:t>
            </w:r>
          </w:p>
        </w:tc>
        <w:tc>
          <w:tcPr>
            <w:tcW w:w="3450" w:type="dxa"/>
            <w:vAlign w:val="center"/>
          </w:tcPr>
          <w:p w14:paraId="466962BC" w14:textId="77777777" w:rsidR="00026A49" w:rsidRPr="00A406E5" w:rsidRDefault="00026A49" w:rsidP="005F791E">
            <w:pPr>
              <w:spacing w:before="120" w:after="120"/>
              <w:rPr>
                <w:rFonts w:ascii="Arial" w:hAnsi="Arial" w:cs="Arial"/>
                <w:b/>
              </w:rPr>
            </w:pPr>
            <w:r>
              <w:rPr>
                <w:rFonts w:ascii="Arial" w:hAnsi="Arial" w:cs="Arial"/>
                <w:b/>
              </w:rPr>
              <w:t>LCMB7003</w:t>
            </w:r>
          </w:p>
        </w:tc>
        <w:tc>
          <w:tcPr>
            <w:tcW w:w="2282" w:type="dxa"/>
            <w:shd w:val="clear" w:color="auto" w:fill="D9D9D9" w:themeFill="background1" w:themeFillShade="D9"/>
            <w:vAlign w:val="center"/>
          </w:tcPr>
          <w:p w14:paraId="53FD94E5" w14:textId="77777777" w:rsidR="00026A49" w:rsidRPr="004D5E9B" w:rsidRDefault="00026A49" w:rsidP="005F791E">
            <w:pPr>
              <w:pStyle w:val="Heading2"/>
              <w:rPr>
                <w:rFonts w:ascii="Arial" w:hAnsi="Arial" w:cs="Arial"/>
                <w:sz w:val="22"/>
                <w:szCs w:val="22"/>
              </w:rPr>
            </w:pPr>
            <w:r w:rsidRPr="00A406E5">
              <w:rPr>
                <w:rFonts w:ascii="Arial" w:hAnsi="Arial" w:cs="Arial"/>
                <w:sz w:val="22"/>
                <w:szCs w:val="22"/>
              </w:rPr>
              <w:t>Contribution to Overall Module Assessment (%):</w:t>
            </w:r>
          </w:p>
        </w:tc>
        <w:tc>
          <w:tcPr>
            <w:tcW w:w="2097" w:type="dxa"/>
            <w:vAlign w:val="center"/>
          </w:tcPr>
          <w:p w14:paraId="424603C9" w14:textId="77777777" w:rsidR="00026A49" w:rsidRPr="00A406E5" w:rsidRDefault="00026A49" w:rsidP="005F791E">
            <w:pPr>
              <w:spacing w:before="120" w:after="120"/>
              <w:rPr>
                <w:rFonts w:ascii="Arial" w:hAnsi="Arial" w:cs="Arial"/>
                <w:b/>
              </w:rPr>
            </w:pPr>
            <w:r>
              <w:rPr>
                <w:rFonts w:ascii="Arial" w:hAnsi="Arial" w:cs="Arial"/>
                <w:b/>
              </w:rPr>
              <w:t>100%</w:t>
            </w:r>
          </w:p>
        </w:tc>
      </w:tr>
      <w:tr w:rsidR="00026A49" w:rsidRPr="00A406E5" w14:paraId="0C017E75" w14:textId="77777777" w:rsidTr="005F791E">
        <w:tc>
          <w:tcPr>
            <w:tcW w:w="2093" w:type="dxa"/>
            <w:shd w:val="clear" w:color="auto" w:fill="D9D9D9" w:themeFill="background1" w:themeFillShade="D9"/>
            <w:vAlign w:val="center"/>
          </w:tcPr>
          <w:p w14:paraId="515EB5DE" w14:textId="77777777" w:rsidR="00026A49" w:rsidRPr="00A406E5" w:rsidRDefault="00026A49" w:rsidP="005F791E">
            <w:pPr>
              <w:spacing w:before="120" w:after="120"/>
              <w:rPr>
                <w:rFonts w:ascii="Arial" w:hAnsi="Arial" w:cs="Arial"/>
                <w:b/>
              </w:rPr>
            </w:pPr>
            <w:r w:rsidRPr="00A406E5">
              <w:rPr>
                <w:rFonts w:ascii="Arial" w:hAnsi="Arial" w:cs="Arial"/>
                <w:b/>
              </w:rPr>
              <w:t>Lecturer:</w:t>
            </w:r>
          </w:p>
        </w:tc>
        <w:tc>
          <w:tcPr>
            <w:tcW w:w="3450" w:type="dxa"/>
            <w:vAlign w:val="center"/>
          </w:tcPr>
          <w:p w14:paraId="3973EEEC" w14:textId="77777777" w:rsidR="00026A49" w:rsidRDefault="00026A49" w:rsidP="005F791E">
            <w:pPr>
              <w:spacing w:before="120" w:after="120"/>
              <w:rPr>
                <w:rFonts w:ascii="Arial" w:hAnsi="Arial" w:cs="Arial"/>
                <w:b/>
              </w:rPr>
            </w:pPr>
            <w:r>
              <w:rPr>
                <w:rFonts w:ascii="Arial" w:hAnsi="Arial" w:cs="Arial"/>
                <w:b/>
              </w:rPr>
              <w:t>Amare Desta</w:t>
            </w:r>
          </w:p>
          <w:p w14:paraId="2FA1B571" w14:textId="77777777" w:rsidR="00026A49" w:rsidRPr="00A406E5" w:rsidRDefault="00026A49" w:rsidP="005F791E">
            <w:pPr>
              <w:spacing w:before="120" w:after="120"/>
              <w:rPr>
                <w:rFonts w:ascii="Arial" w:hAnsi="Arial" w:cs="Arial"/>
                <w:b/>
              </w:rPr>
            </w:pPr>
            <w:proofErr w:type="spellStart"/>
            <w:r>
              <w:rPr>
                <w:rFonts w:ascii="Arial" w:hAnsi="Arial" w:cs="Arial"/>
                <w:b/>
              </w:rPr>
              <w:t>Zulf</w:t>
            </w:r>
            <w:proofErr w:type="spellEnd"/>
            <w:r>
              <w:rPr>
                <w:rFonts w:ascii="Arial" w:hAnsi="Arial" w:cs="Arial"/>
                <w:b/>
              </w:rPr>
              <w:t xml:space="preserve"> Khan</w:t>
            </w:r>
          </w:p>
        </w:tc>
        <w:tc>
          <w:tcPr>
            <w:tcW w:w="2282" w:type="dxa"/>
            <w:shd w:val="clear" w:color="auto" w:fill="D9D9D9" w:themeFill="background1" w:themeFillShade="D9"/>
            <w:vAlign w:val="center"/>
          </w:tcPr>
          <w:p w14:paraId="69BA847E" w14:textId="77777777" w:rsidR="00026A49" w:rsidRPr="00A406E5" w:rsidRDefault="00026A49" w:rsidP="005F791E">
            <w:pPr>
              <w:spacing w:before="120" w:after="120"/>
              <w:rPr>
                <w:rFonts w:ascii="Arial" w:hAnsi="Arial" w:cs="Arial"/>
                <w:b/>
              </w:rPr>
            </w:pPr>
            <w:r w:rsidRPr="00A406E5">
              <w:rPr>
                <w:rFonts w:ascii="Arial" w:hAnsi="Arial" w:cs="Arial"/>
                <w:b/>
              </w:rPr>
              <w:t>Internal Verifier:</w:t>
            </w:r>
          </w:p>
        </w:tc>
        <w:tc>
          <w:tcPr>
            <w:tcW w:w="2097" w:type="dxa"/>
            <w:vAlign w:val="center"/>
          </w:tcPr>
          <w:p w14:paraId="3379CAD0" w14:textId="77777777" w:rsidR="00026A49" w:rsidRDefault="00026A49" w:rsidP="005F791E">
            <w:pPr>
              <w:spacing w:before="120" w:after="120"/>
              <w:rPr>
                <w:rFonts w:ascii="Arial" w:hAnsi="Arial" w:cs="Arial"/>
                <w:b/>
              </w:rPr>
            </w:pPr>
            <w:r>
              <w:rPr>
                <w:rFonts w:ascii="Arial" w:hAnsi="Arial" w:cs="Arial"/>
                <w:b/>
              </w:rPr>
              <w:t>Vasilios Tavlaridis</w:t>
            </w:r>
          </w:p>
          <w:p w14:paraId="62665CC3" w14:textId="77777777" w:rsidR="00026A49" w:rsidRPr="00A406E5" w:rsidRDefault="00026A49" w:rsidP="005F791E">
            <w:pPr>
              <w:spacing w:before="120" w:after="120"/>
              <w:rPr>
                <w:rFonts w:ascii="Arial" w:hAnsi="Arial" w:cs="Arial"/>
                <w:b/>
              </w:rPr>
            </w:pPr>
            <w:r>
              <w:rPr>
                <w:rFonts w:ascii="Arial" w:hAnsi="Arial" w:cs="Arial"/>
                <w:b/>
              </w:rPr>
              <w:t>Hoang Nguyen</w:t>
            </w:r>
          </w:p>
        </w:tc>
      </w:tr>
      <w:tr w:rsidR="00026A49" w:rsidRPr="00A406E5" w14:paraId="02DA1B3F" w14:textId="77777777" w:rsidTr="005F791E">
        <w:tc>
          <w:tcPr>
            <w:tcW w:w="2093" w:type="dxa"/>
            <w:shd w:val="clear" w:color="auto" w:fill="D9D9D9" w:themeFill="background1" w:themeFillShade="D9"/>
            <w:vAlign w:val="center"/>
          </w:tcPr>
          <w:p w14:paraId="305D0B46" w14:textId="77777777" w:rsidR="00026A49" w:rsidRPr="00A406E5" w:rsidRDefault="00026A49" w:rsidP="005F791E">
            <w:pPr>
              <w:spacing w:before="120" w:after="120"/>
              <w:rPr>
                <w:rFonts w:ascii="Arial" w:hAnsi="Arial" w:cs="Arial"/>
                <w:b/>
              </w:rPr>
            </w:pPr>
            <w:r w:rsidRPr="00A406E5">
              <w:rPr>
                <w:rFonts w:ascii="Arial" w:hAnsi="Arial" w:cs="Arial"/>
                <w:b/>
              </w:rPr>
              <w:t>Assignment Title:</w:t>
            </w:r>
          </w:p>
        </w:tc>
        <w:tc>
          <w:tcPr>
            <w:tcW w:w="3450" w:type="dxa"/>
            <w:vAlign w:val="center"/>
          </w:tcPr>
          <w:p w14:paraId="7C863BD1" w14:textId="77777777" w:rsidR="00026A49" w:rsidRPr="00A406E5" w:rsidRDefault="00026A49" w:rsidP="005F791E">
            <w:pPr>
              <w:spacing w:before="120" w:after="120"/>
              <w:rPr>
                <w:rFonts w:ascii="Arial" w:hAnsi="Arial" w:cs="Arial"/>
                <w:b/>
              </w:rPr>
            </w:pPr>
            <w:r>
              <w:rPr>
                <w:rFonts w:ascii="Arial" w:hAnsi="Arial" w:cs="Arial"/>
                <w:b/>
              </w:rPr>
              <w:t xml:space="preserve">Assessment component - </w:t>
            </w:r>
            <w:r w:rsidRPr="00FF5BC0">
              <w:rPr>
                <w:rFonts w:ascii="Arial" w:hAnsi="Arial" w:cs="Arial"/>
                <w:b/>
              </w:rPr>
              <w:t>Individual report</w:t>
            </w:r>
          </w:p>
        </w:tc>
        <w:tc>
          <w:tcPr>
            <w:tcW w:w="2282" w:type="dxa"/>
            <w:shd w:val="clear" w:color="auto" w:fill="D9D9D9" w:themeFill="background1" w:themeFillShade="D9"/>
            <w:vAlign w:val="center"/>
          </w:tcPr>
          <w:p w14:paraId="44B1B464" w14:textId="77777777" w:rsidR="00026A49" w:rsidRPr="00A406E5" w:rsidRDefault="00026A49" w:rsidP="005F791E">
            <w:pPr>
              <w:spacing w:before="120" w:after="120"/>
              <w:rPr>
                <w:rFonts w:ascii="Arial" w:hAnsi="Arial" w:cs="Arial"/>
                <w:b/>
              </w:rPr>
            </w:pPr>
            <w:r>
              <w:rPr>
                <w:rFonts w:ascii="Arial" w:hAnsi="Arial" w:cs="Arial"/>
                <w:b/>
              </w:rPr>
              <w:t>Word count (or equivalent):</w:t>
            </w:r>
          </w:p>
        </w:tc>
        <w:tc>
          <w:tcPr>
            <w:tcW w:w="2097" w:type="dxa"/>
            <w:vAlign w:val="center"/>
          </w:tcPr>
          <w:p w14:paraId="706236B8" w14:textId="77777777" w:rsidR="00026A49" w:rsidRPr="00A406E5" w:rsidRDefault="00026A49" w:rsidP="005F791E">
            <w:pPr>
              <w:spacing w:before="120" w:after="120"/>
              <w:rPr>
                <w:rFonts w:ascii="Arial" w:hAnsi="Arial" w:cs="Arial"/>
                <w:b/>
              </w:rPr>
            </w:pPr>
            <w:r>
              <w:rPr>
                <w:rFonts w:ascii="Arial" w:hAnsi="Arial" w:cs="Arial"/>
                <w:b/>
              </w:rPr>
              <w:t>5,000 (± 10%)</w:t>
            </w:r>
          </w:p>
        </w:tc>
      </w:tr>
      <w:tr w:rsidR="00026A49" w:rsidRPr="00A406E5" w14:paraId="03F2AA86" w14:textId="77777777" w:rsidTr="005F791E">
        <w:tc>
          <w:tcPr>
            <w:tcW w:w="2093" w:type="dxa"/>
            <w:shd w:val="clear" w:color="auto" w:fill="D9D9D9" w:themeFill="background1" w:themeFillShade="D9"/>
            <w:vAlign w:val="center"/>
          </w:tcPr>
          <w:p w14:paraId="0453F0AB" w14:textId="77777777" w:rsidR="00026A49" w:rsidRPr="00A406E5" w:rsidRDefault="00026A49" w:rsidP="005F791E">
            <w:pPr>
              <w:spacing w:before="120" w:after="120"/>
              <w:rPr>
                <w:rFonts w:ascii="Arial" w:hAnsi="Arial" w:cs="Arial"/>
                <w:b/>
              </w:rPr>
            </w:pPr>
            <w:r w:rsidRPr="00A406E5">
              <w:rPr>
                <w:rFonts w:ascii="Arial" w:hAnsi="Arial" w:cs="Arial"/>
                <w:b/>
              </w:rPr>
              <w:t>Submission deadline:</w:t>
            </w:r>
          </w:p>
        </w:tc>
        <w:tc>
          <w:tcPr>
            <w:tcW w:w="3450" w:type="dxa"/>
            <w:vAlign w:val="center"/>
          </w:tcPr>
          <w:p w14:paraId="23448D1E" w14:textId="77777777" w:rsidR="00026A49" w:rsidRPr="00A406E5" w:rsidRDefault="00026A49" w:rsidP="005F791E">
            <w:pPr>
              <w:spacing w:before="120" w:after="120"/>
              <w:rPr>
                <w:rFonts w:ascii="Arial" w:hAnsi="Arial" w:cs="Arial"/>
                <w:b/>
                <w:bCs/>
              </w:rPr>
            </w:pPr>
            <w:r w:rsidRPr="6EDEA82F">
              <w:rPr>
                <w:rFonts w:ascii="Arial" w:hAnsi="Arial" w:cs="Arial"/>
                <w:b/>
                <w:bCs/>
              </w:rPr>
              <w:t>Wednesday 01/04/2026 by 2pm</w:t>
            </w:r>
          </w:p>
        </w:tc>
        <w:tc>
          <w:tcPr>
            <w:tcW w:w="2282" w:type="dxa"/>
            <w:shd w:val="clear" w:color="auto" w:fill="D9D9D9" w:themeFill="background1" w:themeFillShade="D9"/>
            <w:vAlign w:val="center"/>
          </w:tcPr>
          <w:p w14:paraId="17E67CD3" w14:textId="77777777" w:rsidR="00026A49" w:rsidRPr="00A406E5" w:rsidRDefault="00026A49" w:rsidP="005F791E">
            <w:pPr>
              <w:spacing w:before="120" w:after="120"/>
              <w:rPr>
                <w:rFonts w:ascii="Arial" w:hAnsi="Arial" w:cs="Arial"/>
                <w:b/>
              </w:rPr>
            </w:pPr>
            <w:r w:rsidRPr="00A406E5">
              <w:rPr>
                <w:rFonts w:ascii="Arial" w:hAnsi="Arial" w:cs="Arial"/>
                <w:b/>
              </w:rPr>
              <w:t>Return date of provisional marks &amp; written feedback:</w:t>
            </w:r>
          </w:p>
        </w:tc>
        <w:tc>
          <w:tcPr>
            <w:tcW w:w="2097" w:type="dxa"/>
            <w:vAlign w:val="center"/>
          </w:tcPr>
          <w:p w14:paraId="004F7972" w14:textId="77777777" w:rsidR="00026A49" w:rsidRPr="00A406E5" w:rsidRDefault="00026A49" w:rsidP="005F791E">
            <w:pPr>
              <w:spacing w:before="120" w:after="120"/>
              <w:rPr>
                <w:rFonts w:ascii="Arial" w:hAnsi="Arial" w:cs="Arial"/>
                <w:b/>
                <w:bCs/>
              </w:rPr>
            </w:pPr>
            <w:r w:rsidRPr="2222F233">
              <w:rPr>
                <w:rFonts w:ascii="Arial" w:hAnsi="Arial" w:cs="Arial"/>
                <w:b/>
                <w:bCs/>
              </w:rPr>
              <w:t>08/05/2026</w:t>
            </w:r>
          </w:p>
        </w:tc>
      </w:tr>
    </w:tbl>
    <w:p w14:paraId="5A92F41F" w14:textId="77777777" w:rsidR="0064544A" w:rsidRDefault="0064544A"/>
    <w:p w14:paraId="30F3AC4F" w14:textId="77777777" w:rsidR="0064544A" w:rsidRDefault="0064544A"/>
    <w:p w14:paraId="43909DF2" w14:textId="77777777" w:rsidR="0064544A" w:rsidRDefault="0064544A"/>
    <w:p w14:paraId="3BC334C4" w14:textId="77777777" w:rsidR="0064544A" w:rsidRDefault="0064544A"/>
    <w:p w14:paraId="12BF8977" w14:textId="77777777" w:rsidR="0064544A" w:rsidRDefault="0064544A"/>
    <w:p w14:paraId="56A61707" w14:textId="77777777" w:rsidR="0064544A" w:rsidRDefault="0064544A"/>
    <w:p w14:paraId="4EF7268D" w14:textId="77777777" w:rsidR="0064544A" w:rsidRDefault="0064544A"/>
    <w:p w14:paraId="51FB0589" w14:textId="77777777" w:rsidR="0064544A" w:rsidRDefault="0064544A"/>
    <w:p w14:paraId="595DBAB8" w14:textId="77777777" w:rsidR="0064544A" w:rsidRDefault="0064544A"/>
    <w:p w14:paraId="1C1D8D5E" w14:textId="77777777" w:rsidR="0064544A" w:rsidRDefault="0064544A"/>
    <w:p w14:paraId="0969531B" w14:textId="77777777" w:rsidR="0064544A" w:rsidRDefault="0064544A"/>
    <w:p w14:paraId="2B035688" w14:textId="77777777" w:rsidR="0064544A" w:rsidRDefault="0064544A"/>
    <w:p w14:paraId="4F1C0D2E" w14:textId="69480FDA" w:rsidR="00D22C1A" w:rsidRPr="00343386" w:rsidRDefault="005D6305" w:rsidP="00343386">
      <w:pPr>
        <w:spacing w:line="360" w:lineRule="auto"/>
        <w:rPr>
          <w:rFonts w:ascii="Arial" w:hAnsi="Arial" w:cs="Arial"/>
        </w:rPr>
      </w:pPr>
      <w:proofErr w:type="spellStart"/>
      <w:r w:rsidRPr="00343386">
        <w:rPr>
          <w:rFonts w:ascii="Arial" w:hAnsi="Arial" w:cs="Arial"/>
        </w:rPr>
        <w:lastRenderedPageBreak/>
        <w:t>Organisation</w:t>
      </w:r>
      <w:proofErr w:type="spellEnd"/>
      <w:r w:rsidRPr="00343386">
        <w:rPr>
          <w:rFonts w:ascii="Arial" w:hAnsi="Arial" w:cs="Arial"/>
        </w:rPr>
        <w:t xml:space="preserve">: </w:t>
      </w:r>
      <w:proofErr w:type="gramStart"/>
      <w:r w:rsidRPr="00343386">
        <w:rPr>
          <w:rFonts w:ascii="Arial" w:hAnsi="Arial" w:cs="Arial"/>
        </w:rPr>
        <w:t>Tesla,</w:t>
      </w:r>
      <w:proofErr w:type="gramEnd"/>
      <w:r w:rsidRPr="00343386">
        <w:rPr>
          <w:rFonts w:ascii="Arial" w:hAnsi="Arial" w:cs="Arial"/>
        </w:rPr>
        <w:t xml:space="preserve"> Inc.</w:t>
      </w:r>
      <w:r w:rsidRPr="00343386">
        <w:rPr>
          <w:rFonts w:ascii="Arial" w:hAnsi="Arial" w:cs="Arial"/>
        </w:rPr>
        <w:br/>
      </w:r>
    </w:p>
    <w:p w14:paraId="02327F6C"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r>
      <w:r w:rsidRPr="00343386">
        <w:rPr>
          <w:rFonts w:ascii="Arial" w:hAnsi="Arial" w:cs="Arial"/>
        </w:rP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tran</w:t>
      </w:r>
      <w:r w:rsidRPr="00343386">
        <w:rPr>
          <w:rFonts w:ascii="Arial" w:hAnsi="Arial" w:cs="Arial"/>
        </w:rPr>
        <w:t>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automo</w:t>
      </w:r>
      <w:r w:rsidRPr="00343386">
        <w:rPr>
          <w:rFonts w:ascii="Arial" w:hAnsi="Arial" w:cs="Arial"/>
        </w:rPr>
        <w:t>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developmen</w:t>
      </w:r>
      <w:r w:rsidRPr="00343386">
        <w:rPr>
          <w:rFonts w:ascii="Arial" w:hAnsi="Arial" w:cs="Arial"/>
        </w:rPr>
        <w:t>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r>
      <w:r w:rsidRPr="00343386">
        <w:rPr>
          <w:rFonts w:ascii="Arial" w:hAnsi="Arial" w:cs="Arial"/>
        </w:rPr>
        <w:lastRenderedPageBreak/>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 r</w:t>
      </w:r>
      <w:r w:rsidRPr="00343386">
        <w:rPr>
          <w:rFonts w:ascii="Arial" w:hAnsi="Arial" w:cs="Arial"/>
        </w:rPr>
        <w:t>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Financial Perspective: Tesla focuses on revenue growth an</w:t>
      </w:r>
      <w:r w:rsidRPr="00343386">
        <w:rPr>
          <w:rFonts w:ascii="Arial" w:hAnsi="Arial" w:cs="Arial"/>
        </w:rPr>
        <w:t>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Tesla adopts a differentiation strategy, focusing on innovation and premium products. At the corporate level, the organisation pursues diversification and international ex</w:t>
      </w:r>
      <w:r w:rsidRPr="00343386">
        <w:rPr>
          <w:rFonts w:ascii="Arial" w:hAnsi="Arial" w:cs="Arial"/>
        </w:rPr>
        <w:t>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 xml:space="preserve">A SWOT analysis highlights Tesla’s strengths in innovation and brand, weaknesses in cost structure, opportunities in EV market growth, and threats from competition. </w:t>
      </w:r>
      <w:r w:rsidRPr="00343386">
        <w:rPr>
          <w:rFonts w:ascii="Arial" w:hAnsi="Arial" w:cs="Arial"/>
        </w:rPr>
        <w:lastRenderedPageBreak/>
        <w:t>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understandin</w:t>
      </w:r>
      <w:r w:rsidRPr="00343386">
        <w:rPr>
          <w:rFonts w:ascii="Arial" w:hAnsi="Arial" w:cs="Arial"/>
        </w:rPr>
        <w:t>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664F0050"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r>
      <w:r w:rsidRPr="00343386">
        <w:rPr>
          <w:rFonts w:ascii="Arial" w:hAnsi="Arial" w:cs="Arial"/>
        </w:rPr>
        <w:lastRenderedPageBreak/>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r>
      <w:r w:rsidRPr="00343386">
        <w:rPr>
          <w:rFonts w:ascii="Arial" w:hAnsi="Arial" w:cs="Arial"/>
        </w:rPr>
        <w:lastRenderedPageBreak/>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7FCBF219"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 xml:space="preserve">Tesla operates within the automotive and clean energy industries, both of which are </w:t>
      </w:r>
      <w:r w:rsidRPr="00343386">
        <w:rPr>
          <w:rFonts w:ascii="Arial" w:hAnsi="Arial" w:cs="Arial"/>
        </w:rPr>
        <w:lastRenderedPageBreak/>
        <w:t>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 xml:space="preserve">Tesla’s corporate social responsibility strategy is embedded within its core mission. The company promotes renewable energy, reduces carbon emissions, and invests in sustainable technologies. However, challenges remain in areas such as labour practices </w:t>
      </w:r>
      <w:r w:rsidRPr="00343386">
        <w:rPr>
          <w:rFonts w:ascii="Arial" w:hAnsi="Arial" w:cs="Arial"/>
        </w:rPr>
        <w:lastRenderedPageBreak/>
        <w:t>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r>
      <w:r w:rsidRPr="00343386">
        <w:rPr>
          <w:rFonts w:ascii="Arial" w:hAnsi="Arial" w:cs="Arial"/>
        </w:rPr>
        <w:lastRenderedPageBreak/>
        <w:t>Barney (1991); Porter (1985); Kaplan &amp; Norton (1992); Tesla Annual Report.</w:t>
      </w:r>
      <w:r w:rsidRPr="00343386">
        <w:rPr>
          <w:rFonts w:ascii="Arial" w:hAnsi="Arial" w:cs="Arial"/>
        </w:rPr>
        <w:br/>
      </w:r>
    </w:p>
    <w:p w14:paraId="4E13B5A6"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r>
      <w:r w:rsidRPr="00343386">
        <w:rPr>
          <w:rFonts w:ascii="Arial" w:hAnsi="Arial" w:cs="Arial"/>
        </w:rPr>
        <w:lastRenderedPageBreak/>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 xml:space="preserve">A SWOT analysis highlights Tesla’s strengths in innovation and brand, weaknesses in cost structure, opportunities in EV market growth, and threats from competition. </w:t>
      </w:r>
      <w:r w:rsidRPr="00343386">
        <w:rPr>
          <w:rFonts w:ascii="Arial" w:hAnsi="Arial" w:cs="Arial"/>
        </w:rPr>
        <w:lastRenderedPageBreak/>
        <w:t>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652C71DA"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r>
      <w:r w:rsidRPr="00343386">
        <w:rPr>
          <w:rFonts w:ascii="Arial" w:hAnsi="Arial" w:cs="Arial"/>
        </w:rPr>
        <w:lastRenderedPageBreak/>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r>
      <w:r w:rsidRPr="00343386">
        <w:rPr>
          <w:rFonts w:ascii="Arial" w:hAnsi="Arial" w:cs="Arial"/>
        </w:rPr>
        <w:lastRenderedPageBreak/>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75189C26"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 xml:space="preserve">Tesla operates within the automotive and clean energy industries, both of which are </w:t>
      </w:r>
      <w:r w:rsidRPr="00343386">
        <w:rPr>
          <w:rFonts w:ascii="Arial" w:hAnsi="Arial" w:cs="Arial"/>
        </w:rPr>
        <w:lastRenderedPageBreak/>
        <w:t>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 xml:space="preserve">Tesla’s corporate social responsibility strategy is embedded within its core mission. The company promotes renewable energy, reduces carbon emissions, and invests in sustainable technologies. However, challenges remain in areas such as labour practices </w:t>
      </w:r>
      <w:r w:rsidRPr="00343386">
        <w:rPr>
          <w:rFonts w:ascii="Arial" w:hAnsi="Arial" w:cs="Arial"/>
        </w:rPr>
        <w:lastRenderedPageBreak/>
        <w:t>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r>
      <w:r w:rsidRPr="00343386">
        <w:rPr>
          <w:rFonts w:ascii="Arial" w:hAnsi="Arial" w:cs="Arial"/>
        </w:rPr>
        <w:lastRenderedPageBreak/>
        <w:t>Barney (1991); Porter (1985); Kaplan &amp; Norton (1992); Tesla Annual Report.</w:t>
      </w:r>
      <w:r w:rsidRPr="00343386">
        <w:rPr>
          <w:rFonts w:ascii="Arial" w:hAnsi="Arial" w:cs="Arial"/>
        </w:rPr>
        <w:br/>
      </w:r>
    </w:p>
    <w:p w14:paraId="4C2B437B"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r>
      <w:r w:rsidRPr="00343386">
        <w:rPr>
          <w:rFonts w:ascii="Arial" w:hAnsi="Arial" w:cs="Arial"/>
        </w:rPr>
        <w:lastRenderedPageBreak/>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 xml:space="preserve">A SWOT analysis highlights Tesla’s strengths in innovation and brand, weaknesses in cost structure, opportunities in EV market growth, and threats from competition. </w:t>
      </w:r>
      <w:r w:rsidRPr="00343386">
        <w:rPr>
          <w:rFonts w:ascii="Arial" w:hAnsi="Arial" w:cs="Arial"/>
        </w:rPr>
        <w:lastRenderedPageBreak/>
        <w:t>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32C8B241"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r>
      <w:r w:rsidRPr="00343386">
        <w:rPr>
          <w:rFonts w:ascii="Arial" w:hAnsi="Arial" w:cs="Arial"/>
        </w:rPr>
        <w:lastRenderedPageBreak/>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r>
      <w:r w:rsidRPr="00343386">
        <w:rPr>
          <w:rFonts w:ascii="Arial" w:hAnsi="Arial" w:cs="Arial"/>
        </w:rPr>
        <w:lastRenderedPageBreak/>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586B4905"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 xml:space="preserve">Tesla operates within the automotive and clean energy industries, both of which are </w:t>
      </w:r>
      <w:r w:rsidRPr="00343386">
        <w:rPr>
          <w:rFonts w:ascii="Arial" w:hAnsi="Arial" w:cs="Arial"/>
        </w:rPr>
        <w:lastRenderedPageBreak/>
        <w:t>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 xml:space="preserve">Tesla’s corporate social responsibility strategy is embedded within its core mission. The company promotes renewable energy, reduces carbon emissions, and invests in sustainable technologies. However, challenges remain in areas such as labour practices </w:t>
      </w:r>
      <w:r w:rsidRPr="00343386">
        <w:rPr>
          <w:rFonts w:ascii="Arial" w:hAnsi="Arial" w:cs="Arial"/>
        </w:rPr>
        <w:lastRenderedPageBreak/>
        <w:t>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r>
      <w:r w:rsidRPr="00343386">
        <w:rPr>
          <w:rFonts w:ascii="Arial" w:hAnsi="Arial" w:cs="Arial"/>
        </w:rPr>
        <w:lastRenderedPageBreak/>
        <w:t>Barney (1991); Porter (1985); Kaplan &amp; Norton (1992); Tesla Annual Report.</w:t>
      </w:r>
      <w:r w:rsidRPr="00343386">
        <w:rPr>
          <w:rFonts w:ascii="Arial" w:hAnsi="Arial" w:cs="Arial"/>
        </w:rPr>
        <w:br/>
      </w:r>
    </w:p>
    <w:p w14:paraId="26DD23C1"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r>
      <w:r w:rsidRPr="00343386">
        <w:rPr>
          <w:rFonts w:ascii="Arial" w:hAnsi="Arial" w:cs="Arial"/>
        </w:rPr>
        <w:lastRenderedPageBreak/>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 xml:space="preserve">A SWOT analysis highlights Tesla’s strengths in innovation and brand, weaknesses in cost structure, opportunities in EV market growth, and threats from competition. </w:t>
      </w:r>
      <w:r w:rsidRPr="00343386">
        <w:rPr>
          <w:rFonts w:ascii="Arial" w:hAnsi="Arial" w:cs="Arial"/>
        </w:rPr>
        <w:lastRenderedPageBreak/>
        <w:t>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0CB15BEA" w14:textId="77777777" w:rsidR="00D22C1A"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Tesla operates within the automotive and clean energy industries, both of which are 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r>
      <w:r w:rsidRPr="00343386">
        <w:rPr>
          <w:rFonts w:ascii="Arial" w:hAnsi="Arial" w:cs="Arial"/>
        </w:rPr>
        <w:lastRenderedPageBreak/>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Tesla’s corporate social responsibility strategy is embedded within its core mission. The company promotes renewable energy, reduces carbon emissions, and invests in sustainable technologies. However, challenges remain in areas such as labour practices 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r>
      <w:r w:rsidRPr="00343386">
        <w:rPr>
          <w:rFonts w:ascii="Arial" w:hAnsi="Arial" w:cs="Arial"/>
        </w:rPr>
        <w:lastRenderedPageBreak/>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r w:rsidRPr="00343386">
        <w:rPr>
          <w:rFonts w:ascii="Arial" w:hAnsi="Arial" w:cs="Arial"/>
        </w:rPr>
        <w:br/>
        <w:t>References</w:t>
      </w:r>
      <w:r w:rsidRPr="00343386">
        <w:rPr>
          <w:rFonts w:ascii="Arial" w:hAnsi="Arial" w:cs="Arial"/>
        </w:rPr>
        <w:br/>
      </w:r>
      <w:r w:rsidRPr="00343386">
        <w:rPr>
          <w:rFonts w:ascii="Arial" w:hAnsi="Arial" w:cs="Arial"/>
        </w:rPr>
        <w:br/>
        <w:t>Barney (1991); Porter (1985); Kaplan &amp; Norton (1992); Tesla Annual Report.</w:t>
      </w:r>
      <w:r w:rsidRPr="00343386">
        <w:rPr>
          <w:rFonts w:ascii="Arial" w:hAnsi="Arial" w:cs="Arial"/>
        </w:rPr>
        <w:br/>
      </w:r>
    </w:p>
    <w:p w14:paraId="1C638C3F" w14:textId="77777777" w:rsidR="00E848EF" w:rsidRPr="00343386" w:rsidRDefault="005D6305" w:rsidP="00343386">
      <w:pPr>
        <w:spacing w:line="360" w:lineRule="auto"/>
        <w:rPr>
          <w:rFonts w:ascii="Arial" w:hAnsi="Arial" w:cs="Arial"/>
        </w:rPr>
      </w:pPr>
      <w:r w:rsidRPr="00343386">
        <w:rPr>
          <w:rFonts w:ascii="Arial" w:hAnsi="Arial" w:cs="Arial"/>
        </w:rPr>
        <w:t>1. Organisational Context and Overview</w:t>
      </w:r>
      <w:r w:rsidRPr="00343386">
        <w:rPr>
          <w:rFonts w:ascii="Arial" w:hAnsi="Arial" w:cs="Arial"/>
        </w:rPr>
        <w:br/>
      </w:r>
      <w:r w:rsidRPr="00343386">
        <w:rPr>
          <w:rFonts w:ascii="Arial" w:hAnsi="Arial" w:cs="Arial"/>
        </w:rPr>
        <w:br/>
        <w:t xml:space="preserve">Tesla, Inc. is a globally recognised leader in electric vehicles (EVs) and renewable energy solutions. Founded in 2003, the organisation has transformed the automotive industry through innovation, sustainability, and disruptive business models. Tesla’s mission is to accelerate the world’s transition to sustainable energy, and this mission underpins </w:t>
      </w:r>
      <w:proofErr w:type="gramStart"/>
      <w:r w:rsidRPr="00343386">
        <w:rPr>
          <w:rFonts w:ascii="Arial" w:hAnsi="Arial" w:cs="Arial"/>
        </w:rPr>
        <w:t>all of</w:t>
      </w:r>
      <w:proofErr w:type="gramEnd"/>
      <w:r w:rsidRPr="00343386">
        <w:rPr>
          <w:rFonts w:ascii="Arial" w:hAnsi="Arial" w:cs="Arial"/>
        </w:rPr>
        <w:t xml:space="preserve"> its strategic decisions.</w:t>
      </w:r>
      <w:r w:rsidRPr="00343386">
        <w:rPr>
          <w:rFonts w:ascii="Arial" w:hAnsi="Arial" w:cs="Arial"/>
        </w:rPr>
        <w:br/>
      </w:r>
      <w:r w:rsidRPr="00343386">
        <w:rPr>
          <w:rFonts w:ascii="Arial" w:hAnsi="Arial" w:cs="Arial"/>
        </w:rPr>
        <w:br/>
        <w:t xml:space="preserve">Tesla operates within the automotive and clean energy industries, both of which are </w:t>
      </w:r>
      <w:r w:rsidRPr="00343386">
        <w:rPr>
          <w:rFonts w:ascii="Arial" w:hAnsi="Arial" w:cs="Arial"/>
        </w:rPr>
        <w:lastRenderedPageBreak/>
        <w:t>highly competitive and undergoing rapid tr</w:t>
      </w:r>
      <w:r w:rsidRPr="00343386">
        <w:rPr>
          <w:rFonts w:ascii="Arial" w:hAnsi="Arial" w:cs="Arial"/>
        </w:rPr>
        <w:t>ansformation. The organisation’s vertically integrated business model allows it to control key aspects of production, including battery manufacturing, software development, and direct sales. This gives Tesla a unique competitive advantage compared to traditional automakers such as Toyota and Volkswagen.</w:t>
      </w:r>
      <w:r w:rsidRPr="00343386">
        <w:rPr>
          <w:rFonts w:ascii="Arial" w:hAnsi="Arial" w:cs="Arial"/>
        </w:rPr>
        <w:br/>
      </w:r>
      <w:r w:rsidRPr="00343386">
        <w:rPr>
          <w:rFonts w:ascii="Arial" w:hAnsi="Arial" w:cs="Arial"/>
        </w:rPr>
        <w:br/>
        <w:t>The company has achieved a strong market position due to its technological innovation, premium branding, and commitment to sustainability. However, it faces increasing competition from both traditional auto</w:t>
      </w:r>
      <w:r w:rsidRPr="00343386">
        <w:rPr>
          <w:rFonts w:ascii="Arial" w:hAnsi="Arial" w:cs="Arial"/>
        </w:rPr>
        <w:t>motive firms and emerging EV companies such as BYD and NIO.</w:t>
      </w:r>
      <w:r w:rsidRPr="00343386">
        <w:rPr>
          <w:rFonts w:ascii="Arial" w:hAnsi="Arial" w:cs="Arial"/>
        </w:rPr>
        <w:br/>
      </w:r>
      <w:r w:rsidRPr="00343386">
        <w:rPr>
          <w:rFonts w:ascii="Arial" w:hAnsi="Arial" w:cs="Arial"/>
        </w:rPr>
        <w:br/>
        <w:t>2. External and Internal Environment Analysis</w:t>
      </w:r>
      <w:r w:rsidRPr="00343386">
        <w:rPr>
          <w:rFonts w:ascii="Arial" w:hAnsi="Arial" w:cs="Arial"/>
        </w:rPr>
        <w:br/>
      </w:r>
      <w:r w:rsidRPr="00343386">
        <w:rPr>
          <w:rFonts w:ascii="Arial" w:hAnsi="Arial" w:cs="Arial"/>
        </w:rPr>
        <w:br/>
        <w:t>A PESTEL analysis highlights the macro-environmental factors influencing Tesla. Politically, government incentives and environmental regulations support EV adoption. Economically, inflation and fluctuations in raw material costs impact Tesla’s profitability. Socially, increasing environmental awareness drives demand for electric vehicles. Technologically, Tesla invests heavily in research and developm</w:t>
      </w:r>
      <w:r w:rsidRPr="00343386">
        <w:rPr>
          <w:rFonts w:ascii="Arial" w:hAnsi="Arial" w:cs="Arial"/>
        </w:rPr>
        <w:t>ent to maintain its competitive edge. Environmentally, the organisation contributes to reducing emissions but faces criticism over battery production. Legally, Tesla must comply with safety and autonomous driving regulations.</w:t>
      </w:r>
      <w:r w:rsidRPr="00343386">
        <w:rPr>
          <w:rFonts w:ascii="Arial" w:hAnsi="Arial" w:cs="Arial"/>
        </w:rPr>
        <w:br/>
      </w:r>
      <w:r w:rsidRPr="00343386">
        <w:rPr>
          <w:rFonts w:ascii="Arial" w:hAnsi="Arial" w:cs="Arial"/>
        </w:rPr>
        <w:br/>
        <w:t>Internally, Tesla possesses strong resources including advanced battery technology, global manufacturing facilities, and a strong brand reputation. Its capabilities include innovation, vertical integration, and data-driven decision-making.</w:t>
      </w:r>
      <w:r w:rsidRPr="00343386">
        <w:rPr>
          <w:rFonts w:ascii="Arial" w:hAnsi="Arial" w:cs="Arial"/>
        </w:rPr>
        <w:br/>
      </w:r>
      <w:r w:rsidRPr="00343386">
        <w:rPr>
          <w:rFonts w:ascii="Arial" w:hAnsi="Arial" w:cs="Arial"/>
        </w:rPr>
        <w:br/>
        <w:t>The VRIO framework demonstrates that Tesla’s</w:t>
      </w:r>
      <w:r w:rsidRPr="00343386">
        <w:rPr>
          <w:rFonts w:ascii="Arial" w:hAnsi="Arial" w:cs="Arial"/>
        </w:rPr>
        <w:t xml:space="preserve"> resources are valuable, rare, difficult to imitate, and well-organised, providing sustained competitive advantage.</w:t>
      </w:r>
      <w:r w:rsidRPr="00343386">
        <w:rPr>
          <w:rFonts w:ascii="Arial" w:hAnsi="Arial" w:cs="Arial"/>
        </w:rPr>
        <w:br/>
      </w:r>
      <w:r w:rsidRPr="00343386">
        <w:rPr>
          <w:rFonts w:ascii="Arial" w:hAnsi="Arial" w:cs="Arial"/>
        </w:rPr>
        <w:br/>
        <w:t>3. CSR and Sustainability Objectives</w:t>
      </w:r>
      <w:r w:rsidRPr="00343386">
        <w:rPr>
          <w:rFonts w:ascii="Arial" w:hAnsi="Arial" w:cs="Arial"/>
        </w:rPr>
        <w:br/>
      </w:r>
      <w:r w:rsidRPr="00343386">
        <w:rPr>
          <w:rFonts w:ascii="Arial" w:hAnsi="Arial" w:cs="Arial"/>
        </w:rPr>
        <w:br/>
        <w:t xml:space="preserve">Tesla’s corporate social responsibility strategy is embedded within its core mission. The company promotes renewable energy, reduces carbon emissions, and invests in sustainable technologies. However, challenges remain in areas such as labour practices </w:t>
      </w:r>
      <w:r w:rsidRPr="00343386">
        <w:rPr>
          <w:rFonts w:ascii="Arial" w:hAnsi="Arial" w:cs="Arial"/>
        </w:rPr>
        <w:lastRenderedPageBreak/>
        <w:t>and supply chain ethics.</w:t>
      </w:r>
      <w:r w:rsidRPr="00343386">
        <w:rPr>
          <w:rFonts w:ascii="Arial" w:hAnsi="Arial" w:cs="Arial"/>
        </w:rPr>
        <w:br/>
      </w:r>
      <w:r w:rsidRPr="00343386">
        <w:rPr>
          <w:rFonts w:ascii="Arial" w:hAnsi="Arial" w:cs="Arial"/>
        </w:rPr>
        <w:br/>
        <w:t>4. Balanced Scorecard</w:t>
      </w:r>
      <w:r w:rsidRPr="00343386">
        <w:rPr>
          <w:rFonts w:ascii="Arial" w:hAnsi="Arial" w:cs="Arial"/>
        </w:rPr>
        <w:br/>
      </w:r>
      <w:r w:rsidRPr="00343386">
        <w:rPr>
          <w:rFonts w:ascii="Arial" w:hAnsi="Arial" w:cs="Arial"/>
        </w:rPr>
        <w:br/>
        <w:t xml:space="preserve">Financial Perspective: Tesla focuses on revenue growth </w:t>
      </w:r>
      <w:r w:rsidRPr="00343386">
        <w:rPr>
          <w:rFonts w:ascii="Arial" w:hAnsi="Arial" w:cs="Arial"/>
        </w:rPr>
        <w:t>and profitability through increased EV sales.</w:t>
      </w:r>
      <w:r w:rsidRPr="00343386">
        <w:rPr>
          <w:rFonts w:ascii="Arial" w:hAnsi="Arial" w:cs="Arial"/>
        </w:rPr>
        <w:br/>
        <w:t>Customer Perspective: The organisation prioritises customer satisfaction and brand loyalty.</w:t>
      </w:r>
      <w:r w:rsidRPr="00343386">
        <w:rPr>
          <w:rFonts w:ascii="Arial" w:hAnsi="Arial" w:cs="Arial"/>
        </w:rPr>
        <w:br/>
        <w:t>Internal Processes: Tesla aims to improve efficiency and production capabilities.</w:t>
      </w:r>
      <w:r w:rsidRPr="00343386">
        <w:rPr>
          <w:rFonts w:ascii="Arial" w:hAnsi="Arial" w:cs="Arial"/>
        </w:rPr>
        <w:br/>
        <w:t>Learning and Growth: The company invests in innovation and employee development.</w:t>
      </w:r>
      <w:r w:rsidRPr="00343386">
        <w:rPr>
          <w:rFonts w:ascii="Arial" w:hAnsi="Arial" w:cs="Arial"/>
        </w:rPr>
        <w:br/>
      </w:r>
      <w:r w:rsidRPr="00343386">
        <w:rPr>
          <w:rFonts w:ascii="Arial" w:hAnsi="Arial" w:cs="Arial"/>
        </w:rPr>
        <w:br/>
        <w:t>5. Strategic Choices and Implementation</w:t>
      </w:r>
      <w:r w:rsidRPr="00343386">
        <w:rPr>
          <w:rFonts w:ascii="Arial" w:hAnsi="Arial" w:cs="Arial"/>
        </w:rPr>
        <w:br/>
      </w:r>
      <w:r w:rsidRPr="00343386">
        <w:rPr>
          <w:rFonts w:ascii="Arial" w:hAnsi="Arial" w:cs="Arial"/>
        </w:rPr>
        <w:br/>
        <w:t xml:space="preserve">Tesla adopts a differentiation strategy, focusing on innovation and premium products. At the corporate level, the organisation pursues diversification and international </w:t>
      </w:r>
      <w:r w:rsidRPr="00343386">
        <w:rPr>
          <w:rFonts w:ascii="Arial" w:hAnsi="Arial" w:cs="Arial"/>
        </w:rPr>
        <w:t>expansion. Recommendations include cost reduction, expansion into emerging markets, and strengthening partnerships.</w:t>
      </w:r>
      <w:r w:rsidRPr="00343386">
        <w:rPr>
          <w:rFonts w:ascii="Arial" w:hAnsi="Arial" w:cs="Arial"/>
        </w:rPr>
        <w:br/>
      </w:r>
      <w:r w:rsidRPr="00343386">
        <w:rPr>
          <w:rFonts w:ascii="Arial" w:hAnsi="Arial" w:cs="Arial"/>
        </w:rPr>
        <w:br/>
        <w:t>6. Strategic Evaluation and Recommendations</w:t>
      </w:r>
      <w:r w:rsidRPr="00343386">
        <w:rPr>
          <w:rFonts w:ascii="Arial" w:hAnsi="Arial" w:cs="Arial"/>
        </w:rPr>
        <w:br/>
      </w:r>
      <w:r w:rsidRPr="00343386">
        <w:rPr>
          <w:rFonts w:ascii="Arial" w:hAnsi="Arial" w:cs="Arial"/>
        </w:rPr>
        <w:br/>
        <w:t>A SWOT analysis highlights Tesla’s strengths in innovation and brand, weaknesses in cost structure, opportunities in EV market growth, and threats from competition. Recommendations include improving cost efficiency, expanding product offerings, and enhancing CSR transparency.</w:t>
      </w:r>
      <w:r w:rsidRPr="00343386">
        <w:rPr>
          <w:rFonts w:ascii="Arial" w:hAnsi="Arial" w:cs="Arial"/>
        </w:rPr>
        <w:br/>
      </w:r>
      <w:r w:rsidRPr="00343386">
        <w:rPr>
          <w:rFonts w:ascii="Arial" w:hAnsi="Arial" w:cs="Arial"/>
        </w:rPr>
        <w:br/>
        <w:t>Reflective Section (Gibbs Cycle)</w:t>
      </w:r>
      <w:r w:rsidRPr="00343386">
        <w:rPr>
          <w:rFonts w:ascii="Arial" w:hAnsi="Arial" w:cs="Arial"/>
        </w:rPr>
        <w:br/>
      </w:r>
      <w:r w:rsidRPr="00343386">
        <w:rPr>
          <w:rFonts w:ascii="Arial" w:hAnsi="Arial" w:cs="Arial"/>
        </w:rPr>
        <w:br/>
        <w:t>This assignment enhanced my understand</w:t>
      </w:r>
      <w:r w:rsidRPr="00343386">
        <w:rPr>
          <w:rFonts w:ascii="Arial" w:hAnsi="Arial" w:cs="Arial"/>
        </w:rPr>
        <w:t>ing of strategic management concepts and their application. I developed skills in critical thinking, research, and analysis. In future, I will improve time management and engage with more academic sources.</w:t>
      </w:r>
      <w:r w:rsidRPr="00343386">
        <w:rPr>
          <w:rFonts w:ascii="Arial" w:hAnsi="Arial" w:cs="Arial"/>
        </w:rPr>
        <w:br/>
      </w:r>
    </w:p>
    <w:p w14:paraId="791C74C8" w14:textId="77777777" w:rsidR="00E848EF" w:rsidRPr="00343386" w:rsidRDefault="00E848EF" w:rsidP="00343386">
      <w:pPr>
        <w:spacing w:line="360" w:lineRule="auto"/>
        <w:rPr>
          <w:rFonts w:ascii="Arial" w:hAnsi="Arial" w:cs="Arial"/>
        </w:rPr>
      </w:pPr>
    </w:p>
    <w:p w14:paraId="7C7B995C" w14:textId="77777777" w:rsidR="00E848EF" w:rsidRPr="00343386" w:rsidRDefault="00E848EF" w:rsidP="00343386">
      <w:pPr>
        <w:spacing w:line="360" w:lineRule="auto"/>
        <w:rPr>
          <w:rFonts w:ascii="Arial" w:hAnsi="Arial" w:cs="Arial"/>
        </w:rPr>
      </w:pPr>
    </w:p>
    <w:p w14:paraId="10AA9DFA" w14:textId="77777777" w:rsidR="00E848EF" w:rsidRPr="00343386" w:rsidRDefault="00E848EF" w:rsidP="00343386">
      <w:pPr>
        <w:spacing w:line="360" w:lineRule="auto"/>
        <w:rPr>
          <w:rFonts w:ascii="Arial" w:hAnsi="Arial" w:cs="Arial"/>
        </w:rPr>
      </w:pPr>
    </w:p>
    <w:p w14:paraId="1F62C5A7" w14:textId="77777777" w:rsidR="00E848EF" w:rsidRPr="00343386" w:rsidRDefault="00E848EF" w:rsidP="00343386">
      <w:pPr>
        <w:spacing w:line="360" w:lineRule="auto"/>
        <w:rPr>
          <w:rFonts w:ascii="Arial" w:hAnsi="Arial" w:cs="Arial"/>
        </w:rPr>
      </w:pPr>
    </w:p>
    <w:p w14:paraId="1D7A4F71" w14:textId="77777777" w:rsidR="00E848EF" w:rsidRPr="00343386" w:rsidRDefault="00E848EF" w:rsidP="00343386">
      <w:pPr>
        <w:spacing w:line="360" w:lineRule="auto"/>
        <w:rPr>
          <w:rFonts w:ascii="Arial" w:hAnsi="Arial" w:cs="Arial"/>
        </w:rPr>
      </w:pPr>
    </w:p>
    <w:p w14:paraId="3FF24F32" w14:textId="77777777" w:rsidR="00E848EF" w:rsidRPr="00343386" w:rsidRDefault="00E848EF" w:rsidP="00343386">
      <w:pPr>
        <w:spacing w:line="360" w:lineRule="auto"/>
        <w:rPr>
          <w:rFonts w:ascii="Arial" w:hAnsi="Arial" w:cs="Arial"/>
        </w:rPr>
      </w:pPr>
    </w:p>
    <w:p w14:paraId="7F030ED4" w14:textId="77777777" w:rsidR="00E848EF" w:rsidRPr="00343386" w:rsidRDefault="00E848EF" w:rsidP="00343386">
      <w:pPr>
        <w:spacing w:line="360" w:lineRule="auto"/>
        <w:rPr>
          <w:rFonts w:ascii="Arial" w:hAnsi="Arial" w:cs="Arial"/>
        </w:rPr>
      </w:pPr>
    </w:p>
    <w:p w14:paraId="0AE89564" w14:textId="77777777" w:rsidR="00E848EF" w:rsidRPr="00343386" w:rsidRDefault="00E848EF" w:rsidP="00343386">
      <w:pPr>
        <w:spacing w:line="360" w:lineRule="auto"/>
        <w:rPr>
          <w:rFonts w:ascii="Arial" w:hAnsi="Arial" w:cs="Arial"/>
        </w:rPr>
      </w:pPr>
    </w:p>
    <w:p w14:paraId="0020340A" w14:textId="77777777" w:rsidR="00E848EF" w:rsidRPr="00343386" w:rsidRDefault="00E848EF" w:rsidP="00343386">
      <w:pPr>
        <w:spacing w:line="360" w:lineRule="auto"/>
        <w:rPr>
          <w:rFonts w:ascii="Arial" w:hAnsi="Arial" w:cs="Arial"/>
        </w:rPr>
      </w:pPr>
    </w:p>
    <w:p w14:paraId="37ABF102" w14:textId="77777777" w:rsidR="00E848EF" w:rsidRPr="00343386" w:rsidRDefault="00E848EF" w:rsidP="00343386">
      <w:pPr>
        <w:spacing w:line="360" w:lineRule="auto"/>
        <w:rPr>
          <w:rFonts w:ascii="Arial" w:hAnsi="Arial" w:cs="Arial"/>
        </w:rPr>
      </w:pPr>
    </w:p>
    <w:p w14:paraId="33C3906C" w14:textId="77777777" w:rsidR="00DC449E" w:rsidRPr="00343386" w:rsidRDefault="005D6305" w:rsidP="00343386">
      <w:pPr>
        <w:spacing w:line="360" w:lineRule="auto"/>
        <w:rPr>
          <w:rFonts w:ascii="Arial" w:hAnsi="Arial" w:cs="Arial"/>
          <w:b/>
          <w:bCs/>
        </w:rPr>
      </w:pPr>
      <w:r w:rsidRPr="00343386">
        <w:rPr>
          <w:rFonts w:ascii="Arial" w:hAnsi="Arial" w:cs="Arial"/>
        </w:rPr>
        <w:br/>
      </w:r>
    </w:p>
    <w:p w14:paraId="55294812" w14:textId="77777777" w:rsidR="00343386" w:rsidRDefault="00343386" w:rsidP="00343386">
      <w:pPr>
        <w:spacing w:line="360" w:lineRule="auto"/>
        <w:rPr>
          <w:rFonts w:ascii="Arial" w:hAnsi="Arial" w:cs="Arial"/>
          <w:b/>
          <w:bCs/>
        </w:rPr>
      </w:pPr>
    </w:p>
    <w:p w14:paraId="524DCE8B" w14:textId="77777777" w:rsidR="00343386" w:rsidRDefault="00343386" w:rsidP="00343386">
      <w:pPr>
        <w:spacing w:line="360" w:lineRule="auto"/>
        <w:rPr>
          <w:rFonts w:ascii="Arial" w:hAnsi="Arial" w:cs="Arial"/>
          <w:b/>
          <w:bCs/>
        </w:rPr>
      </w:pPr>
    </w:p>
    <w:p w14:paraId="3742B555" w14:textId="77777777" w:rsidR="00343386" w:rsidRDefault="00343386" w:rsidP="00343386">
      <w:pPr>
        <w:spacing w:line="360" w:lineRule="auto"/>
        <w:rPr>
          <w:rFonts w:ascii="Arial" w:hAnsi="Arial" w:cs="Arial"/>
          <w:b/>
          <w:bCs/>
        </w:rPr>
      </w:pPr>
    </w:p>
    <w:p w14:paraId="69B3EDD0" w14:textId="77777777" w:rsidR="00343386" w:rsidRDefault="00343386" w:rsidP="00343386">
      <w:pPr>
        <w:spacing w:line="360" w:lineRule="auto"/>
        <w:rPr>
          <w:rFonts w:ascii="Arial" w:hAnsi="Arial" w:cs="Arial"/>
          <w:b/>
          <w:bCs/>
        </w:rPr>
      </w:pPr>
    </w:p>
    <w:p w14:paraId="2CA5899B" w14:textId="77777777" w:rsidR="00343386" w:rsidRDefault="00343386" w:rsidP="00343386">
      <w:pPr>
        <w:spacing w:line="360" w:lineRule="auto"/>
        <w:rPr>
          <w:rFonts w:ascii="Arial" w:hAnsi="Arial" w:cs="Arial"/>
          <w:b/>
          <w:bCs/>
        </w:rPr>
      </w:pPr>
    </w:p>
    <w:p w14:paraId="4A5DB9D8" w14:textId="77777777" w:rsidR="00343386" w:rsidRDefault="00343386" w:rsidP="00343386">
      <w:pPr>
        <w:spacing w:line="360" w:lineRule="auto"/>
        <w:rPr>
          <w:rFonts w:ascii="Arial" w:hAnsi="Arial" w:cs="Arial"/>
          <w:b/>
          <w:bCs/>
        </w:rPr>
      </w:pPr>
    </w:p>
    <w:p w14:paraId="4B4C5507" w14:textId="77777777" w:rsidR="00343386" w:rsidRDefault="00343386" w:rsidP="00343386">
      <w:pPr>
        <w:spacing w:line="360" w:lineRule="auto"/>
        <w:rPr>
          <w:rFonts w:ascii="Arial" w:hAnsi="Arial" w:cs="Arial"/>
          <w:b/>
          <w:bCs/>
        </w:rPr>
      </w:pPr>
    </w:p>
    <w:p w14:paraId="65CD7752" w14:textId="77777777" w:rsidR="00343386" w:rsidRDefault="00343386" w:rsidP="00343386">
      <w:pPr>
        <w:spacing w:line="360" w:lineRule="auto"/>
        <w:rPr>
          <w:rFonts w:ascii="Arial" w:hAnsi="Arial" w:cs="Arial"/>
          <w:b/>
          <w:bCs/>
        </w:rPr>
      </w:pPr>
    </w:p>
    <w:p w14:paraId="1A04715D" w14:textId="77777777" w:rsidR="00343386" w:rsidRDefault="00343386" w:rsidP="00343386">
      <w:pPr>
        <w:spacing w:line="360" w:lineRule="auto"/>
        <w:rPr>
          <w:rFonts w:ascii="Arial" w:hAnsi="Arial" w:cs="Arial"/>
          <w:b/>
          <w:bCs/>
        </w:rPr>
      </w:pPr>
    </w:p>
    <w:p w14:paraId="7040D992" w14:textId="77777777" w:rsidR="00343386" w:rsidRDefault="00343386" w:rsidP="00343386">
      <w:pPr>
        <w:spacing w:line="360" w:lineRule="auto"/>
        <w:rPr>
          <w:rFonts w:ascii="Arial" w:hAnsi="Arial" w:cs="Arial"/>
          <w:b/>
          <w:bCs/>
        </w:rPr>
      </w:pPr>
    </w:p>
    <w:p w14:paraId="0ED13411" w14:textId="77777777" w:rsidR="00343386" w:rsidRDefault="00343386" w:rsidP="00343386">
      <w:pPr>
        <w:spacing w:line="360" w:lineRule="auto"/>
        <w:rPr>
          <w:rFonts w:ascii="Arial" w:hAnsi="Arial" w:cs="Arial"/>
          <w:b/>
          <w:bCs/>
        </w:rPr>
      </w:pPr>
    </w:p>
    <w:p w14:paraId="14C3C571" w14:textId="77777777" w:rsidR="00343386" w:rsidRDefault="00343386" w:rsidP="00343386">
      <w:pPr>
        <w:spacing w:line="360" w:lineRule="auto"/>
        <w:rPr>
          <w:rFonts w:ascii="Arial" w:hAnsi="Arial" w:cs="Arial"/>
          <w:b/>
          <w:bCs/>
        </w:rPr>
      </w:pPr>
    </w:p>
    <w:p w14:paraId="35E5C963" w14:textId="0AC7242F" w:rsidR="002E7DE8" w:rsidRPr="00343386" w:rsidRDefault="005D6305" w:rsidP="00343386">
      <w:pPr>
        <w:spacing w:line="360" w:lineRule="auto"/>
        <w:rPr>
          <w:rFonts w:ascii="Arial" w:hAnsi="Arial" w:cs="Arial"/>
          <w:lang w:val="en-GB"/>
        </w:rPr>
      </w:pPr>
      <w:r w:rsidRPr="00343386">
        <w:rPr>
          <w:rFonts w:ascii="Arial" w:hAnsi="Arial" w:cs="Arial"/>
          <w:b/>
          <w:bCs/>
        </w:rPr>
        <w:lastRenderedPageBreak/>
        <w:t>References</w:t>
      </w:r>
      <w:r w:rsidRPr="00343386">
        <w:rPr>
          <w:rFonts w:ascii="Arial" w:hAnsi="Arial" w:cs="Arial"/>
          <w:b/>
          <w:bCs/>
        </w:rPr>
        <w:br/>
      </w:r>
      <w:r w:rsidRPr="00343386">
        <w:rPr>
          <w:rFonts w:ascii="Arial" w:hAnsi="Arial" w:cs="Arial"/>
        </w:rPr>
        <w:br/>
      </w:r>
      <w:r w:rsidR="002E7DE8" w:rsidRPr="00343386">
        <w:rPr>
          <w:rFonts w:ascii="Arial" w:hAnsi="Arial" w:cs="Arial"/>
          <w:lang w:val="en-GB"/>
        </w:rPr>
        <w:t xml:space="preserve">Barney, J. (1991) ‘Firm resources and sustained competitive advantage’, </w:t>
      </w:r>
      <w:r w:rsidR="002E7DE8" w:rsidRPr="00343386">
        <w:rPr>
          <w:rFonts w:ascii="Arial" w:hAnsi="Arial" w:cs="Arial"/>
          <w:i/>
          <w:iCs/>
          <w:lang w:val="en-GB"/>
        </w:rPr>
        <w:t>Journal of Management</w:t>
      </w:r>
      <w:r w:rsidR="002E7DE8" w:rsidRPr="00343386">
        <w:rPr>
          <w:rFonts w:ascii="Arial" w:hAnsi="Arial" w:cs="Arial"/>
          <w:lang w:val="en-GB"/>
        </w:rPr>
        <w:t>, 17(1), pp. 99–120.</w:t>
      </w:r>
    </w:p>
    <w:p w14:paraId="4B6B9DBA" w14:textId="77777777" w:rsidR="002E7DE8" w:rsidRPr="00343386" w:rsidRDefault="002E7DE8" w:rsidP="00343386">
      <w:pPr>
        <w:spacing w:line="360" w:lineRule="auto"/>
        <w:rPr>
          <w:rFonts w:ascii="Arial" w:hAnsi="Arial" w:cs="Arial"/>
          <w:lang w:val="en-GB"/>
        </w:rPr>
      </w:pPr>
      <w:proofErr w:type="spellStart"/>
      <w:r w:rsidRPr="00343386">
        <w:rPr>
          <w:rFonts w:ascii="Arial" w:hAnsi="Arial" w:cs="Arial"/>
          <w:lang w:val="en-GB"/>
        </w:rPr>
        <w:t>Bocken</w:t>
      </w:r>
      <w:proofErr w:type="spellEnd"/>
      <w:r w:rsidRPr="00343386">
        <w:rPr>
          <w:rFonts w:ascii="Arial" w:hAnsi="Arial" w:cs="Arial"/>
          <w:lang w:val="en-GB"/>
        </w:rPr>
        <w:t xml:space="preserve">, N.M.P., Short, S.W., Rana, P. and Evans, S. (2014) ‘A literature and practice review to develop sustainable business model archetypes’, </w:t>
      </w:r>
      <w:r w:rsidRPr="00343386">
        <w:rPr>
          <w:rFonts w:ascii="Arial" w:hAnsi="Arial" w:cs="Arial"/>
          <w:i/>
          <w:iCs/>
          <w:lang w:val="en-GB"/>
        </w:rPr>
        <w:t>Journal of Cleaner Production</w:t>
      </w:r>
      <w:r w:rsidRPr="00343386">
        <w:rPr>
          <w:rFonts w:ascii="Arial" w:hAnsi="Arial" w:cs="Arial"/>
          <w:lang w:val="en-GB"/>
        </w:rPr>
        <w:t>, 65, pp. 42–56.</w:t>
      </w:r>
    </w:p>
    <w:p w14:paraId="7A8EBC56"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Grant, R.M. (2019) </w:t>
      </w:r>
      <w:r w:rsidRPr="00343386">
        <w:rPr>
          <w:rFonts w:ascii="Arial" w:hAnsi="Arial" w:cs="Arial"/>
          <w:i/>
          <w:iCs/>
          <w:lang w:val="en-GB"/>
        </w:rPr>
        <w:t>Contemporary Strategy Analysis</w:t>
      </w:r>
      <w:r w:rsidRPr="00343386">
        <w:rPr>
          <w:rFonts w:ascii="Arial" w:hAnsi="Arial" w:cs="Arial"/>
          <w:lang w:val="en-GB"/>
        </w:rPr>
        <w:t xml:space="preserve">. 10th </w:t>
      </w:r>
      <w:proofErr w:type="spellStart"/>
      <w:r w:rsidRPr="00343386">
        <w:rPr>
          <w:rFonts w:ascii="Arial" w:hAnsi="Arial" w:cs="Arial"/>
          <w:lang w:val="en-GB"/>
        </w:rPr>
        <w:t>edn</w:t>
      </w:r>
      <w:proofErr w:type="spellEnd"/>
      <w:r w:rsidRPr="00343386">
        <w:rPr>
          <w:rFonts w:ascii="Arial" w:hAnsi="Arial" w:cs="Arial"/>
          <w:lang w:val="en-GB"/>
        </w:rPr>
        <w:t>. Chichester: Wiley.</w:t>
      </w:r>
    </w:p>
    <w:p w14:paraId="50DC324B"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Gibbs, G. (1988) </w:t>
      </w:r>
      <w:r w:rsidRPr="00343386">
        <w:rPr>
          <w:rFonts w:ascii="Arial" w:hAnsi="Arial" w:cs="Arial"/>
          <w:i/>
          <w:iCs/>
          <w:lang w:val="en-GB"/>
        </w:rPr>
        <w:t>Learning by Doing: A Guide to Teaching and Learning Methods</w:t>
      </w:r>
      <w:r w:rsidRPr="00343386">
        <w:rPr>
          <w:rFonts w:ascii="Arial" w:hAnsi="Arial" w:cs="Arial"/>
          <w:lang w:val="en-GB"/>
        </w:rPr>
        <w:t>. Oxford: Oxford Polytechnic.</w:t>
      </w:r>
    </w:p>
    <w:p w14:paraId="2A823540"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Hill, C.W.L., Schilling, M.A. and Jones, G.R. (2017) </w:t>
      </w:r>
      <w:r w:rsidRPr="00343386">
        <w:rPr>
          <w:rFonts w:ascii="Arial" w:hAnsi="Arial" w:cs="Arial"/>
          <w:i/>
          <w:iCs/>
          <w:lang w:val="en-GB"/>
        </w:rPr>
        <w:t>Strategic Management: Theory &amp; Cases</w:t>
      </w:r>
      <w:r w:rsidRPr="00343386">
        <w:rPr>
          <w:rFonts w:ascii="Arial" w:hAnsi="Arial" w:cs="Arial"/>
          <w:lang w:val="en-GB"/>
        </w:rPr>
        <w:t xml:space="preserve">. 12th </w:t>
      </w:r>
      <w:proofErr w:type="spellStart"/>
      <w:r w:rsidRPr="00343386">
        <w:rPr>
          <w:rFonts w:ascii="Arial" w:hAnsi="Arial" w:cs="Arial"/>
          <w:lang w:val="en-GB"/>
        </w:rPr>
        <w:t>edn</w:t>
      </w:r>
      <w:proofErr w:type="spellEnd"/>
      <w:r w:rsidRPr="00343386">
        <w:rPr>
          <w:rFonts w:ascii="Arial" w:hAnsi="Arial" w:cs="Arial"/>
          <w:lang w:val="en-GB"/>
        </w:rPr>
        <w:t>. Boston: Cengage Learning.</w:t>
      </w:r>
    </w:p>
    <w:p w14:paraId="60418F19"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IEA (2023) </w:t>
      </w:r>
      <w:r w:rsidRPr="00343386">
        <w:rPr>
          <w:rFonts w:ascii="Arial" w:hAnsi="Arial" w:cs="Arial"/>
          <w:i/>
          <w:iCs/>
          <w:lang w:val="en-GB"/>
        </w:rPr>
        <w:t>Global EV Outlook 2023</w:t>
      </w:r>
      <w:r w:rsidRPr="00343386">
        <w:rPr>
          <w:rFonts w:ascii="Arial" w:hAnsi="Arial" w:cs="Arial"/>
          <w:lang w:val="en-GB"/>
        </w:rPr>
        <w:t>. Paris: International Energy Agency.</w:t>
      </w:r>
    </w:p>
    <w:p w14:paraId="4E1B8A6C"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Johnson, G., Scholes, K. and Whittington, R. (2017) </w:t>
      </w:r>
      <w:r w:rsidRPr="00343386">
        <w:rPr>
          <w:rFonts w:ascii="Arial" w:hAnsi="Arial" w:cs="Arial"/>
          <w:i/>
          <w:iCs/>
          <w:lang w:val="en-GB"/>
        </w:rPr>
        <w:t>Exploring Strategy</w:t>
      </w:r>
      <w:r w:rsidRPr="00343386">
        <w:rPr>
          <w:rFonts w:ascii="Arial" w:hAnsi="Arial" w:cs="Arial"/>
          <w:lang w:val="en-GB"/>
        </w:rPr>
        <w:t xml:space="preserve">. 11th </w:t>
      </w:r>
      <w:proofErr w:type="spellStart"/>
      <w:r w:rsidRPr="00343386">
        <w:rPr>
          <w:rFonts w:ascii="Arial" w:hAnsi="Arial" w:cs="Arial"/>
          <w:lang w:val="en-GB"/>
        </w:rPr>
        <w:t>edn</w:t>
      </w:r>
      <w:proofErr w:type="spellEnd"/>
      <w:r w:rsidRPr="00343386">
        <w:rPr>
          <w:rFonts w:ascii="Arial" w:hAnsi="Arial" w:cs="Arial"/>
          <w:lang w:val="en-GB"/>
        </w:rPr>
        <w:t>. Harlow: Pearson.</w:t>
      </w:r>
    </w:p>
    <w:p w14:paraId="119A30FF"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Kaplan, R.S. and Norton, D.P. (1992) ‘The Balanced Scorecard – Measures that drive performance’, </w:t>
      </w:r>
      <w:r w:rsidRPr="00343386">
        <w:rPr>
          <w:rFonts w:ascii="Arial" w:hAnsi="Arial" w:cs="Arial"/>
          <w:i/>
          <w:iCs/>
          <w:lang w:val="en-GB"/>
        </w:rPr>
        <w:t>Harvard Business Review</w:t>
      </w:r>
      <w:r w:rsidRPr="00343386">
        <w:rPr>
          <w:rFonts w:ascii="Arial" w:hAnsi="Arial" w:cs="Arial"/>
          <w:lang w:val="en-GB"/>
        </w:rPr>
        <w:t>, 70(1), pp. 71–79.</w:t>
      </w:r>
    </w:p>
    <w:p w14:paraId="63565F5B"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Kaplan, R.S. and Norton, D.P. (2001) </w:t>
      </w:r>
      <w:r w:rsidRPr="00343386">
        <w:rPr>
          <w:rFonts w:ascii="Arial" w:hAnsi="Arial" w:cs="Arial"/>
          <w:i/>
          <w:iCs/>
          <w:lang w:val="en-GB"/>
        </w:rPr>
        <w:t>The Strategy-Focused Organization</w:t>
      </w:r>
      <w:r w:rsidRPr="00343386">
        <w:rPr>
          <w:rFonts w:ascii="Arial" w:hAnsi="Arial" w:cs="Arial"/>
          <w:lang w:val="en-GB"/>
        </w:rPr>
        <w:t>. Boston: Harvard Business School Press.</w:t>
      </w:r>
    </w:p>
    <w:p w14:paraId="03951328"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Kim, W.C. and Mauborgne, R. (2015) </w:t>
      </w:r>
      <w:r w:rsidRPr="00343386">
        <w:rPr>
          <w:rFonts w:ascii="Arial" w:hAnsi="Arial" w:cs="Arial"/>
          <w:i/>
          <w:iCs/>
          <w:lang w:val="en-GB"/>
        </w:rPr>
        <w:t>Blue Ocean Strategy</w:t>
      </w:r>
      <w:r w:rsidRPr="00343386">
        <w:rPr>
          <w:rFonts w:ascii="Arial" w:hAnsi="Arial" w:cs="Arial"/>
          <w:lang w:val="en-GB"/>
        </w:rPr>
        <w:t xml:space="preserve">. 2nd </w:t>
      </w:r>
      <w:proofErr w:type="spellStart"/>
      <w:r w:rsidRPr="00343386">
        <w:rPr>
          <w:rFonts w:ascii="Arial" w:hAnsi="Arial" w:cs="Arial"/>
          <w:lang w:val="en-GB"/>
        </w:rPr>
        <w:t>edn</w:t>
      </w:r>
      <w:proofErr w:type="spellEnd"/>
      <w:r w:rsidRPr="00343386">
        <w:rPr>
          <w:rFonts w:ascii="Arial" w:hAnsi="Arial" w:cs="Arial"/>
          <w:lang w:val="en-GB"/>
        </w:rPr>
        <w:t>. Boston: Harvard Business Review Press.</w:t>
      </w:r>
    </w:p>
    <w:p w14:paraId="090CAAFE"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Mintzberg, H. (1987) ‘The strategy concept I: Five Ps for strategy’, </w:t>
      </w:r>
      <w:r w:rsidRPr="00343386">
        <w:rPr>
          <w:rFonts w:ascii="Arial" w:hAnsi="Arial" w:cs="Arial"/>
          <w:i/>
          <w:iCs/>
          <w:lang w:val="en-GB"/>
        </w:rPr>
        <w:t>California Management Review</w:t>
      </w:r>
      <w:r w:rsidRPr="00343386">
        <w:rPr>
          <w:rFonts w:ascii="Arial" w:hAnsi="Arial" w:cs="Arial"/>
          <w:lang w:val="en-GB"/>
        </w:rPr>
        <w:t>, 30(1), pp. 11–24.</w:t>
      </w:r>
    </w:p>
    <w:p w14:paraId="4608945C"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Porter, M.E. (1980) </w:t>
      </w:r>
      <w:r w:rsidRPr="00343386">
        <w:rPr>
          <w:rFonts w:ascii="Arial" w:hAnsi="Arial" w:cs="Arial"/>
          <w:i/>
          <w:iCs/>
          <w:lang w:val="en-GB"/>
        </w:rPr>
        <w:t>Competitive Strategy</w:t>
      </w:r>
      <w:r w:rsidRPr="00343386">
        <w:rPr>
          <w:rFonts w:ascii="Arial" w:hAnsi="Arial" w:cs="Arial"/>
          <w:lang w:val="en-GB"/>
        </w:rPr>
        <w:t>. New York: Free Press.</w:t>
      </w:r>
    </w:p>
    <w:p w14:paraId="52306F34"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Porter, M.E. (1985) </w:t>
      </w:r>
      <w:r w:rsidRPr="00343386">
        <w:rPr>
          <w:rFonts w:ascii="Arial" w:hAnsi="Arial" w:cs="Arial"/>
          <w:i/>
          <w:iCs/>
          <w:lang w:val="en-GB"/>
        </w:rPr>
        <w:t>Competitive Advantage</w:t>
      </w:r>
      <w:r w:rsidRPr="00343386">
        <w:rPr>
          <w:rFonts w:ascii="Arial" w:hAnsi="Arial" w:cs="Arial"/>
          <w:lang w:val="en-GB"/>
        </w:rPr>
        <w:t>. New York: Free Press.</w:t>
      </w:r>
    </w:p>
    <w:p w14:paraId="2726F94E"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lastRenderedPageBreak/>
        <w:t xml:space="preserve">Porter, M.E. and Kramer, M.R. (2006) ‘Strategy and society: The link between competitive advantage and corporate social responsibility’, </w:t>
      </w:r>
      <w:r w:rsidRPr="00343386">
        <w:rPr>
          <w:rFonts w:ascii="Arial" w:hAnsi="Arial" w:cs="Arial"/>
          <w:i/>
          <w:iCs/>
          <w:lang w:val="en-GB"/>
        </w:rPr>
        <w:t>Harvard Business Review</w:t>
      </w:r>
      <w:r w:rsidRPr="00343386">
        <w:rPr>
          <w:rFonts w:ascii="Arial" w:hAnsi="Arial" w:cs="Arial"/>
          <w:lang w:val="en-GB"/>
        </w:rPr>
        <w:t>, 84(12), pp. 78–92.</w:t>
      </w:r>
    </w:p>
    <w:p w14:paraId="1D36EFE4"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Prahalad, C.K. and Hamel, G. (1990) ‘The core competence of the corporation’, </w:t>
      </w:r>
      <w:r w:rsidRPr="00343386">
        <w:rPr>
          <w:rFonts w:ascii="Arial" w:hAnsi="Arial" w:cs="Arial"/>
          <w:i/>
          <w:iCs/>
          <w:lang w:val="en-GB"/>
        </w:rPr>
        <w:t>Harvard Business Review</w:t>
      </w:r>
      <w:r w:rsidRPr="00343386">
        <w:rPr>
          <w:rFonts w:ascii="Arial" w:hAnsi="Arial" w:cs="Arial"/>
          <w:lang w:val="en-GB"/>
        </w:rPr>
        <w:t>, 68(3), pp. 79–91.</w:t>
      </w:r>
    </w:p>
    <w:p w14:paraId="5F9DCD66"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Statista (2024) </w:t>
      </w:r>
      <w:r w:rsidRPr="00343386">
        <w:rPr>
          <w:rFonts w:ascii="Arial" w:hAnsi="Arial" w:cs="Arial"/>
          <w:i/>
          <w:iCs/>
          <w:lang w:val="en-GB"/>
        </w:rPr>
        <w:t>Electric vehicle market share worldwide</w:t>
      </w:r>
      <w:r w:rsidRPr="00343386">
        <w:rPr>
          <w:rFonts w:ascii="Arial" w:hAnsi="Arial" w:cs="Arial"/>
          <w:lang w:val="en-GB"/>
        </w:rPr>
        <w:t xml:space="preserve">. Available at: </w:t>
      </w:r>
      <w:hyperlink r:id="rId6" w:tgtFrame="_new" w:history="1">
        <w:r w:rsidRPr="00343386">
          <w:rPr>
            <w:rStyle w:val="Hyperlink"/>
            <w:rFonts w:ascii="Arial" w:hAnsi="Arial" w:cs="Arial"/>
            <w:lang w:val="en-GB"/>
          </w:rPr>
          <w:t>https://www.statista.com</w:t>
        </w:r>
      </w:hyperlink>
    </w:p>
    <w:p w14:paraId="43DDBE83"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Teece, D.J. (2010) ‘Business models, business strategy and innovation’, </w:t>
      </w:r>
      <w:r w:rsidRPr="00343386">
        <w:rPr>
          <w:rFonts w:ascii="Arial" w:hAnsi="Arial" w:cs="Arial"/>
          <w:i/>
          <w:iCs/>
          <w:lang w:val="en-GB"/>
        </w:rPr>
        <w:t>Long Range Planning</w:t>
      </w:r>
      <w:r w:rsidRPr="00343386">
        <w:rPr>
          <w:rFonts w:ascii="Arial" w:hAnsi="Arial" w:cs="Arial"/>
          <w:lang w:val="en-GB"/>
        </w:rPr>
        <w:t>, 43(2–3), pp. 172–194.</w:t>
      </w:r>
    </w:p>
    <w:p w14:paraId="2CE2761E"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Tesla, Inc. (2023) </w:t>
      </w:r>
      <w:r w:rsidRPr="00343386">
        <w:rPr>
          <w:rFonts w:ascii="Arial" w:hAnsi="Arial" w:cs="Arial"/>
          <w:i/>
          <w:iCs/>
          <w:lang w:val="en-GB"/>
        </w:rPr>
        <w:t>Annual Report (Form 10-K)</w:t>
      </w:r>
      <w:r w:rsidRPr="00343386">
        <w:rPr>
          <w:rFonts w:ascii="Arial" w:hAnsi="Arial" w:cs="Arial"/>
          <w:lang w:val="en-GB"/>
        </w:rPr>
        <w:t xml:space="preserve">. Available at: </w:t>
      </w:r>
      <w:hyperlink r:id="rId7" w:tgtFrame="_new" w:history="1">
        <w:r w:rsidRPr="00343386">
          <w:rPr>
            <w:rStyle w:val="Hyperlink"/>
            <w:rFonts w:ascii="Arial" w:hAnsi="Arial" w:cs="Arial"/>
            <w:lang w:val="en-GB"/>
          </w:rPr>
          <w:t>https://www.tesla.com</w:t>
        </w:r>
      </w:hyperlink>
    </w:p>
    <w:p w14:paraId="06DA1E2A"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Tesla, Inc. (2024) </w:t>
      </w:r>
      <w:r w:rsidRPr="00343386">
        <w:rPr>
          <w:rFonts w:ascii="Arial" w:hAnsi="Arial" w:cs="Arial"/>
          <w:i/>
          <w:iCs/>
          <w:lang w:val="en-GB"/>
        </w:rPr>
        <w:t>Impact Report</w:t>
      </w:r>
      <w:r w:rsidRPr="00343386">
        <w:rPr>
          <w:rFonts w:ascii="Arial" w:hAnsi="Arial" w:cs="Arial"/>
          <w:lang w:val="en-GB"/>
        </w:rPr>
        <w:t xml:space="preserve">. Available at: </w:t>
      </w:r>
      <w:hyperlink r:id="rId8" w:tgtFrame="_new" w:history="1">
        <w:r w:rsidRPr="00343386">
          <w:rPr>
            <w:rStyle w:val="Hyperlink"/>
            <w:rFonts w:ascii="Arial" w:hAnsi="Arial" w:cs="Arial"/>
            <w:lang w:val="en-GB"/>
          </w:rPr>
          <w:t>https://www.tesla.com</w:t>
        </w:r>
      </w:hyperlink>
    </w:p>
    <w:p w14:paraId="78C3ECBF"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World Economic Forum (2023) </w:t>
      </w:r>
      <w:r w:rsidRPr="00343386">
        <w:rPr>
          <w:rFonts w:ascii="Arial" w:hAnsi="Arial" w:cs="Arial"/>
          <w:i/>
          <w:iCs/>
          <w:lang w:val="en-GB"/>
        </w:rPr>
        <w:t>Global Risks Report</w:t>
      </w:r>
      <w:r w:rsidRPr="00343386">
        <w:rPr>
          <w:rFonts w:ascii="Arial" w:hAnsi="Arial" w:cs="Arial"/>
          <w:lang w:val="en-GB"/>
        </w:rPr>
        <w:t>. Geneva: WEF.</w:t>
      </w:r>
    </w:p>
    <w:p w14:paraId="0F5E6422" w14:textId="77777777" w:rsidR="002E7DE8" w:rsidRPr="00343386" w:rsidRDefault="002E7DE8" w:rsidP="00343386">
      <w:pPr>
        <w:spacing w:line="360" w:lineRule="auto"/>
        <w:rPr>
          <w:rFonts w:ascii="Arial" w:hAnsi="Arial" w:cs="Arial"/>
          <w:lang w:val="en-GB"/>
        </w:rPr>
      </w:pPr>
      <w:r w:rsidRPr="00343386">
        <w:rPr>
          <w:rFonts w:ascii="Arial" w:hAnsi="Arial" w:cs="Arial"/>
          <w:lang w:val="en-GB"/>
        </w:rPr>
        <w:t xml:space="preserve">Yin, R.K. (2018) </w:t>
      </w:r>
      <w:r w:rsidRPr="00343386">
        <w:rPr>
          <w:rFonts w:ascii="Arial" w:hAnsi="Arial" w:cs="Arial"/>
          <w:i/>
          <w:iCs/>
          <w:lang w:val="en-GB"/>
        </w:rPr>
        <w:t>Case Study Research and Applications</w:t>
      </w:r>
      <w:r w:rsidRPr="00343386">
        <w:rPr>
          <w:rFonts w:ascii="Arial" w:hAnsi="Arial" w:cs="Arial"/>
          <w:lang w:val="en-GB"/>
        </w:rPr>
        <w:t xml:space="preserve">. 6th </w:t>
      </w:r>
      <w:proofErr w:type="spellStart"/>
      <w:r w:rsidRPr="00343386">
        <w:rPr>
          <w:rFonts w:ascii="Arial" w:hAnsi="Arial" w:cs="Arial"/>
          <w:lang w:val="en-GB"/>
        </w:rPr>
        <w:t>edn</w:t>
      </w:r>
      <w:proofErr w:type="spellEnd"/>
      <w:r w:rsidRPr="00343386">
        <w:rPr>
          <w:rFonts w:ascii="Arial" w:hAnsi="Arial" w:cs="Arial"/>
          <w:lang w:val="en-GB"/>
        </w:rPr>
        <w:t>. Thousand Oaks: Sage.</w:t>
      </w:r>
    </w:p>
    <w:p w14:paraId="0B1FC759" w14:textId="333432DC" w:rsidR="00D22C1A" w:rsidRPr="00343386" w:rsidRDefault="00D22C1A" w:rsidP="00343386">
      <w:pPr>
        <w:spacing w:line="360" w:lineRule="auto"/>
        <w:rPr>
          <w:rFonts w:ascii="Arial" w:hAnsi="Arial" w:cs="Arial"/>
        </w:rPr>
      </w:pPr>
    </w:p>
    <w:sectPr w:rsidR="00D22C1A" w:rsidRPr="0034338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62906502">
    <w:abstractNumId w:val="8"/>
  </w:num>
  <w:num w:numId="2" w16cid:durableId="2060200980">
    <w:abstractNumId w:val="6"/>
  </w:num>
  <w:num w:numId="3" w16cid:durableId="1634556519">
    <w:abstractNumId w:val="5"/>
  </w:num>
  <w:num w:numId="4" w16cid:durableId="483938992">
    <w:abstractNumId w:val="4"/>
  </w:num>
  <w:num w:numId="5" w16cid:durableId="2011978306">
    <w:abstractNumId w:val="7"/>
  </w:num>
  <w:num w:numId="6" w16cid:durableId="1154491485">
    <w:abstractNumId w:val="3"/>
  </w:num>
  <w:num w:numId="7" w16cid:durableId="550775076">
    <w:abstractNumId w:val="2"/>
  </w:num>
  <w:num w:numId="8" w16cid:durableId="1692105925">
    <w:abstractNumId w:val="1"/>
  </w:num>
  <w:num w:numId="9" w16cid:durableId="195511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6A49"/>
    <w:rsid w:val="00034616"/>
    <w:rsid w:val="0006063C"/>
    <w:rsid w:val="0015074B"/>
    <w:rsid w:val="0029639D"/>
    <w:rsid w:val="002E7DE8"/>
    <w:rsid w:val="00326F90"/>
    <w:rsid w:val="00343386"/>
    <w:rsid w:val="00585053"/>
    <w:rsid w:val="005A6C89"/>
    <w:rsid w:val="0064544A"/>
    <w:rsid w:val="009A6658"/>
    <w:rsid w:val="00AA1D8D"/>
    <w:rsid w:val="00B47730"/>
    <w:rsid w:val="00CB0664"/>
    <w:rsid w:val="00D22C1A"/>
    <w:rsid w:val="00DC449E"/>
    <w:rsid w:val="00E848E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04528050-D905-4653-95B0-FCC98704B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2E7DE8"/>
    <w:rPr>
      <w:rFonts w:ascii="Times New Roman" w:hAnsi="Times New Roman" w:cs="Times New Roman"/>
      <w:sz w:val="24"/>
      <w:szCs w:val="24"/>
    </w:rPr>
  </w:style>
  <w:style w:type="character" w:styleId="Hyperlink">
    <w:name w:val="Hyperlink"/>
    <w:basedOn w:val="DefaultParagraphFont"/>
    <w:uiPriority w:val="99"/>
    <w:unhideWhenUsed/>
    <w:rsid w:val="002E7DE8"/>
    <w:rPr>
      <w:color w:val="0000FF" w:themeColor="hyperlink"/>
      <w:u w:val="single"/>
    </w:rPr>
  </w:style>
  <w:style w:type="character" w:styleId="UnresolvedMention">
    <w:name w:val="Unresolved Mention"/>
    <w:basedOn w:val="DefaultParagraphFont"/>
    <w:uiPriority w:val="99"/>
    <w:semiHidden/>
    <w:unhideWhenUsed/>
    <w:rsid w:val="002E7D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la.com" TargetMode="External"/><Relationship Id="rId3" Type="http://schemas.openxmlformats.org/officeDocument/2006/relationships/styles" Target="styles.xml"/><Relationship Id="rId7" Type="http://schemas.openxmlformats.org/officeDocument/2006/relationships/hyperlink" Target="https://www.tesl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7439</Words>
  <Characters>42408</Characters>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49748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2026-04-01T09:01:00Z</dcterms:created>
  <dcterms:modified xsi:type="dcterms:W3CDTF">2026-04-01T09:01:00Z</dcterms:modified>
  <cp:category/>
</cp:coreProperties>
</file>