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00623052"/>
        <w:docPartObj>
          <w:docPartGallery w:val="Cover Pages"/>
          <w:docPartUnique/>
        </w:docPartObj>
      </w:sdtPr>
      <w:sdtContent>
        <w:p w14:paraId="0A196E9C" w14:textId="5B7FB50C" w:rsidR="00B34AD9" w:rsidRDefault="00B34AD9">
          <w:r>
            <w:rPr>
              <w:noProof/>
            </w:rPr>
            <mc:AlternateContent>
              <mc:Choice Requires="wps">
                <w:drawing>
                  <wp:anchor distT="0" distB="0" distL="114300" distR="114300" simplePos="0" relativeHeight="251659264" behindDoc="0" locked="0" layoutInCell="1" allowOverlap="1" wp14:anchorId="4FCD24E2" wp14:editId="0C0CC128">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252"/>
                                  <w:gridCol w:w="1989"/>
                                </w:tblGrid>
                                <w:tr w:rsidR="00B34AD9" w:rsidRPr="00027180" w14:paraId="1A09E420" w14:textId="77777777">
                                  <w:trPr>
                                    <w:jc w:val="center"/>
                                  </w:trPr>
                                  <w:tc>
                                    <w:tcPr>
                                      <w:tcW w:w="2568" w:type="pct"/>
                                      <w:vAlign w:val="center"/>
                                    </w:tcPr>
                                    <w:p w14:paraId="23B22EBC" w14:textId="3A4FE89C" w:rsidR="00B34AD9" w:rsidRDefault="00090390">
                                      <w:pPr>
                                        <w:jc w:val="right"/>
                                      </w:pPr>
                                      <w:r>
                                        <w:rPr>
                                          <w:noProof/>
                                        </w:rPr>
                                        <w:drawing>
                                          <wp:inline distT="0" distB="0" distL="0" distR="0" wp14:anchorId="269B801D" wp14:editId="6BC25DDB">
                                            <wp:extent cx="2878015" cy="2878015"/>
                                            <wp:effectExtent l="0" t="0" r="0" b="0"/>
                                            <wp:docPr id="1765541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541525" name=""/>
                                                    <pic:cNvPicPr/>
                                                  </pic:nvPicPr>
                                                  <pic:blipFill>
                                                    <a:blip r:embed="rId10"/>
                                                    <a:stretch>
                                                      <a:fillRect/>
                                                    </a:stretch>
                                                  </pic:blipFill>
                                                  <pic:spPr>
                                                    <a:xfrm>
                                                      <a:off x="0" y="0"/>
                                                      <a:ext cx="2888476" cy="2888476"/>
                                                    </a:xfrm>
                                                    <a:prstGeom prst="rect">
                                                      <a:avLst/>
                                                    </a:prstGeom>
                                                  </pic:spPr>
                                                </pic:pic>
                                              </a:graphicData>
                                            </a:graphic>
                                          </wp:inline>
                                        </w:drawing>
                                      </w:r>
                                    </w:p>
                                  </w:tc>
                                  <w:tc>
                                    <w:tcPr>
                                      <w:tcW w:w="2432" w:type="pct"/>
                                      <w:vAlign w:val="center"/>
                                    </w:tcPr>
                                    <w:sdt>
                                      <w:sdtPr>
                                        <w:rPr>
                                          <w:color w:val="000000" w:themeColor="text1"/>
                                          <w:lang w:val="pt-PT"/>
                                        </w:rPr>
                                        <w:alias w:val="Abstract"/>
                                        <w:tag w:val=""/>
                                        <w:id w:val="-2036181933"/>
                                        <w:dataBinding w:prefixMappings="xmlns:ns0='http://schemas.microsoft.com/office/2006/coverPageProps' " w:xpath="/ns0:CoverPageProperties[1]/ns0:Abstract[1]" w:storeItemID="{55AF091B-3C7A-41E3-B477-F2FDAA23CFDA}"/>
                                        <w:text/>
                                      </w:sdtPr>
                                      <w:sdtContent>
                                        <w:p w14:paraId="744C214C" w14:textId="6E41D72A" w:rsidR="00B34AD9" w:rsidRPr="00027180" w:rsidRDefault="00090390">
                                          <w:pPr>
                                            <w:rPr>
                                              <w:color w:val="000000" w:themeColor="text1"/>
                                              <w:lang w:val="pt-PT"/>
                                            </w:rPr>
                                          </w:pPr>
                                          <w:r w:rsidRPr="00027180">
                                            <w:rPr>
                                              <w:color w:val="000000" w:themeColor="text1"/>
                                              <w:lang w:val="pt-PT"/>
                                            </w:rPr>
                                            <w:t xml:space="preserve">Assessment 2 </w:t>
                                          </w:r>
                                        </w:p>
                                      </w:sdtContent>
                                    </w:sdt>
                                    <w:sdt>
                                      <w:sdtPr>
                                        <w:rPr>
                                          <w:color w:val="E97132" w:themeColor="accent2"/>
                                          <w:sz w:val="26"/>
                                          <w:szCs w:val="26"/>
                                          <w:lang w:val="pt-PT"/>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7A66383" w14:textId="017BB184" w:rsidR="00B34AD9" w:rsidRPr="00B34AD9" w:rsidRDefault="00B34AD9">
                                          <w:pPr>
                                            <w:pStyle w:val="NoSpacing"/>
                                            <w:rPr>
                                              <w:color w:val="E97132" w:themeColor="accent2"/>
                                              <w:sz w:val="26"/>
                                              <w:szCs w:val="26"/>
                                              <w:lang w:val="pt-PT"/>
                                            </w:rPr>
                                          </w:pPr>
                                          <w:r w:rsidRPr="00B34AD9">
                                            <w:rPr>
                                              <w:color w:val="E97132" w:themeColor="accent2"/>
                                              <w:sz w:val="26"/>
                                              <w:szCs w:val="26"/>
                                              <w:lang w:val="pt-PT"/>
                                            </w:rPr>
                                            <w:t>Maria Dalia Varela Catraio De Boa Morte (2429427)</w:t>
                                          </w:r>
                                        </w:p>
                                      </w:sdtContent>
                                    </w:sdt>
                                    <w:p w14:paraId="63E657AA" w14:textId="77777777" w:rsidR="00B34AD9" w:rsidRPr="00027180" w:rsidRDefault="00000000">
                                      <w:pPr>
                                        <w:pStyle w:val="NoSpacing"/>
                                        <w:rPr>
                                          <w:color w:val="0E2841" w:themeColor="text2"/>
                                          <w:lang w:val="pt-PT"/>
                                        </w:rPr>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090390" w:rsidRPr="00027180">
                                            <w:rPr>
                                              <w:color w:val="0E2841" w:themeColor="text2"/>
                                              <w:lang w:val="pt-PT"/>
                                            </w:rPr>
                                            <w:t xml:space="preserve">     </w:t>
                                          </w:r>
                                        </w:sdtContent>
                                      </w:sdt>
                                      <w:r w:rsidR="00090390" w:rsidRPr="00027180">
                                        <w:rPr>
                                          <w:color w:val="0E2841" w:themeColor="text2"/>
                                          <w:lang w:val="pt-PT"/>
                                        </w:rPr>
                                        <w:t xml:space="preserve">BMHP5014  </w:t>
                                      </w:r>
                                    </w:p>
                                    <w:p w14:paraId="19147356" w14:textId="77777777" w:rsidR="00090390" w:rsidRPr="00027180" w:rsidRDefault="00090390" w:rsidP="00090390">
                                      <w:pPr>
                                        <w:pStyle w:val="NoSpacing"/>
                                        <w:rPr>
                                          <w:lang w:val="pt-PT"/>
                                        </w:rPr>
                                      </w:pPr>
                                      <w:r w:rsidRPr="00027180">
                                        <w:rPr>
                                          <w:lang w:val="pt-PT"/>
                                        </w:rPr>
                                        <w:t xml:space="preserve">Laila Surani  </w:t>
                                      </w:r>
                                    </w:p>
                                    <w:p w14:paraId="354458A8" w14:textId="2DC22A14" w:rsidR="00090390" w:rsidRPr="00027180" w:rsidRDefault="00090390" w:rsidP="00090390">
                                      <w:pPr>
                                        <w:pStyle w:val="NoSpacing"/>
                                        <w:rPr>
                                          <w:lang w:val="pt-PT"/>
                                        </w:rPr>
                                      </w:pPr>
                                      <w:r w:rsidRPr="00027180">
                                        <w:rPr>
                                          <w:lang w:val="pt-PT"/>
                                        </w:rPr>
                                        <w:t xml:space="preserve"> Caroline Salami</w:t>
                                      </w:r>
                                    </w:p>
                                  </w:tc>
                                </w:tr>
                              </w:tbl>
                              <w:p w14:paraId="088150DB" w14:textId="6CCFA3CD" w:rsidR="00B34AD9" w:rsidRDefault="00090390" w:rsidP="00090390">
                                <w:pPr>
                                  <w:pStyle w:val="Heading1"/>
                                </w:pPr>
                                <w:r>
                                  <w:t xml:space="preserve">Creativity and value creation </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FCD24E2"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252"/>
                            <w:gridCol w:w="1989"/>
                          </w:tblGrid>
                          <w:tr w:rsidR="00B34AD9" w:rsidRPr="00027180" w14:paraId="1A09E420" w14:textId="77777777">
                            <w:trPr>
                              <w:jc w:val="center"/>
                            </w:trPr>
                            <w:tc>
                              <w:tcPr>
                                <w:tcW w:w="2568" w:type="pct"/>
                                <w:vAlign w:val="center"/>
                              </w:tcPr>
                              <w:p w14:paraId="23B22EBC" w14:textId="3A4FE89C" w:rsidR="00B34AD9" w:rsidRDefault="00090390">
                                <w:pPr>
                                  <w:jc w:val="right"/>
                                </w:pPr>
                                <w:r>
                                  <w:rPr>
                                    <w:noProof/>
                                  </w:rPr>
                                  <w:drawing>
                                    <wp:inline distT="0" distB="0" distL="0" distR="0" wp14:anchorId="269B801D" wp14:editId="6BC25DDB">
                                      <wp:extent cx="2878015" cy="2878015"/>
                                      <wp:effectExtent l="0" t="0" r="0" b="0"/>
                                      <wp:docPr id="1765541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541525" name=""/>
                                              <pic:cNvPicPr/>
                                            </pic:nvPicPr>
                                            <pic:blipFill>
                                              <a:blip r:embed="rId10"/>
                                              <a:stretch>
                                                <a:fillRect/>
                                              </a:stretch>
                                            </pic:blipFill>
                                            <pic:spPr>
                                              <a:xfrm>
                                                <a:off x="0" y="0"/>
                                                <a:ext cx="2888476" cy="2888476"/>
                                              </a:xfrm>
                                              <a:prstGeom prst="rect">
                                                <a:avLst/>
                                              </a:prstGeom>
                                            </pic:spPr>
                                          </pic:pic>
                                        </a:graphicData>
                                      </a:graphic>
                                    </wp:inline>
                                  </w:drawing>
                                </w:r>
                              </w:p>
                            </w:tc>
                            <w:tc>
                              <w:tcPr>
                                <w:tcW w:w="2432" w:type="pct"/>
                                <w:vAlign w:val="center"/>
                              </w:tcPr>
                              <w:sdt>
                                <w:sdtPr>
                                  <w:rPr>
                                    <w:color w:val="000000" w:themeColor="text1"/>
                                    <w:lang w:val="pt-PT"/>
                                  </w:rPr>
                                  <w:alias w:val="Abstract"/>
                                  <w:tag w:val=""/>
                                  <w:id w:val="-2036181933"/>
                                  <w:dataBinding w:prefixMappings="xmlns:ns0='http://schemas.microsoft.com/office/2006/coverPageProps' " w:xpath="/ns0:CoverPageProperties[1]/ns0:Abstract[1]" w:storeItemID="{55AF091B-3C7A-41E3-B477-F2FDAA23CFDA}"/>
                                  <w:text/>
                                </w:sdtPr>
                                <w:sdtContent>
                                  <w:p w14:paraId="744C214C" w14:textId="6E41D72A" w:rsidR="00B34AD9" w:rsidRPr="00027180" w:rsidRDefault="00090390">
                                    <w:pPr>
                                      <w:rPr>
                                        <w:color w:val="000000" w:themeColor="text1"/>
                                        <w:lang w:val="pt-PT"/>
                                      </w:rPr>
                                    </w:pPr>
                                    <w:r w:rsidRPr="00027180">
                                      <w:rPr>
                                        <w:color w:val="000000" w:themeColor="text1"/>
                                        <w:lang w:val="pt-PT"/>
                                      </w:rPr>
                                      <w:t xml:space="preserve">Assessment 2 </w:t>
                                    </w:r>
                                  </w:p>
                                </w:sdtContent>
                              </w:sdt>
                              <w:sdt>
                                <w:sdtPr>
                                  <w:rPr>
                                    <w:color w:val="E97132" w:themeColor="accent2"/>
                                    <w:sz w:val="26"/>
                                    <w:szCs w:val="26"/>
                                    <w:lang w:val="pt-PT"/>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7A66383" w14:textId="017BB184" w:rsidR="00B34AD9" w:rsidRPr="00B34AD9" w:rsidRDefault="00B34AD9">
                                    <w:pPr>
                                      <w:pStyle w:val="NoSpacing"/>
                                      <w:rPr>
                                        <w:color w:val="E97132" w:themeColor="accent2"/>
                                        <w:sz w:val="26"/>
                                        <w:szCs w:val="26"/>
                                        <w:lang w:val="pt-PT"/>
                                      </w:rPr>
                                    </w:pPr>
                                    <w:r w:rsidRPr="00B34AD9">
                                      <w:rPr>
                                        <w:color w:val="E97132" w:themeColor="accent2"/>
                                        <w:sz w:val="26"/>
                                        <w:szCs w:val="26"/>
                                        <w:lang w:val="pt-PT"/>
                                      </w:rPr>
                                      <w:t>Maria Dalia Varela Catraio De Boa Morte (2429427)</w:t>
                                    </w:r>
                                  </w:p>
                                </w:sdtContent>
                              </w:sdt>
                              <w:p w14:paraId="63E657AA" w14:textId="77777777" w:rsidR="00B34AD9" w:rsidRPr="00027180" w:rsidRDefault="00000000">
                                <w:pPr>
                                  <w:pStyle w:val="NoSpacing"/>
                                  <w:rPr>
                                    <w:color w:val="0E2841" w:themeColor="text2"/>
                                    <w:lang w:val="pt-PT"/>
                                  </w:rPr>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090390" w:rsidRPr="00027180">
                                      <w:rPr>
                                        <w:color w:val="0E2841" w:themeColor="text2"/>
                                        <w:lang w:val="pt-PT"/>
                                      </w:rPr>
                                      <w:t xml:space="preserve">     </w:t>
                                    </w:r>
                                  </w:sdtContent>
                                </w:sdt>
                                <w:r w:rsidR="00090390" w:rsidRPr="00027180">
                                  <w:rPr>
                                    <w:color w:val="0E2841" w:themeColor="text2"/>
                                    <w:lang w:val="pt-PT"/>
                                  </w:rPr>
                                  <w:t xml:space="preserve">BMHP5014  </w:t>
                                </w:r>
                              </w:p>
                              <w:p w14:paraId="19147356" w14:textId="77777777" w:rsidR="00090390" w:rsidRPr="00027180" w:rsidRDefault="00090390" w:rsidP="00090390">
                                <w:pPr>
                                  <w:pStyle w:val="NoSpacing"/>
                                  <w:rPr>
                                    <w:lang w:val="pt-PT"/>
                                  </w:rPr>
                                </w:pPr>
                                <w:r w:rsidRPr="00027180">
                                  <w:rPr>
                                    <w:lang w:val="pt-PT"/>
                                  </w:rPr>
                                  <w:t xml:space="preserve">Laila Surani  </w:t>
                                </w:r>
                              </w:p>
                              <w:p w14:paraId="354458A8" w14:textId="2DC22A14" w:rsidR="00090390" w:rsidRPr="00027180" w:rsidRDefault="00090390" w:rsidP="00090390">
                                <w:pPr>
                                  <w:pStyle w:val="NoSpacing"/>
                                  <w:rPr>
                                    <w:lang w:val="pt-PT"/>
                                  </w:rPr>
                                </w:pPr>
                                <w:r w:rsidRPr="00027180">
                                  <w:rPr>
                                    <w:lang w:val="pt-PT"/>
                                  </w:rPr>
                                  <w:t xml:space="preserve"> Caroline Salami</w:t>
                                </w:r>
                              </w:p>
                            </w:tc>
                          </w:tr>
                        </w:tbl>
                        <w:p w14:paraId="088150DB" w14:textId="6CCFA3CD" w:rsidR="00B34AD9" w:rsidRDefault="00090390" w:rsidP="00090390">
                          <w:pPr>
                            <w:pStyle w:val="Heading1"/>
                          </w:pPr>
                          <w:r>
                            <w:t xml:space="preserve">Creativity and value creation </w:t>
                          </w:r>
                        </w:p>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eastAsia="en-US"/>
          <w14:ligatures w14:val="standardContextual"/>
        </w:rPr>
        <w:id w:val="-488329217"/>
        <w:docPartObj>
          <w:docPartGallery w:val="Table of Contents"/>
          <w:docPartUnique/>
        </w:docPartObj>
      </w:sdtPr>
      <w:sdtEndPr>
        <w:rPr>
          <w:b/>
          <w:bCs/>
        </w:rPr>
      </w:sdtEndPr>
      <w:sdtContent>
        <w:p w14:paraId="624A6C42" w14:textId="55C13DF5" w:rsidR="00090390" w:rsidRDefault="00090390">
          <w:pPr>
            <w:pStyle w:val="TOCHeading"/>
          </w:pPr>
          <w:r>
            <w:t>Contents</w:t>
          </w:r>
        </w:p>
        <w:p w14:paraId="541F0733" w14:textId="3D009802" w:rsidR="00090390" w:rsidRDefault="00090390">
          <w:pPr>
            <w:pStyle w:val="TOC1"/>
            <w:tabs>
              <w:tab w:val="right" w:leader="dot" w:pos="9016"/>
            </w:tabs>
            <w:rPr>
              <w:noProof/>
            </w:rPr>
          </w:pPr>
          <w:r>
            <w:fldChar w:fldCharType="begin"/>
          </w:r>
          <w:r>
            <w:instrText xml:space="preserve"> TOC \o "1-3" \h \z \u </w:instrText>
          </w:r>
          <w:r>
            <w:fldChar w:fldCharType="separate"/>
          </w:r>
          <w:hyperlink w:anchor="_Toc235381558" w:history="1">
            <w:r w:rsidRPr="00A210B0">
              <w:rPr>
                <w:rStyle w:val="Hyperlink"/>
                <w:noProof/>
              </w:rPr>
              <w:t>Introduction</w:t>
            </w:r>
            <w:r>
              <w:rPr>
                <w:noProof/>
                <w:webHidden/>
              </w:rPr>
              <w:tab/>
            </w:r>
            <w:r>
              <w:rPr>
                <w:noProof/>
                <w:webHidden/>
              </w:rPr>
              <w:fldChar w:fldCharType="begin"/>
            </w:r>
            <w:r>
              <w:rPr>
                <w:noProof/>
                <w:webHidden/>
              </w:rPr>
              <w:instrText xml:space="preserve"> PAGEREF _Toc235381558 \h </w:instrText>
            </w:r>
            <w:r>
              <w:rPr>
                <w:noProof/>
                <w:webHidden/>
              </w:rPr>
            </w:r>
            <w:r>
              <w:rPr>
                <w:noProof/>
                <w:webHidden/>
              </w:rPr>
              <w:fldChar w:fldCharType="separate"/>
            </w:r>
            <w:r>
              <w:rPr>
                <w:noProof/>
                <w:webHidden/>
              </w:rPr>
              <w:t>2</w:t>
            </w:r>
            <w:r>
              <w:rPr>
                <w:noProof/>
                <w:webHidden/>
              </w:rPr>
              <w:fldChar w:fldCharType="end"/>
            </w:r>
          </w:hyperlink>
        </w:p>
        <w:p w14:paraId="45641BA6" w14:textId="20790FA2" w:rsidR="00090390" w:rsidRDefault="00090390">
          <w:pPr>
            <w:pStyle w:val="TOC1"/>
            <w:tabs>
              <w:tab w:val="right" w:leader="dot" w:pos="9016"/>
            </w:tabs>
            <w:rPr>
              <w:noProof/>
            </w:rPr>
          </w:pPr>
          <w:hyperlink w:anchor="_Toc235381559" w:history="1">
            <w:r w:rsidRPr="00A210B0">
              <w:rPr>
                <w:rStyle w:val="Hyperlink"/>
                <w:noProof/>
              </w:rPr>
              <w:t>Background</w:t>
            </w:r>
            <w:r>
              <w:rPr>
                <w:noProof/>
                <w:webHidden/>
              </w:rPr>
              <w:tab/>
            </w:r>
            <w:r>
              <w:rPr>
                <w:noProof/>
                <w:webHidden/>
              </w:rPr>
              <w:fldChar w:fldCharType="begin"/>
            </w:r>
            <w:r>
              <w:rPr>
                <w:noProof/>
                <w:webHidden/>
              </w:rPr>
              <w:instrText xml:space="preserve"> PAGEREF _Toc235381559 \h </w:instrText>
            </w:r>
            <w:r>
              <w:rPr>
                <w:noProof/>
                <w:webHidden/>
              </w:rPr>
            </w:r>
            <w:r>
              <w:rPr>
                <w:noProof/>
                <w:webHidden/>
              </w:rPr>
              <w:fldChar w:fldCharType="separate"/>
            </w:r>
            <w:r>
              <w:rPr>
                <w:noProof/>
                <w:webHidden/>
              </w:rPr>
              <w:t>2</w:t>
            </w:r>
            <w:r>
              <w:rPr>
                <w:noProof/>
                <w:webHidden/>
              </w:rPr>
              <w:fldChar w:fldCharType="end"/>
            </w:r>
          </w:hyperlink>
        </w:p>
        <w:p w14:paraId="2C858D44" w14:textId="08F9F0B2" w:rsidR="00090390" w:rsidRDefault="00090390">
          <w:pPr>
            <w:pStyle w:val="TOC1"/>
            <w:tabs>
              <w:tab w:val="right" w:leader="dot" w:pos="9016"/>
            </w:tabs>
            <w:rPr>
              <w:noProof/>
            </w:rPr>
          </w:pPr>
          <w:hyperlink w:anchor="_Toc235381560" w:history="1">
            <w:r w:rsidRPr="00A210B0">
              <w:rPr>
                <w:rStyle w:val="Hyperlink"/>
                <w:noProof/>
              </w:rPr>
              <w:t>Innovation description</w:t>
            </w:r>
            <w:r>
              <w:rPr>
                <w:noProof/>
                <w:webHidden/>
              </w:rPr>
              <w:tab/>
            </w:r>
            <w:r>
              <w:rPr>
                <w:noProof/>
                <w:webHidden/>
              </w:rPr>
              <w:fldChar w:fldCharType="begin"/>
            </w:r>
            <w:r>
              <w:rPr>
                <w:noProof/>
                <w:webHidden/>
              </w:rPr>
              <w:instrText xml:space="preserve"> PAGEREF _Toc235381560 \h </w:instrText>
            </w:r>
            <w:r>
              <w:rPr>
                <w:noProof/>
                <w:webHidden/>
              </w:rPr>
            </w:r>
            <w:r>
              <w:rPr>
                <w:noProof/>
                <w:webHidden/>
              </w:rPr>
              <w:fldChar w:fldCharType="separate"/>
            </w:r>
            <w:r>
              <w:rPr>
                <w:noProof/>
                <w:webHidden/>
              </w:rPr>
              <w:t>3</w:t>
            </w:r>
            <w:r>
              <w:rPr>
                <w:noProof/>
                <w:webHidden/>
              </w:rPr>
              <w:fldChar w:fldCharType="end"/>
            </w:r>
          </w:hyperlink>
        </w:p>
        <w:p w14:paraId="1A893B01" w14:textId="715B7A47" w:rsidR="00090390" w:rsidRDefault="00090390">
          <w:pPr>
            <w:pStyle w:val="TOC1"/>
            <w:tabs>
              <w:tab w:val="right" w:leader="dot" w:pos="9016"/>
            </w:tabs>
            <w:rPr>
              <w:noProof/>
            </w:rPr>
          </w:pPr>
          <w:hyperlink w:anchor="_Toc235381561" w:history="1">
            <w:r w:rsidRPr="00A210B0">
              <w:rPr>
                <w:rStyle w:val="Hyperlink"/>
                <w:noProof/>
              </w:rPr>
              <w:t>Impact on Health and Social Care</w:t>
            </w:r>
            <w:r>
              <w:rPr>
                <w:noProof/>
                <w:webHidden/>
              </w:rPr>
              <w:tab/>
            </w:r>
            <w:r>
              <w:rPr>
                <w:noProof/>
                <w:webHidden/>
              </w:rPr>
              <w:fldChar w:fldCharType="begin"/>
            </w:r>
            <w:r>
              <w:rPr>
                <w:noProof/>
                <w:webHidden/>
              </w:rPr>
              <w:instrText xml:space="preserve"> PAGEREF _Toc235381561 \h </w:instrText>
            </w:r>
            <w:r>
              <w:rPr>
                <w:noProof/>
                <w:webHidden/>
              </w:rPr>
            </w:r>
            <w:r>
              <w:rPr>
                <w:noProof/>
                <w:webHidden/>
              </w:rPr>
              <w:fldChar w:fldCharType="separate"/>
            </w:r>
            <w:r>
              <w:rPr>
                <w:noProof/>
                <w:webHidden/>
              </w:rPr>
              <w:t>3</w:t>
            </w:r>
            <w:r>
              <w:rPr>
                <w:noProof/>
                <w:webHidden/>
              </w:rPr>
              <w:fldChar w:fldCharType="end"/>
            </w:r>
          </w:hyperlink>
        </w:p>
        <w:p w14:paraId="1DA94BEA" w14:textId="0056BDA3" w:rsidR="00090390" w:rsidRDefault="00090390">
          <w:pPr>
            <w:pStyle w:val="TOC1"/>
            <w:tabs>
              <w:tab w:val="right" w:leader="dot" w:pos="9016"/>
            </w:tabs>
            <w:rPr>
              <w:noProof/>
            </w:rPr>
          </w:pPr>
          <w:hyperlink w:anchor="_Toc235381562" w:history="1">
            <w:r w:rsidRPr="00A210B0">
              <w:rPr>
                <w:rStyle w:val="Hyperlink"/>
                <w:noProof/>
              </w:rPr>
              <w:t>Public and stakeholder involvement</w:t>
            </w:r>
            <w:r>
              <w:rPr>
                <w:noProof/>
                <w:webHidden/>
              </w:rPr>
              <w:tab/>
            </w:r>
            <w:r>
              <w:rPr>
                <w:noProof/>
                <w:webHidden/>
              </w:rPr>
              <w:fldChar w:fldCharType="begin"/>
            </w:r>
            <w:r>
              <w:rPr>
                <w:noProof/>
                <w:webHidden/>
              </w:rPr>
              <w:instrText xml:space="preserve"> PAGEREF _Toc235381562 \h </w:instrText>
            </w:r>
            <w:r>
              <w:rPr>
                <w:noProof/>
                <w:webHidden/>
              </w:rPr>
            </w:r>
            <w:r>
              <w:rPr>
                <w:noProof/>
                <w:webHidden/>
              </w:rPr>
              <w:fldChar w:fldCharType="separate"/>
            </w:r>
            <w:r>
              <w:rPr>
                <w:noProof/>
                <w:webHidden/>
              </w:rPr>
              <w:t>4</w:t>
            </w:r>
            <w:r>
              <w:rPr>
                <w:noProof/>
                <w:webHidden/>
              </w:rPr>
              <w:fldChar w:fldCharType="end"/>
            </w:r>
          </w:hyperlink>
        </w:p>
        <w:p w14:paraId="02D20C7B" w14:textId="488C198E" w:rsidR="00090390" w:rsidRDefault="00090390">
          <w:pPr>
            <w:pStyle w:val="TOC1"/>
            <w:tabs>
              <w:tab w:val="right" w:leader="dot" w:pos="9016"/>
            </w:tabs>
            <w:rPr>
              <w:noProof/>
            </w:rPr>
          </w:pPr>
          <w:hyperlink w:anchor="_Toc235381563" w:history="1">
            <w:r w:rsidRPr="00A210B0">
              <w:rPr>
                <w:rStyle w:val="Hyperlink"/>
                <w:noProof/>
              </w:rPr>
              <w:t>Policies, services and professional links</w:t>
            </w:r>
            <w:r>
              <w:rPr>
                <w:noProof/>
                <w:webHidden/>
              </w:rPr>
              <w:tab/>
            </w:r>
            <w:r>
              <w:rPr>
                <w:noProof/>
                <w:webHidden/>
              </w:rPr>
              <w:fldChar w:fldCharType="begin"/>
            </w:r>
            <w:r>
              <w:rPr>
                <w:noProof/>
                <w:webHidden/>
              </w:rPr>
              <w:instrText xml:space="preserve"> PAGEREF _Toc235381563 \h </w:instrText>
            </w:r>
            <w:r>
              <w:rPr>
                <w:noProof/>
                <w:webHidden/>
              </w:rPr>
            </w:r>
            <w:r>
              <w:rPr>
                <w:noProof/>
                <w:webHidden/>
              </w:rPr>
              <w:fldChar w:fldCharType="separate"/>
            </w:r>
            <w:r>
              <w:rPr>
                <w:noProof/>
                <w:webHidden/>
              </w:rPr>
              <w:t>4</w:t>
            </w:r>
            <w:r>
              <w:rPr>
                <w:noProof/>
                <w:webHidden/>
              </w:rPr>
              <w:fldChar w:fldCharType="end"/>
            </w:r>
          </w:hyperlink>
        </w:p>
        <w:p w14:paraId="4F356E33" w14:textId="13761E6B" w:rsidR="00090390" w:rsidRDefault="00090390">
          <w:pPr>
            <w:pStyle w:val="TOC1"/>
            <w:tabs>
              <w:tab w:val="right" w:leader="dot" w:pos="9016"/>
            </w:tabs>
            <w:rPr>
              <w:noProof/>
            </w:rPr>
          </w:pPr>
          <w:hyperlink w:anchor="_Toc235381564" w:history="1">
            <w:r w:rsidRPr="00A210B0">
              <w:rPr>
                <w:rStyle w:val="Hyperlink"/>
                <w:noProof/>
              </w:rPr>
              <w:t>Conclusion</w:t>
            </w:r>
            <w:r>
              <w:rPr>
                <w:noProof/>
                <w:webHidden/>
              </w:rPr>
              <w:tab/>
            </w:r>
            <w:r>
              <w:rPr>
                <w:noProof/>
                <w:webHidden/>
              </w:rPr>
              <w:fldChar w:fldCharType="begin"/>
            </w:r>
            <w:r>
              <w:rPr>
                <w:noProof/>
                <w:webHidden/>
              </w:rPr>
              <w:instrText xml:space="preserve"> PAGEREF _Toc235381564 \h </w:instrText>
            </w:r>
            <w:r>
              <w:rPr>
                <w:noProof/>
                <w:webHidden/>
              </w:rPr>
            </w:r>
            <w:r>
              <w:rPr>
                <w:noProof/>
                <w:webHidden/>
              </w:rPr>
              <w:fldChar w:fldCharType="separate"/>
            </w:r>
            <w:r>
              <w:rPr>
                <w:noProof/>
                <w:webHidden/>
              </w:rPr>
              <w:t>5</w:t>
            </w:r>
            <w:r>
              <w:rPr>
                <w:noProof/>
                <w:webHidden/>
              </w:rPr>
              <w:fldChar w:fldCharType="end"/>
            </w:r>
          </w:hyperlink>
        </w:p>
        <w:p w14:paraId="4FD1781D" w14:textId="18080E7A" w:rsidR="00090390" w:rsidRDefault="00090390">
          <w:pPr>
            <w:pStyle w:val="TOC1"/>
            <w:tabs>
              <w:tab w:val="right" w:leader="dot" w:pos="9016"/>
            </w:tabs>
            <w:rPr>
              <w:noProof/>
            </w:rPr>
          </w:pPr>
          <w:hyperlink w:anchor="_Toc235381565" w:history="1">
            <w:r w:rsidRPr="00A210B0">
              <w:rPr>
                <w:rStyle w:val="Hyperlink"/>
                <w:noProof/>
              </w:rPr>
              <w:t>References</w:t>
            </w:r>
            <w:r>
              <w:rPr>
                <w:noProof/>
                <w:webHidden/>
              </w:rPr>
              <w:tab/>
            </w:r>
            <w:r>
              <w:rPr>
                <w:noProof/>
                <w:webHidden/>
              </w:rPr>
              <w:fldChar w:fldCharType="begin"/>
            </w:r>
            <w:r>
              <w:rPr>
                <w:noProof/>
                <w:webHidden/>
              </w:rPr>
              <w:instrText xml:space="preserve"> PAGEREF _Toc235381565 \h </w:instrText>
            </w:r>
            <w:r>
              <w:rPr>
                <w:noProof/>
                <w:webHidden/>
              </w:rPr>
            </w:r>
            <w:r>
              <w:rPr>
                <w:noProof/>
                <w:webHidden/>
              </w:rPr>
              <w:fldChar w:fldCharType="separate"/>
            </w:r>
            <w:r>
              <w:rPr>
                <w:noProof/>
                <w:webHidden/>
              </w:rPr>
              <w:t>5</w:t>
            </w:r>
            <w:r>
              <w:rPr>
                <w:noProof/>
                <w:webHidden/>
              </w:rPr>
              <w:fldChar w:fldCharType="end"/>
            </w:r>
          </w:hyperlink>
        </w:p>
        <w:p w14:paraId="5C27FE16" w14:textId="08202F3F" w:rsidR="00090390" w:rsidRDefault="00090390">
          <w:r>
            <w:rPr>
              <w:b/>
              <w:bCs/>
            </w:rPr>
            <w:fldChar w:fldCharType="end"/>
          </w:r>
        </w:p>
      </w:sdtContent>
    </w:sdt>
    <w:p w14:paraId="137D1FB9" w14:textId="77777777" w:rsidR="00B34AD9" w:rsidRDefault="00B34AD9"/>
    <w:p w14:paraId="48B38A97" w14:textId="77777777" w:rsidR="00B34AD9" w:rsidRDefault="00B34AD9"/>
    <w:p w14:paraId="510C00D6" w14:textId="77777777" w:rsidR="00B34AD9" w:rsidRDefault="00B34AD9"/>
    <w:p w14:paraId="27AAD7CC" w14:textId="77777777" w:rsidR="00B34AD9" w:rsidRDefault="00B34AD9"/>
    <w:p w14:paraId="18724413" w14:textId="77777777" w:rsidR="00B34AD9" w:rsidRDefault="00B34AD9"/>
    <w:p w14:paraId="0C686D64" w14:textId="77777777" w:rsidR="00B34AD9" w:rsidRDefault="00B34AD9"/>
    <w:p w14:paraId="3AB34C9C" w14:textId="77777777" w:rsidR="00B34AD9" w:rsidRDefault="00B34AD9"/>
    <w:p w14:paraId="02636A48" w14:textId="77777777" w:rsidR="00B34AD9" w:rsidRDefault="00B34AD9"/>
    <w:p w14:paraId="4B9FAF1C" w14:textId="77777777" w:rsidR="00B34AD9" w:rsidRDefault="00B34AD9"/>
    <w:p w14:paraId="4F2F5587" w14:textId="77777777" w:rsidR="00B34AD9" w:rsidRDefault="00B34AD9"/>
    <w:p w14:paraId="672CDB3F" w14:textId="77777777" w:rsidR="00B34AD9" w:rsidRDefault="00B34AD9"/>
    <w:p w14:paraId="4A1B3897" w14:textId="77777777" w:rsidR="00B34AD9" w:rsidRDefault="00B34AD9"/>
    <w:p w14:paraId="4B4263CF" w14:textId="77777777" w:rsidR="00B34AD9" w:rsidRDefault="00B34AD9"/>
    <w:p w14:paraId="759F602C" w14:textId="77777777" w:rsidR="00B34AD9" w:rsidRDefault="00B34AD9"/>
    <w:p w14:paraId="7A6EE1AA" w14:textId="77777777" w:rsidR="00B34AD9" w:rsidRDefault="00B34AD9"/>
    <w:p w14:paraId="0BC8BC0C" w14:textId="77777777" w:rsidR="00B34AD9" w:rsidRDefault="00B34AD9"/>
    <w:p w14:paraId="4DA4430F" w14:textId="77777777" w:rsidR="00B34AD9" w:rsidRDefault="00B34AD9"/>
    <w:p w14:paraId="68BED5C4" w14:textId="77777777" w:rsidR="00B34AD9" w:rsidRDefault="00B34AD9"/>
    <w:p w14:paraId="43E89BE7" w14:textId="77777777" w:rsidR="00B34AD9" w:rsidRDefault="00B34AD9"/>
    <w:p w14:paraId="359C0F3F" w14:textId="77777777" w:rsidR="00B34AD9" w:rsidRDefault="00B34AD9"/>
    <w:p w14:paraId="10E2A0A9" w14:textId="7C33008F" w:rsidR="00B34AD9" w:rsidRDefault="00B34AD9" w:rsidP="00B34AD9">
      <w:pPr>
        <w:pStyle w:val="Heading1"/>
      </w:pPr>
      <w:bookmarkStart w:id="0" w:name="_Toc235381558"/>
      <w:r w:rsidRPr="00B34AD9">
        <w:t>Introduction</w:t>
      </w:r>
      <w:bookmarkEnd w:id="0"/>
      <w:r w:rsidRPr="00B34AD9">
        <w:t xml:space="preserve"> </w:t>
      </w:r>
    </w:p>
    <w:p w14:paraId="1A4F099C" w14:textId="0C2DF24D" w:rsidR="00B34AD9" w:rsidRDefault="00B34AD9" w:rsidP="00B34AD9">
      <w:r>
        <w:t xml:space="preserve">MindCare Connect is an innovative mobile application designed to improve the mental health and wellbeing of the frontline health and social care professionals. The application addresses the growing issues of stress, anxiety, burnout and emotional fatigue experienced by health and social workers due to increasing workloads, staff shortages and workplace pressures. The app provides confidential access to professional counselling, peer support forums, mindfulness exercises, wellbeing tracking and evidence based self-help resources. By offering immediate and flexible support, MindCare Connect aims to reduce burnout, improve staff resilience and enhance the quality of patient care. The innovation benefits NHS employees, social care workers, care home staff and healthcare students by making mental health support more accessible. Ultimately, the project contributes to workforce sustainability and aligns with NHS priorities to improve staff wellbeing and deliver </w:t>
      </w:r>
      <w:r w:rsidR="00160C8E">
        <w:t>high-quality, person-centred</w:t>
      </w:r>
      <w:r>
        <w:t xml:space="preserve"> care.</w:t>
      </w:r>
    </w:p>
    <w:p w14:paraId="179A22BA" w14:textId="77777777" w:rsidR="00160C8E" w:rsidRDefault="00160C8E" w:rsidP="00B34AD9"/>
    <w:p w14:paraId="2F667AEA" w14:textId="457A0B9D" w:rsidR="00160C8E" w:rsidRDefault="00160C8E" w:rsidP="00160C8E">
      <w:pPr>
        <w:pStyle w:val="Heading1"/>
      </w:pPr>
      <w:bookmarkStart w:id="1" w:name="_Toc235381559"/>
      <w:r>
        <w:t>Background</w:t>
      </w:r>
      <w:bookmarkEnd w:id="1"/>
    </w:p>
    <w:p w14:paraId="759FE4F6" w14:textId="77777777" w:rsidR="00160C8E" w:rsidRDefault="00160C8E" w:rsidP="00160C8E"/>
    <w:p w14:paraId="65FFF35E" w14:textId="300E29A0" w:rsidR="00160C8E" w:rsidRDefault="00160C8E" w:rsidP="00160C8E">
      <w:r>
        <w:t xml:space="preserve">Mental health and wellbeing among healthcare professionals have become a significant concern across the UK. NHS staff frequently experience high levels of occupational stress resulting from staff shortages, long working hours, increasing patient demand and emotionally challenging clinical environments. According to the NHS Long Term Workforce </w:t>
      </w:r>
      <w:r w:rsidR="004526AF">
        <w:t>Plan (NHS</w:t>
      </w:r>
      <w:r>
        <w:t xml:space="preserve"> England 2023), improving staff wellbeing is essential to retaining experienced healthcare professionals and ensuring safe, effective patient care. Burnout has been linked to increased sickness absence, lower job satisfaction </w:t>
      </w:r>
      <w:r w:rsidR="004526AF">
        <w:t>and higher staff turnover, creating additional pressures on already stretched health and social care.</w:t>
      </w:r>
    </w:p>
    <w:p w14:paraId="5C8FA8ED" w14:textId="2B2BF6E6" w:rsidR="004526AF" w:rsidRDefault="004526AF" w:rsidP="00160C8E">
      <w:r>
        <w:t xml:space="preserve">The World Health Organization (2022) recognises burnout as an occupational phenomenon associated with chronic workplace stress that has not been successfully managed. Studies demonstrates that healthcare workers experiencing poor mental health are more likely to make clinical errors, experience compassion fatigue and leave the profession prematurely (West et al., 2018). Consequently, healthcare </w:t>
      </w:r>
      <w:r w:rsidR="006A1A00">
        <w:t>organisations face substantial financial costs associated with recruitment, agency staffing and sickness absence.</w:t>
      </w:r>
    </w:p>
    <w:p w14:paraId="1DD08824" w14:textId="5994512D" w:rsidR="006A1A00" w:rsidRDefault="006A1A00" w:rsidP="00160C8E">
      <w:r>
        <w:t xml:space="preserve">Although many NHS organisations provide occupational health services and employee assistance programmes, these services are often underutilised due to concerns </w:t>
      </w:r>
      <w:r>
        <w:lastRenderedPageBreak/>
        <w:t>surrounding confidentiality, accessibility and stigma. Staff working rotating shifts may also struggle to attend face- to-face appointments during conventional working hours. Therefore, there is clear need for a confidential, flexible and technology -based solution that provides immediate access to mental health support while promoting resilience and preventative self-care among frontline professionals.</w:t>
      </w:r>
    </w:p>
    <w:p w14:paraId="1D8A198B" w14:textId="1AE23C20" w:rsidR="006A1A00" w:rsidRDefault="006A1A00" w:rsidP="006A1A00">
      <w:pPr>
        <w:pStyle w:val="Heading1"/>
      </w:pPr>
      <w:bookmarkStart w:id="2" w:name="_Toc235381560"/>
      <w:r>
        <w:t>Innovation description</w:t>
      </w:r>
      <w:bookmarkEnd w:id="2"/>
      <w:r>
        <w:t xml:space="preserve"> </w:t>
      </w:r>
    </w:p>
    <w:p w14:paraId="6FB4504B" w14:textId="77777777" w:rsidR="006A1A00" w:rsidRDefault="006A1A00" w:rsidP="006A1A00"/>
    <w:p w14:paraId="1082FC2E" w14:textId="4BB4616E" w:rsidR="006A1A00" w:rsidRDefault="006A1A00" w:rsidP="006A1A00">
      <w:r>
        <w:t xml:space="preserve">MindCare Connect is a secure digital platform developed specifically for frontline health and social care workers. Accessible through smartphones and tablets, the applications </w:t>
      </w:r>
      <w:proofErr w:type="gramStart"/>
      <w:r>
        <w:t>provides</w:t>
      </w:r>
      <w:proofErr w:type="gramEnd"/>
      <w:r>
        <w:t xml:space="preserve"> 24-hour access to mental health resources, allowing staff to receive support regardless of their shift’s patterns.</w:t>
      </w:r>
    </w:p>
    <w:p w14:paraId="4947444F" w14:textId="38E42D5C" w:rsidR="006A1A00" w:rsidRDefault="006A1A00" w:rsidP="006A1A00">
      <w:r>
        <w:t>The application incorporates several innovative features including mood tracking</w:t>
      </w:r>
      <w:proofErr w:type="gramStart"/>
      <w:r>
        <w:t xml:space="preserve">, </w:t>
      </w:r>
      <w:r w:rsidR="00027180">
        <w:t>.</w:t>
      </w:r>
      <w:r w:rsidR="00277683">
        <w:t>mindfulness</w:t>
      </w:r>
      <w:proofErr w:type="gramEnd"/>
      <w:r w:rsidR="00277683">
        <w:t xml:space="preserve"> sessions, cognitive behavioural therapy exercises, confidential video counselling, wellbeing assessments and an AI powered wellbeing chatbot capable of signposting users to appropriate services. Staff can also access moderated peer support groups, allowing professionals to share experiences in safe and supportive environments.</w:t>
      </w:r>
    </w:p>
    <w:p w14:paraId="32C649E2" w14:textId="5F7DC0D7" w:rsidR="00277683" w:rsidRDefault="00277683" w:rsidP="006A1A00">
      <w:r>
        <w:t>Unlike existing employee wellbeing services, MindCare Connect combines multiple evidence-based intervention within a single digital platform. The application enables early identification of deteriorating mental health through regular wellbeing check-ins and personalised recommendations based on individual needs. Secure integration with NHS digital systems allows users to self-refer to occupational health services where appropriate while maintaining confidentiality.</w:t>
      </w:r>
    </w:p>
    <w:p w14:paraId="3F4F3785" w14:textId="45E2D281" w:rsidR="00277683" w:rsidRDefault="00277683" w:rsidP="006A1A00">
      <w:r>
        <w:t xml:space="preserve">The innovation places emphasis on prevention rather than crisis intervention, encouraging healthcare professionals to manage stress proactively before burnout develops. Through continuous monitoring and </w:t>
      </w:r>
      <w:proofErr w:type="spellStart"/>
      <w:r>
        <w:t>perosnalised</w:t>
      </w:r>
      <w:proofErr w:type="spellEnd"/>
      <w:r>
        <w:t xml:space="preserve"> support, </w:t>
      </w:r>
      <w:proofErr w:type="spellStart"/>
      <w:r>
        <w:t>MindCare</w:t>
      </w:r>
      <w:proofErr w:type="spellEnd"/>
      <w:r>
        <w:t xml:space="preserve"> Connect aims to improve resilience, reduce sickness absence and enhance workforce retention while supporting healthcare </w:t>
      </w:r>
      <w:r w:rsidR="003A4816">
        <w:t>organisations to deliver safe and higher-quality patient care.</w:t>
      </w:r>
    </w:p>
    <w:p w14:paraId="4145C69C" w14:textId="77777777" w:rsidR="003A4816" w:rsidRDefault="003A4816" w:rsidP="006A1A00"/>
    <w:p w14:paraId="3E91DAFB" w14:textId="63EB911E" w:rsidR="003A4816" w:rsidRDefault="003A4816" w:rsidP="003A4816">
      <w:pPr>
        <w:pStyle w:val="Heading1"/>
      </w:pPr>
      <w:bookmarkStart w:id="3" w:name="_Toc235381561"/>
      <w:r>
        <w:t>Impact on Health and Social Care</w:t>
      </w:r>
      <w:bookmarkEnd w:id="3"/>
      <w:r>
        <w:t xml:space="preserve"> </w:t>
      </w:r>
    </w:p>
    <w:p w14:paraId="12B59C3F" w14:textId="77777777" w:rsidR="003A4816" w:rsidRDefault="003A4816" w:rsidP="003A4816"/>
    <w:p w14:paraId="651BC7A0" w14:textId="5F8CFCD6" w:rsidR="003A4816" w:rsidRDefault="003A4816" w:rsidP="003A4816">
      <w:r>
        <w:t xml:space="preserve">MindCare Connect has the potential to create significant benefits on both healthcare professionals and services users. Improved staff wellbeing contributes directly to safer </w:t>
      </w:r>
      <w:r>
        <w:lastRenderedPageBreak/>
        <w:t>clinical practice, better communication and enhanced patient experiences, healthcare professionals experiencing lower levels of stress are more likely to provide compassionate, person-centred care and demonstrate improved decision- making abilities.</w:t>
      </w:r>
    </w:p>
    <w:p w14:paraId="47C361E4" w14:textId="7A06617B" w:rsidR="003A4816" w:rsidRDefault="003A4816" w:rsidP="003A4816">
      <w:r>
        <w:t>The innovation particularly benefits vulnerable groups within the workforce, including newly qualified nurses, healthcare assistants, social workers, internationally recruited staff and those working in high-pressure environments such as emergency departments and care home. The application improves equality of access by providing confidential support regardless of geographical location, shift pattern or professional role.</w:t>
      </w:r>
    </w:p>
    <w:p w14:paraId="00C6F516" w14:textId="77C438C7" w:rsidR="003A4816" w:rsidRDefault="003A4816" w:rsidP="003A4816">
      <w:r>
        <w:t>Reducing burnout and improving resilience may contribute to common good by strengthening the healthcare workforce and improving continuity for patients</w:t>
      </w:r>
      <w:r w:rsidR="00A16D83">
        <w:t>. Increased staff satisfaction may reduce recruitment costs and improve organisational productivity while ensuring the health care professionals remain healthy enough to continue delivering essential services. Therefore, MindCare Connect represents an investment not only in staff wellbeing but also in the long-term quality and sustainability of health and social care services.</w:t>
      </w:r>
    </w:p>
    <w:p w14:paraId="7FC1443B" w14:textId="4D98E7B7" w:rsidR="00A16D83" w:rsidRDefault="00A16D83" w:rsidP="00A16D83">
      <w:pPr>
        <w:pStyle w:val="Heading1"/>
      </w:pPr>
      <w:bookmarkStart w:id="4" w:name="_Toc235381562"/>
      <w:r>
        <w:t>Public and stakeholder involvement</w:t>
      </w:r>
      <w:bookmarkEnd w:id="4"/>
      <w:r>
        <w:t xml:space="preserve"> </w:t>
      </w:r>
    </w:p>
    <w:p w14:paraId="1F06E250" w14:textId="77777777" w:rsidR="00A16D83" w:rsidRDefault="00A16D83" w:rsidP="00A16D83"/>
    <w:p w14:paraId="2E358DE4" w14:textId="59D08080" w:rsidR="00A16D83" w:rsidRDefault="00A16D83" w:rsidP="00A16D83">
      <w:r>
        <w:t>Successful implementation of MindCare Connect requires collaboration between healthcare professionals, NHS organisations, service users and mental health charities. Frontline staff would be involved in the co-design process through focus groups, surveys and pilot testing to ensure the application meets real workplace needs. NHS occupational health departments, clinical psychologists, digital health specialists and professional bodies would contribute to content development and governance.</w:t>
      </w:r>
    </w:p>
    <w:p w14:paraId="2B6EB447" w14:textId="4F74C97E" w:rsidR="00A16D83" w:rsidRDefault="00A16D83" w:rsidP="00A16D83">
      <w:r>
        <w:t xml:space="preserve">Stakeholder engagement would continue through regular feedback sessions, allowing continuous improvement of the platform. Partnership with organisations </w:t>
      </w:r>
      <w:r w:rsidR="005A1FEE">
        <w:t>such as NHS and Mind could support awareness campaigns, training and promotion. user feedback would be collected through anonymous satisfaction surveys and app analytics to evaluate effectiveness and identify opportunities for further development.</w:t>
      </w:r>
    </w:p>
    <w:p w14:paraId="407816B2" w14:textId="77777777" w:rsidR="005A1FEE" w:rsidRDefault="005A1FEE" w:rsidP="00A16D83"/>
    <w:p w14:paraId="05630BFF" w14:textId="6292FBB2" w:rsidR="005A1FEE" w:rsidRDefault="005A1FEE" w:rsidP="005A1FEE">
      <w:pPr>
        <w:pStyle w:val="Heading1"/>
      </w:pPr>
      <w:bookmarkStart w:id="5" w:name="_Toc235381563"/>
      <w:r>
        <w:t>Policies, services and professional links</w:t>
      </w:r>
      <w:bookmarkEnd w:id="5"/>
      <w:r>
        <w:t xml:space="preserve"> </w:t>
      </w:r>
    </w:p>
    <w:p w14:paraId="0777209D" w14:textId="560FA693" w:rsidR="005A1FEE" w:rsidRDefault="005A1FEE" w:rsidP="005A1FEE">
      <w:r>
        <w:t xml:space="preserve">MindCare Connect supports several UK health and social care policies and </w:t>
      </w:r>
      <w:proofErr w:type="gramStart"/>
      <w:r>
        <w:t>professionals</w:t>
      </w:r>
      <w:proofErr w:type="gramEnd"/>
      <w:r>
        <w:t xml:space="preserve"> standards. The innovation aligns with the Care Act 2014, which promotes wellbeing as a central principle of care, and the Equality Act 2010, ensuring equitable </w:t>
      </w:r>
      <w:r>
        <w:lastRenderedPageBreak/>
        <w:t>access to support regardless of background or personal characteristics. Compliance with the UK General Data Protection Regulation (GDPR) and the Data Protection Act 2018 would ensure confidentiality and secure management of personal information.</w:t>
      </w:r>
    </w:p>
    <w:p w14:paraId="21F301AD" w14:textId="171437FF" w:rsidR="005A1FEE" w:rsidRDefault="005A1FEE" w:rsidP="005A1FEE">
      <w:r>
        <w:t xml:space="preserve">The application also supports the NHS Long Term Workforce Plan (2023) by improving staff wellbeing and workforce retention. Professional practice would adhere to the Nursing and Midwifery Council code, Health and care professionals Council, Care Quality Commission Regulations, and the relevant National Institute </w:t>
      </w:r>
      <w:r w:rsidR="00A9694D">
        <w:t>for Health and Care Excellence guidance on workplace mental wellbeing.</w:t>
      </w:r>
    </w:p>
    <w:p w14:paraId="2030CD6D" w14:textId="77777777" w:rsidR="00A9694D" w:rsidRDefault="00A9694D" w:rsidP="005A1FEE"/>
    <w:p w14:paraId="0919B0D9" w14:textId="043D36A5" w:rsidR="00A9694D" w:rsidRDefault="00A9694D" w:rsidP="00A9694D">
      <w:pPr>
        <w:pStyle w:val="Heading1"/>
      </w:pPr>
      <w:bookmarkStart w:id="6" w:name="_Toc235381564"/>
      <w:r>
        <w:t>Conclusion</w:t>
      </w:r>
      <w:bookmarkEnd w:id="6"/>
      <w:r>
        <w:t xml:space="preserve"> </w:t>
      </w:r>
    </w:p>
    <w:p w14:paraId="328B2A98" w14:textId="7AD8CBF0" w:rsidR="00A9694D" w:rsidRDefault="00A9694D" w:rsidP="00A9694D">
      <w:r>
        <w:t xml:space="preserve"> MindCare Connect offers an </w:t>
      </w:r>
      <w:proofErr w:type="gramStart"/>
      <w:r>
        <w:t>innovative ,</w:t>
      </w:r>
      <w:proofErr w:type="gramEnd"/>
      <w:r>
        <w:t xml:space="preserve"> practical and </w:t>
      </w:r>
      <w:proofErr w:type="gramStart"/>
      <w:r>
        <w:t>evidence based</w:t>
      </w:r>
      <w:proofErr w:type="gramEnd"/>
      <w:r>
        <w:t xml:space="preserve"> solution to one the most significant challenges facing health and social care workforce mental wellbeing. By providing confidential, accessible and preventive support, the application has the potential to reduce burnout, improve staff retention and enhance patient care. The innovation aligns with nations healthcare priorities and demonstrates how digital technology can create sustainable value for healthcare organisations, professionals and the wider community.</w:t>
      </w:r>
    </w:p>
    <w:p w14:paraId="35729C5A" w14:textId="77777777" w:rsidR="00A9694D" w:rsidRDefault="00A9694D" w:rsidP="00A9694D"/>
    <w:p w14:paraId="5382803E" w14:textId="77777777" w:rsidR="00A9694D" w:rsidRDefault="00A9694D" w:rsidP="00A9694D"/>
    <w:p w14:paraId="29094C34" w14:textId="55BFCEC5" w:rsidR="00A9694D" w:rsidRDefault="00A9694D" w:rsidP="00A9694D">
      <w:pPr>
        <w:pStyle w:val="Heading1"/>
      </w:pPr>
      <w:bookmarkStart w:id="7" w:name="_Toc235381565"/>
      <w:r>
        <w:t>References</w:t>
      </w:r>
      <w:bookmarkEnd w:id="7"/>
      <w:r>
        <w:t xml:space="preserve"> </w:t>
      </w:r>
    </w:p>
    <w:p w14:paraId="3EAF026C" w14:textId="77777777" w:rsidR="00A9694D" w:rsidRDefault="00A9694D" w:rsidP="00A9694D">
      <w:r>
        <w:t>Care Act 2014. London: HMSO.</w:t>
      </w:r>
    </w:p>
    <w:p w14:paraId="5AFCC88B" w14:textId="77777777" w:rsidR="00A9694D" w:rsidRDefault="00A9694D" w:rsidP="00A9694D">
      <w:r>
        <w:t>Data Protection Act 2018. London: HMSO.</w:t>
      </w:r>
    </w:p>
    <w:p w14:paraId="2EA65823" w14:textId="77777777" w:rsidR="00A9694D" w:rsidRDefault="00A9694D" w:rsidP="00A9694D">
      <w:r>
        <w:t>Equality Act 2010. London: HMSO.</w:t>
      </w:r>
    </w:p>
    <w:p w14:paraId="3E8FEFD0" w14:textId="77777777" w:rsidR="00A9694D" w:rsidRDefault="00A9694D" w:rsidP="00A9694D">
      <w:r>
        <w:t>NHS England (2023) NHS Long Term Workforce Plan. London: NHS England.</w:t>
      </w:r>
    </w:p>
    <w:p w14:paraId="32EFC1C6" w14:textId="77777777" w:rsidR="00A9694D" w:rsidRDefault="00A9694D" w:rsidP="00A9694D">
      <w:r>
        <w:t>National Institute for Health and Care Excellence (2022) Workplace health: management practices (NG13).</w:t>
      </w:r>
    </w:p>
    <w:p w14:paraId="32E9A026" w14:textId="77777777" w:rsidR="00A9694D" w:rsidRDefault="00A9694D" w:rsidP="00A9694D">
      <w:r>
        <w:t>Nursing and Midwifery Council (2018) The Code: Professional standards of practice and behaviour for nurses, midwives and nursing associates. London: NMC.</w:t>
      </w:r>
    </w:p>
    <w:p w14:paraId="47B195C4" w14:textId="77777777" w:rsidR="00A9694D" w:rsidRDefault="00A9694D" w:rsidP="00A9694D">
      <w:r>
        <w:t>West, C.P., Dyrbye, L.N. and Shanafelt, T.D. (2018) ‘Physician burnout: contributors, consequences and solutions’, Journal of Internal Medicine, 283(6), pp. 516–529.</w:t>
      </w:r>
    </w:p>
    <w:p w14:paraId="78EF60A2" w14:textId="02CB5061" w:rsidR="00A9694D" w:rsidRDefault="00A9694D" w:rsidP="00A9694D">
      <w:r>
        <w:t>World Health Organization (2022) Mental Health at Work. Geneva: WHO.</w:t>
      </w:r>
    </w:p>
    <w:p w14:paraId="4E5211B2" w14:textId="77777777" w:rsidR="00A9694D" w:rsidRPr="00A9694D" w:rsidRDefault="00A9694D" w:rsidP="00A9694D"/>
    <w:p w14:paraId="1023E44D" w14:textId="77777777" w:rsidR="00A16D83" w:rsidRDefault="00A16D83" w:rsidP="003A4816"/>
    <w:p w14:paraId="5539C667" w14:textId="77777777" w:rsidR="00A16D83" w:rsidRPr="003A4816" w:rsidRDefault="00A16D83" w:rsidP="003A4816"/>
    <w:p w14:paraId="58BB40DC" w14:textId="77777777" w:rsidR="006A1A00" w:rsidRPr="006A1A00" w:rsidRDefault="006A1A00" w:rsidP="006A1A00"/>
    <w:p w14:paraId="618DE705" w14:textId="77777777" w:rsidR="006A1A00" w:rsidRDefault="006A1A00" w:rsidP="00160C8E"/>
    <w:p w14:paraId="5FE7828B" w14:textId="77777777" w:rsidR="004526AF" w:rsidRPr="00160C8E" w:rsidRDefault="004526AF" w:rsidP="00160C8E"/>
    <w:p w14:paraId="394389CC" w14:textId="77777777" w:rsidR="00160C8E" w:rsidRPr="00160C8E" w:rsidRDefault="00160C8E" w:rsidP="00B34AD9"/>
    <w:p w14:paraId="256A0782" w14:textId="77777777" w:rsidR="00160C8E" w:rsidRDefault="00160C8E" w:rsidP="00B34AD9"/>
    <w:p w14:paraId="226982C4" w14:textId="77777777" w:rsidR="00160C8E" w:rsidRPr="00B34AD9" w:rsidRDefault="00160C8E" w:rsidP="00B34AD9"/>
    <w:sectPr w:rsidR="00160C8E" w:rsidRPr="00B34AD9" w:rsidSect="00B34AD9">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A597C7" w14:textId="77777777" w:rsidR="00BF6E91" w:rsidRDefault="00BF6E91" w:rsidP="00A9694D">
      <w:pPr>
        <w:spacing w:after="0" w:line="240" w:lineRule="auto"/>
      </w:pPr>
      <w:r>
        <w:separator/>
      </w:r>
    </w:p>
  </w:endnote>
  <w:endnote w:type="continuationSeparator" w:id="0">
    <w:p w14:paraId="7D53CC9D" w14:textId="77777777" w:rsidR="00BF6E91" w:rsidRDefault="00BF6E91" w:rsidP="00A96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3020679"/>
      <w:docPartObj>
        <w:docPartGallery w:val="Page Numbers (Bottom of Page)"/>
        <w:docPartUnique/>
      </w:docPartObj>
    </w:sdtPr>
    <w:sdtContent>
      <w:p w14:paraId="3F3D43B8" w14:textId="77777777" w:rsidR="00A9694D" w:rsidRDefault="00A9694D">
        <w:pPr>
          <w:pStyle w:val="Footer"/>
          <w:jc w:val="center"/>
        </w:pPr>
      </w:p>
      <w:p w14:paraId="6B14D09E" w14:textId="5E500784" w:rsidR="00A9694D" w:rsidRDefault="00A9694D">
        <w:pPr>
          <w:pStyle w:val="Footer"/>
          <w:jc w:val="center"/>
        </w:pPr>
        <w:r>
          <w:fldChar w:fldCharType="begin"/>
        </w:r>
        <w:r>
          <w:instrText>PAGE   \* MERGEFORMAT</w:instrText>
        </w:r>
        <w:r>
          <w:fldChar w:fldCharType="separate"/>
        </w:r>
        <w:r>
          <w:t>2</w:t>
        </w:r>
        <w:r>
          <w:fldChar w:fldCharType="end"/>
        </w:r>
      </w:p>
    </w:sdtContent>
  </w:sdt>
  <w:p w14:paraId="508B4DD7" w14:textId="77777777" w:rsidR="00A9694D" w:rsidRDefault="00A969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EFE89" w14:textId="77777777" w:rsidR="00BF6E91" w:rsidRDefault="00BF6E91" w:rsidP="00A9694D">
      <w:pPr>
        <w:spacing w:after="0" w:line="240" w:lineRule="auto"/>
      </w:pPr>
      <w:r>
        <w:separator/>
      </w:r>
    </w:p>
  </w:footnote>
  <w:footnote w:type="continuationSeparator" w:id="0">
    <w:p w14:paraId="36DEACCB" w14:textId="77777777" w:rsidR="00BF6E91" w:rsidRDefault="00BF6E91" w:rsidP="00A969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AD9"/>
    <w:rsid w:val="00027180"/>
    <w:rsid w:val="00090390"/>
    <w:rsid w:val="00144013"/>
    <w:rsid w:val="00160C8E"/>
    <w:rsid w:val="00277683"/>
    <w:rsid w:val="003A4816"/>
    <w:rsid w:val="004526AF"/>
    <w:rsid w:val="00455578"/>
    <w:rsid w:val="005A1FEE"/>
    <w:rsid w:val="006A1A00"/>
    <w:rsid w:val="00A16D83"/>
    <w:rsid w:val="00A9694D"/>
    <w:rsid w:val="00B34AD9"/>
    <w:rsid w:val="00BF6E91"/>
    <w:rsid w:val="00E32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5F513"/>
  <w15:chartTrackingRefBased/>
  <w15:docId w15:val="{EFEB6BB9-751E-4B7F-84B4-E16B81603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A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4A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4A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4A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4A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4A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4A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4A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4A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A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4A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4A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4A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4A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4A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4A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4A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4AD9"/>
    <w:rPr>
      <w:rFonts w:eastAsiaTheme="majorEastAsia" w:cstheme="majorBidi"/>
      <w:color w:val="272727" w:themeColor="text1" w:themeTint="D8"/>
    </w:rPr>
  </w:style>
  <w:style w:type="paragraph" w:styleId="Title">
    <w:name w:val="Title"/>
    <w:basedOn w:val="Normal"/>
    <w:next w:val="Normal"/>
    <w:link w:val="TitleChar"/>
    <w:uiPriority w:val="10"/>
    <w:qFormat/>
    <w:rsid w:val="00B34A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4A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4A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4A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4AD9"/>
    <w:pPr>
      <w:spacing w:before="160"/>
      <w:jc w:val="center"/>
    </w:pPr>
    <w:rPr>
      <w:i/>
      <w:iCs/>
      <w:color w:val="404040" w:themeColor="text1" w:themeTint="BF"/>
    </w:rPr>
  </w:style>
  <w:style w:type="character" w:customStyle="1" w:styleId="QuoteChar">
    <w:name w:val="Quote Char"/>
    <w:basedOn w:val="DefaultParagraphFont"/>
    <w:link w:val="Quote"/>
    <w:uiPriority w:val="29"/>
    <w:rsid w:val="00B34AD9"/>
    <w:rPr>
      <w:i/>
      <w:iCs/>
      <w:color w:val="404040" w:themeColor="text1" w:themeTint="BF"/>
    </w:rPr>
  </w:style>
  <w:style w:type="paragraph" w:styleId="ListParagraph">
    <w:name w:val="List Paragraph"/>
    <w:basedOn w:val="Normal"/>
    <w:uiPriority w:val="34"/>
    <w:qFormat/>
    <w:rsid w:val="00B34AD9"/>
    <w:pPr>
      <w:ind w:left="720"/>
      <w:contextualSpacing/>
    </w:pPr>
  </w:style>
  <w:style w:type="character" w:styleId="IntenseEmphasis">
    <w:name w:val="Intense Emphasis"/>
    <w:basedOn w:val="DefaultParagraphFont"/>
    <w:uiPriority w:val="21"/>
    <w:qFormat/>
    <w:rsid w:val="00B34AD9"/>
    <w:rPr>
      <w:i/>
      <w:iCs/>
      <w:color w:val="0F4761" w:themeColor="accent1" w:themeShade="BF"/>
    </w:rPr>
  </w:style>
  <w:style w:type="paragraph" w:styleId="IntenseQuote">
    <w:name w:val="Intense Quote"/>
    <w:basedOn w:val="Normal"/>
    <w:next w:val="Normal"/>
    <w:link w:val="IntenseQuoteChar"/>
    <w:uiPriority w:val="30"/>
    <w:qFormat/>
    <w:rsid w:val="00B34A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4AD9"/>
    <w:rPr>
      <w:i/>
      <w:iCs/>
      <w:color w:val="0F4761" w:themeColor="accent1" w:themeShade="BF"/>
    </w:rPr>
  </w:style>
  <w:style w:type="character" w:styleId="IntenseReference">
    <w:name w:val="Intense Reference"/>
    <w:basedOn w:val="DefaultParagraphFont"/>
    <w:uiPriority w:val="32"/>
    <w:qFormat/>
    <w:rsid w:val="00B34AD9"/>
    <w:rPr>
      <w:b/>
      <w:bCs/>
      <w:smallCaps/>
      <w:color w:val="0F4761" w:themeColor="accent1" w:themeShade="BF"/>
      <w:spacing w:val="5"/>
    </w:rPr>
  </w:style>
  <w:style w:type="paragraph" w:styleId="NoSpacing">
    <w:name w:val="No Spacing"/>
    <w:link w:val="NoSpacingChar"/>
    <w:uiPriority w:val="1"/>
    <w:qFormat/>
    <w:rsid w:val="00B34AD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34AD9"/>
    <w:rPr>
      <w:rFonts w:eastAsiaTheme="minorEastAsia"/>
      <w:kern w:val="0"/>
      <w:sz w:val="22"/>
      <w:szCs w:val="22"/>
      <w:lang w:eastAsia="en-GB"/>
      <w14:ligatures w14:val="none"/>
    </w:rPr>
  </w:style>
  <w:style w:type="paragraph" w:styleId="Header">
    <w:name w:val="header"/>
    <w:basedOn w:val="Normal"/>
    <w:link w:val="HeaderChar"/>
    <w:uiPriority w:val="99"/>
    <w:unhideWhenUsed/>
    <w:rsid w:val="00A969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94D"/>
  </w:style>
  <w:style w:type="paragraph" w:styleId="Footer">
    <w:name w:val="footer"/>
    <w:basedOn w:val="Normal"/>
    <w:link w:val="FooterChar"/>
    <w:uiPriority w:val="99"/>
    <w:unhideWhenUsed/>
    <w:rsid w:val="00A969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94D"/>
  </w:style>
  <w:style w:type="paragraph" w:styleId="TOCHeading">
    <w:name w:val="TOC Heading"/>
    <w:basedOn w:val="Heading1"/>
    <w:next w:val="Normal"/>
    <w:uiPriority w:val="39"/>
    <w:unhideWhenUsed/>
    <w:qFormat/>
    <w:rsid w:val="0009039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90390"/>
    <w:pPr>
      <w:spacing w:after="100"/>
    </w:pPr>
  </w:style>
  <w:style w:type="character" w:styleId="Hyperlink">
    <w:name w:val="Hyperlink"/>
    <w:basedOn w:val="DefaultParagraphFont"/>
    <w:uiPriority w:val="99"/>
    <w:unhideWhenUsed/>
    <w:rsid w:val="0009039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Assessment 2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6" ma:contentTypeDescription="Create a new document." ma:contentTypeScope="" ma:versionID="4437d01720f7c8da648e17f7625a476b">
  <xsd:schema xmlns:xsd="http://www.w3.org/2001/XMLSchema" xmlns:xs="http://www.w3.org/2001/XMLSchema" xmlns:p="http://schemas.microsoft.com/office/2006/metadata/properties" xmlns:ns3="dd86abe3-ec21-467e-8687-9d211c569818" targetNamespace="http://schemas.microsoft.com/office/2006/metadata/properties" ma:root="true" ma:fieldsID="d44dc3b2a5463dcd4d6241f225e486e8"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3CC33E-AA43-439E-A50A-028F82776CE8}">
  <ds:schemaRefs>
    <ds:schemaRef ds:uri="http://schemas.microsoft.com/sharepoint/v3/contenttype/forms"/>
  </ds:schemaRefs>
</ds:datastoreItem>
</file>

<file path=customXml/itemProps3.xml><?xml version="1.0" encoding="utf-8"?>
<ds:datastoreItem xmlns:ds="http://schemas.openxmlformats.org/officeDocument/2006/customXml" ds:itemID="{F632848F-DCC6-4088-BB28-D176B8A50E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7EAF2B8-E336-46BF-AB78-97AD50838E8E}">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1446</Words>
  <Characters>8244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Dalia Varela Catraio De Boa Morte (2429427)</dc:creator>
  <cp:keywords/>
  <dc:description/>
  <cp:lastModifiedBy>Maria Dalia Varela Catraio De Boa Morte (2429427)</cp:lastModifiedBy>
  <cp:revision>4</cp:revision>
  <dcterms:created xsi:type="dcterms:W3CDTF">2026-07-19T18:31:00Z</dcterms:created>
  <dcterms:modified xsi:type="dcterms:W3CDTF">2026-07-23T16:33:00Z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