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7D4B1" w14:textId="77777777" w:rsidR="00010D5A" w:rsidRDefault="00010D5A" w:rsidP="00010D5A"/>
    <w:p w14:paraId="7AF8951B" w14:textId="77777777" w:rsidR="00010D5A" w:rsidRDefault="00010D5A" w:rsidP="00010D5A"/>
    <w:p w14:paraId="36097FB4" w14:textId="4285D479" w:rsidR="00010D5A" w:rsidRPr="0070600B" w:rsidRDefault="0070600B" w:rsidP="0070600B">
      <w:pPr>
        <w:spacing w:line="360" w:lineRule="auto"/>
        <w:rPr>
          <w:rFonts w:cstheme="minorHAnsi"/>
          <w:sz w:val="24"/>
          <w:szCs w:val="24"/>
        </w:rPr>
      </w:pPr>
      <w:r>
        <w:rPr>
          <w:rFonts w:cstheme="minorHAnsi"/>
          <w:sz w:val="24"/>
          <w:szCs w:val="24"/>
        </w:rPr>
        <w:t xml:space="preserve">        </w:t>
      </w:r>
      <w:r w:rsidR="00010D5A" w:rsidRPr="0070600B">
        <w:rPr>
          <w:rFonts w:cstheme="minorHAnsi"/>
          <w:sz w:val="24"/>
          <w:szCs w:val="24"/>
        </w:rPr>
        <w:t>CRITICALLY EVALUATE THE IDEA THAT WOMEN FACE ISSUES OF 'DOUBLE DEVIANCE'</w:t>
      </w:r>
    </w:p>
    <w:p w14:paraId="23A92DB1" w14:textId="77777777" w:rsidR="009B6642" w:rsidRDefault="009B6642" w:rsidP="0070600B">
      <w:pPr>
        <w:spacing w:line="360" w:lineRule="auto"/>
        <w:rPr>
          <w:rFonts w:cstheme="minorHAnsi"/>
          <w:sz w:val="24"/>
          <w:szCs w:val="24"/>
        </w:rPr>
      </w:pPr>
    </w:p>
    <w:p w14:paraId="2574E6DF" w14:textId="5681F203" w:rsidR="00010D5A" w:rsidRPr="0070600B" w:rsidRDefault="00010D5A" w:rsidP="0070600B">
      <w:pPr>
        <w:spacing w:line="360" w:lineRule="auto"/>
        <w:rPr>
          <w:rFonts w:cstheme="minorHAnsi"/>
          <w:sz w:val="24"/>
          <w:szCs w:val="24"/>
        </w:rPr>
      </w:pPr>
      <w:r w:rsidRPr="0070600B">
        <w:rPr>
          <w:rFonts w:cstheme="minorHAnsi"/>
          <w:sz w:val="24"/>
          <w:szCs w:val="24"/>
        </w:rPr>
        <w:t xml:space="preserve">The </w:t>
      </w:r>
      <w:r w:rsidR="009B6642">
        <w:rPr>
          <w:rFonts w:cstheme="minorHAnsi"/>
          <w:sz w:val="24"/>
          <w:szCs w:val="24"/>
        </w:rPr>
        <w:t xml:space="preserve">essay aims to </w:t>
      </w:r>
      <w:r w:rsidRPr="0070600B">
        <w:rPr>
          <w:rFonts w:cstheme="minorHAnsi"/>
          <w:sz w:val="24"/>
          <w:szCs w:val="24"/>
        </w:rPr>
        <w:t>evaluat</w:t>
      </w:r>
      <w:r w:rsidR="009B6642">
        <w:rPr>
          <w:rFonts w:cstheme="minorHAnsi"/>
          <w:sz w:val="24"/>
          <w:szCs w:val="24"/>
        </w:rPr>
        <w:t>e</w:t>
      </w:r>
      <w:r w:rsidR="00EA1AC3">
        <w:rPr>
          <w:rFonts w:cstheme="minorHAnsi"/>
          <w:sz w:val="24"/>
          <w:szCs w:val="24"/>
        </w:rPr>
        <w:t xml:space="preserve"> the research </w:t>
      </w:r>
      <w:r w:rsidR="000F48E2">
        <w:rPr>
          <w:rFonts w:cstheme="minorHAnsi"/>
          <w:sz w:val="24"/>
          <w:szCs w:val="24"/>
        </w:rPr>
        <w:t>conducted</w:t>
      </w:r>
      <w:r w:rsidR="000F48E2" w:rsidRPr="0070600B">
        <w:rPr>
          <w:rFonts w:cstheme="minorHAnsi"/>
          <w:sz w:val="24"/>
          <w:szCs w:val="24"/>
        </w:rPr>
        <w:t xml:space="preserve"> based</w:t>
      </w:r>
      <w:r w:rsidRPr="0070600B">
        <w:rPr>
          <w:rFonts w:cstheme="minorHAnsi"/>
          <w:sz w:val="24"/>
          <w:szCs w:val="24"/>
        </w:rPr>
        <w:t xml:space="preserve"> on the theory of 'double deviance' as it applies to the feminist branch of criminology. The theory, as coined by a feminist, Heidensohn (</w:t>
      </w:r>
      <w:r w:rsidR="00DE1272">
        <w:rPr>
          <w:rFonts w:cstheme="minorHAnsi"/>
          <w:sz w:val="24"/>
          <w:szCs w:val="24"/>
        </w:rPr>
        <w:t>2010</w:t>
      </w:r>
      <w:r w:rsidRPr="0070600B">
        <w:rPr>
          <w:rFonts w:cstheme="minorHAnsi"/>
          <w:sz w:val="24"/>
          <w:szCs w:val="24"/>
        </w:rPr>
        <w:t>) and later used by Lloyd (1995), is founded on the concept that women are neglected in previous studies in criminology when examining the female offender. Heidensohn (1985) conceptualised the double deviance theory based on double jeopardy. First, women are perceived to have broken the societal expectations and norms on how women should behave and secondly, they are punished for breaking the law (Heidensohn, 1985; Lloyd, 1995). Accordingly, the feminist approach communicates that women are punished for sexual misbehaviour; however, men are not. The double deviance framework is sometimes termed as theory of 'evil women</w:t>
      </w:r>
      <w:r w:rsidR="003E478A">
        <w:rPr>
          <w:rFonts w:cstheme="minorHAnsi"/>
          <w:sz w:val="24"/>
          <w:szCs w:val="24"/>
        </w:rPr>
        <w:t xml:space="preserve">’, </w:t>
      </w:r>
      <w:r w:rsidR="003E478A" w:rsidRPr="0070600B">
        <w:rPr>
          <w:rFonts w:cstheme="minorHAnsi"/>
          <w:sz w:val="24"/>
          <w:szCs w:val="24"/>
        </w:rPr>
        <w:t>and</w:t>
      </w:r>
      <w:r w:rsidRPr="0070600B">
        <w:rPr>
          <w:rFonts w:cstheme="minorHAnsi"/>
          <w:sz w:val="24"/>
          <w:szCs w:val="24"/>
        </w:rPr>
        <w:t xml:space="preserve"> as Bontrager et al., (2013) states, the theory suggests that women get tougher social judgment for their actions, and at the same time, are subjected to double jeopardy and therefore harsher sentences. The underlying reason is that the courts consider them to have not only violated legal rules but also patterns of female conduct as approved by society (Lloyd, 1995; Bontrager et al., 2013). This essay evaluates the idea that women, indeed, experience issues of 'double deviance, focusing on t</w:t>
      </w:r>
      <w:r w:rsidR="00A864B4">
        <w:rPr>
          <w:rFonts w:cstheme="minorHAnsi"/>
          <w:sz w:val="24"/>
          <w:szCs w:val="24"/>
        </w:rPr>
        <w:t>hree</w:t>
      </w:r>
      <w:r w:rsidRPr="0070600B">
        <w:rPr>
          <w:rFonts w:cstheme="minorHAnsi"/>
          <w:sz w:val="24"/>
          <w:szCs w:val="24"/>
        </w:rPr>
        <w:t xml:space="preserve"> key aspects, i.e., historical context</w:t>
      </w:r>
      <w:r w:rsidR="00A864B4">
        <w:rPr>
          <w:rFonts w:cstheme="minorHAnsi"/>
          <w:sz w:val="24"/>
          <w:szCs w:val="24"/>
        </w:rPr>
        <w:t xml:space="preserve">, </w:t>
      </w:r>
      <w:r w:rsidR="00305CFA">
        <w:rPr>
          <w:rFonts w:cstheme="minorHAnsi"/>
          <w:sz w:val="24"/>
          <w:szCs w:val="24"/>
        </w:rPr>
        <w:t>whether women are treated more harshly compared to men in the criminal justice system</w:t>
      </w:r>
      <w:r w:rsidRPr="0070600B">
        <w:rPr>
          <w:rFonts w:cstheme="minorHAnsi"/>
          <w:sz w:val="24"/>
          <w:szCs w:val="24"/>
        </w:rPr>
        <w:t xml:space="preserve"> and expectations of society. </w:t>
      </w:r>
    </w:p>
    <w:p w14:paraId="4B56AAD8" w14:textId="5E3E6DD9" w:rsidR="009B2308" w:rsidRDefault="00010D5A" w:rsidP="0070600B">
      <w:pPr>
        <w:spacing w:line="360" w:lineRule="auto"/>
        <w:rPr>
          <w:rFonts w:cstheme="minorHAnsi"/>
          <w:sz w:val="24"/>
          <w:szCs w:val="24"/>
        </w:rPr>
      </w:pPr>
      <w:r w:rsidRPr="0070600B">
        <w:rPr>
          <w:rFonts w:cstheme="minorHAnsi"/>
          <w:sz w:val="24"/>
          <w:szCs w:val="24"/>
        </w:rPr>
        <w:t xml:space="preserve">Early criminologists like </w:t>
      </w:r>
      <w:r w:rsidR="006252A3" w:rsidRPr="0070600B">
        <w:rPr>
          <w:rFonts w:cstheme="minorHAnsi"/>
          <w:sz w:val="24"/>
          <w:szCs w:val="24"/>
        </w:rPr>
        <w:t>Lombroso</w:t>
      </w:r>
      <w:r w:rsidRPr="0070600B">
        <w:rPr>
          <w:rFonts w:cstheme="minorHAnsi"/>
          <w:sz w:val="24"/>
          <w:szCs w:val="24"/>
        </w:rPr>
        <w:t xml:space="preserve"> (1895), Davis (1961), Thomas (1907, 1923), and Pollak (1950) primarily focused on female offending and applied a biolog</w:t>
      </w:r>
      <w:r w:rsidR="003272BE">
        <w:rPr>
          <w:rFonts w:cstheme="minorHAnsi"/>
          <w:sz w:val="24"/>
          <w:szCs w:val="24"/>
        </w:rPr>
        <w:t>ical</w:t>
      </w:r>
      <w:r w:rsidRPr="0070600B">
        <w:rPr>
          <w:rFonts w:cstheme="minorHAnsi"/>
          <w:sz w:val="24"/>
          <w:szCs w:val="24"/>
        </w:rPr>
        <w:t xml:space="preserve"> and physiolog</w:t>
      </w:r>
      <w:r w:rsidR="003272BE">
        <w:rPr>
          <w:rFonts w:cstheme="minorHAnsi"/>
          <w:sz w:val="24"/>
          <w:szCs w:val="24"/>
        </w:rPr>
        <w:t xml:space="preserve">ical </w:t>
      </w:r>
      <w:r w:rsidRPr="0070600B">
        <w:rPr>
          <w:rFonts w:cstheme="minorHAnsi"/>
          <w:sz w:val="24"/>
          <w:szCs w:val="24"/>
        </w:rPr>
        <w:t xml:space="preserve">approach to explain deviant women. Lombroso's theory on female offending emphasised biological elements, having examined the bones, </w:t>
      </w:r>
      <w:r w:rsidR="003272BE" w:rsidRPr="0070600B">
        <w:rPr>
          <w:rFonts w:cstheme="minorHAnsi"/>
          <w:sz w:val="24"/>
          <w:szCs w:val="24"/>
        </w:rPr>
        <w:t>skulls,</w:t>
      </w:r>
      <w:r w:rsidRPr="0070600B">
        <w:rPr>
          <w:rFonts w:cstheme="minorHAnsi"/>
          <w:sz w:val="24"/>
          <w:szCs w:val="24"/>
        </w:rPr>
        <w:t xml:space="preserve"> and brains of female offenders. For instance, after studying prostitutes, </w:t>
      </w:r>
      <w:r w:rsidR="003272BE" w:rsidRPr="0070600B">
        <w:rPr>
          <w:rFonts w:cstheme="minorHAnsi"/>
          <w:sz w:val="24"/>
          <w:szCs w:val="24"/>
        </w:rPr>
        <w:t>Lombroso</w:t>
      </w:r>
      <w:r w:rsidRPr="0070600B">
        <w:rPr>
          <w:rFonts w:cstheme="minorHAnsi"/>
          <w:sz w:val="24"/>
          <w:szCs w:val="24"/>
        </w:rPr>
        <w:t xml:space="preserve"> (1895) discovered that "these women had more anomalies than female offenders or compared to normal men." The theorists claimed that women had a reduced likelihood of committing crimes as they were less evolved than men, and those who engaged in crime had excessive male features. Pollak (1950) argued </w:t>
      </w:r>
      <w:r w:rsidRPr="0070600B">
        <w:rPr>
          <w:rFonts w:cstheme="minorHAnsi"/>
          <w:sz w:val="24"/>
          <w:szCs w:val="24"/>
        </w:rPr>
        <w:lastRenderedPageBreak/>
        <w:t xml:space="preserve">that much female deviance tends to be unrecorded, despite women committing similar types of offences as men. According to Pollak (1950), women are treated differently in the criminal justice system because even though they deviate as much as males, they benefit from their abilities of concealment, </w:t>
      </w:r>
      <w:r w:rsidR="00C30866" w:rsidRPr="0070600B">
        <w:rPr>
          <w:rFonts w:cstheme="minorHAnsi"/>
          <w:sz w:val="24"/>
          <w:szCs w:val="24"/>
        </w:rPr>
        <w:t>that is often assisted by the domesticat</w:t>
      </w:r>
      <w:r w:rsidR="004F4CDE" w:rsidRPr="0070600B">
        <w:rPr>
          <w:rFonts w:cstheme="minorHAnsi"/>
          <w:sz w:val="24"/>
          <w:szCs w:val="24"/>
        </w:rPr>
        <w:t xml:space="preserve">ed role that women take on. Including their role and responsibility as a </w:t>
      </w:r>
      <w:r w:rsidR="000F1B2F" w:rsidRPr="0070600B">
        <w:rPr>
          <w:rFonts w:cstheme="minorHAnsi"/>
          <w:sz w:val="24"/>
          <w:szCs w:val="24"/>
        </w:rPr>
        <w:t>parent.</w:t>
      </w:r>
      <w:r w:rsidR="006069DE">
        <w:rPr>
          <w:rFonts w:cstheme="minorHAnsi"/>
          <w:sz w:val="24"/>
          <w:szCs w:val="24"/>
        </w:rPr>
        <w:t xml:space="preserve"> </w:t>
      </w:r>
      <w:r w:rsidR="00CA0326">
        <w:rPr>
          <w:rFonts w:cstheme="minorHAnsi"/>
          <w:sz w:val="24"/>
          <w:szCs w:val="24"/>
        </w:rPr>
        <w:t>Pollak’s</w:t>
      </w:r>
      <w:r w:rsidR="006069DE">
        <w:rPr>
          <w:rFonts w:cstheme="minorHAnsi"/>
          <w:sz w:val="24"/>
          <w:szCs w:val="24"/>
        </w:rPr>
        <w:t xml:space="preserve"> discoveries were based on the idea that women secured lenient treatment </w:t>
      </w:r>
      <w:r w:rsidR="00807113">
        <w:rPr>
          <w:rFonts w:cstheme="minorHAnsi"/>
          <w:sz w:val="24"/>
          <w:szCs w:val="24"/>
        </w:rPr>
        <w:t>by the criminal justice system.</w:t>
      </w:r>
      <w:r w:rsidR="000F1B2F" w:rsidRPr="0070600B">
        <w:rPr>
          <w:rFonts w:cstheme="minorHAnsi"/>
          <w:sz w:val="24"/>
          <w:szCs w:val="24"/>
        </w:rPr>
        <w:t xml:space="preserve"> On the contrary,</w:t>
      </w:r>
      <w:r w:rsidRPr="0070600B">
        <w:rPr>
          <w:rFonts w:cstheme="minorHAnsi"/>
          <w:sz w:val="24"/>
          <w:szCs w:val="24"/>
        </w:rPr>
        <w:t xml:space="preserve"> Heidensohn (2010) challenges this understanding, arguing that </w:t>
      </w:r>
      <w:r w:rsidR="00CA0326">
        <w:rPr>
          <w:rFonts w:cstheme="minorHAnsi"/>
          <w:sz w:val="24"/>
          <w:szCs w:val="24"/>
        </w:rPr>
        <w:t>Pollak’s</w:t>
      </w:r>
      <w:r w:rsidR="005F6E14">
        <w:rPr>
          <w:rFonts w:cstheme="minorHAnsi"/>
          <w:sz w:val="24"/>
          <w:szCs w:val="24"/>
        </w:rPr>
        <w:t xml:space="preserve"> theories are purely based on biology </w:t>
      </w:r>
      <w:r w:rsidR="00944AB7">
        <w:rPr>
          <w:rFonts w:cstheme="minorHAnsi"/>
          <w:sz w:val="24"/>
          <w:szCs w:val="24"/>
        </w:rPr>
        <w:t>and his</w:t>
      </w:r>
      <w:r w:rsidR="00F908BB">
        <w:rPr>
          <w:rFonts w:cstheme="minorHAnsi"/>
          <w:sz w:val="24"/>
          <w:szCs w:val="24"/>
        </w:rPr>
        <w:t xml:space="preserve"> chivalry </w:t>
      </w:r>
      <w:r w:rsidR="00944AB7">
        <w:rPr>
          <w:rFonts w:cstheme="minorHAnsi"/>
          <w:sz w:val="24"/>
          <w:szCs w:val="24"/>
        </w:rPr>
        <w:t xml:space="preserve">theory </w:t>
      </w:r>
      <w:r w:rsidR="00E6434F">
        <w:rPr>
          <w:rFonts w:cstheme="minorHAnsi"/>
          <w:sz w:val="24"/>
          <w:szCs w:val="24"/>
        </w:rPr>
        <w:t>dismisses sociological elements</w:t>
      </w:r>
      <w:r w:rsidR="00944AB7">
        <w:rPr>
          <w:rFonts w:cstheme="minorHAnsi"/>
          <w:sz w:val="24"/>
          <w:szCs w:val="24"/>
        </w:rPr>
        <w:t>. Heid</w:t>
      </w:r>
      <w:r w:rsidR="00CA0326">
        <w:rPr>
          <w:rFonts w:cstheme="minorHAnsi"/>
          <w:sz w:val="24"/>
          <w:szCs w:val="24"/>
        </w:rPr>
        <w:t>e</w:t>
      </w:r>
      <w:r w:rsidR="00944AB7">
        <w:rPr>
          <w:rFonts w:cstheme="minorHAnsi"/>
          <w:sz w:val="24"/>
          <w:szCs w:val="24"/>
        </w:rPr>
        <w:t>n</w:t>
      </w:r>
      <w:r w:rsidR="00CA0326">
        <w:rPr>
          <w:rFonts w:cstheme="minorHAnsi"/>
          <w:sz w:val="24"/>
          <w:szCs w:val="24"/>
        </w:rPr>
        <w:t>sohn</w:t>
      </w:r>
      <w:r w:rsidR="00944AB7">
        <w:rPr>
          <w:rFonts w:cstheme="minorHAnsi"/>
          <w:sz w:val="24"/>
          <w:szCs w:val="24"/>
        </w:rPr>
        <w:t xml:space="preserve"> (2010)</w:t>
      </w:r>
      <w:r w:rsidR="00771309">
        <w:rPr>
          <w:rFonts w:cstheme="minorHAnsi"/>
          <w:sz w:val="24"/>
          <w:szCs w:val="24"/>
        </w:rPr>
        <w:t xml:space="preserve"> </w:t>
      </w:r>
      <w:r w:rsidR="0074692D">
        <w:rPr>
          <w:rFonts w:cstheme="minorHAnsi"/>
          <w:sz w:val="24"/>
          <w:szCs w:val="24"/>
        </w:rPr>
        <w:t xml:space="preserve">also communicates that </w:t>
      </w:r>
      <w:r w:rsidRPr="0070600B">
        <w:rPr>
          <w:rFonts w:cstheme="minorHAnsi"/>
          <w:sz w:val="24"/>
          <w:szCs w:val="24"/>
        </w:rPr>
        <w:t>there is no adequate evidence th</w:t>
      </w:r>
      <w:r w:rsidR="00B712FB">
        <w:rPr>
          <w:rFonts w:cstheme="minorHAnsi"/>
          <w:sz w:val="24"/>
          <w:szCs w:val="24"/>
        </w:rPr>
        <w:t>at</w:t>
      </w:r>
      <w:r w:rsidRPr="0070600B">
        <w:rPr>
          <w:rFonts w:cstheme="minorHAnsi"/>
          <w:sz w:val="24"/>
          <w:szCs w:val="24"/>
        </w:rPr>
        <w:t xml:space="preserve"> crime</w:t>
      </w:r>
      <w:r w:rsidR="00B712FB">
        <w:rPr>
          <w:rFonts w:cstheme="minorHAnsi"/>
          <w:sz w:val="24"/>
          <w:szCs w:val="24"/>
        </w:rPr>
        <w:t xml:space="preserve"> committed by women</w:t>
      </w:r>
      <w:r w:rsidRPr="0070600B">
        <w:rPr>
          <w:rFonts w:cstheme="minorHAnsi"/>
          <w:sz w:val="24"/>
          <w:szCs w:val="24"/>
        </w:rPr>
        <w:t xml:space="preserve"> is greater in comparison to the hidden </w:t>
      </w:r>
      <w:r w:rsidR="007B26CD" w:rsidRPr="0070600B">
        <w:rPr>
          <w:rFonts w:cstheme="minorHAnsi"/>
          <w:sz w:val="24"/>
          <w:szCs w:val="24"/>
        </w:rPr>
        <w:t>offences’</w:t>
      </w:r>
      <w:r w:rsidRPr="0070600B">
        <w:rPr>
          <w:rFonts w:cstheme="minorHAnsi"/>
          <w:sz w:val="24"/>
          <w:szCs w:val="24"/>
        </w:rPr>
        <w:t xml:space="preserve"> men commit, i.e., white collar crime, </w:t>
      </w:r>
      <w:r w:rsidR="000F48E2" w:rsidRPr="0070600B">
        <w:rPr>
          <w:rFonts w:cstheme="minorHAnsi"/>
          <w:sz w:val="24"/>
          <w:szCs w:val="24"/>
        </w:rPr>
        <w:t>embezzlement,</w:t>
      </w:r>
      <w:r w:rsidRPr="0070600B">
        <w:rPr>
          <w:rFonts w:cstheme="minorHAnsi"/>
          <w:sz w:val="24"/>
          <w:szCs w:val="24"/>
        </w:rPr>
        <w:t xml:space="preserve"> and motoring offences</w:t>
      </w:r>
      <w:r w:rsidR="001A67D2">
        <w:rPr>
          <w:rFonts w:cstheme="minorHAnsi"/>
          <w:sz w:val="24"/>
          <w:szCs w:val="24"/>
        </w:rPr>
        <w:t xml:space="preserve"> and that women are subjected to harsher treatment </w:t>
      </w:r>
      <w:r w:rsidR="002026BF">
        <w:rPr>
          <w:rFonts w:cstheme="minorHAnsi"/>
          <w:sz w:val="24"/>
          <w:szCs w:val="24"/>
        </w:rPr>
        <w:t xml:space="preserve">concerning double jeopardy and sexual misbehaviour and therefore punished more harshly. </w:t>
      </w:r>
      <w:r w:rsidRPr="0070600B">
        <w:rPr>
          <w:rFonts w:cstheme="minorHAnsi"/>
          <w:sz w:val="24"/>
          <w:szCs w:val="24"/>
        </w:rPr>
        <w:t>Similarly, feminist criminologists have criti</w:t>
      </w:r>
      <w:r w:rsidR="00F716FD" w:rsidRPr="0070600B">
        <w:rPr>
          <w:rFonts w:cstheme="minorHAnsi"/>
          <w:sz w:val="24"/>
          <w:szCs w:val="24"/>
        </w:rPr>
        <w:t>cised</w:t>
      </w:r>
      <w:r w:rsidRPr="0070600B">
        <w:rPr>
          <w:rFonts w:cstheme="minorHAnsi"/>
          <w:sz w:val="24"/>
          <w:szCs w:val="24"/>
        </w:rPr>
        <w:t xml:space="preserve"> such theories, further exclaiming that previous explanations of female offending were </w:t>
      </w:r>
      <w:r w:rsidR="00F716FD" w:rsidRPr="0070600B">
        <w:rPr>
          <w:rFonts w:cstheme="minorHAnsi"/>
          <w:sz w:val="24"/>
          <w:szCs w:val="24"/>
        </w:rPr>
        <w:t xml:space="preserve">constructed </w:t>
      </w:r>
      <w:r w:rsidRPr="0070600B">
        <w:rPr>
          <w:rFonts w:cstheme="minorHAnsi"/>
          <w:sz w:val="24"/>
          <w:szCs w:val="24"/>
        </w:rPr>
        <w:t xml:space="preserve">by male assumptions, hence the need to use new approaches. </w:t>
      </w:r>
      <w:r w:rsidR="000B5425">
        <w:rPr>
          <w:rFonts w:cstheme="minorHAnsi"/>
          <w:sz w:val="24"/>
          <w:szCs w:val="24"/>
        </w:rPr>
        <w:t>An example of male perceptions of females is the idea that women are incapable of committing crimes</w:t>
      </w:r>
      <w:r w:rsidR="001A1F5E">
        <w:rPr>
          <w:rFonts w:cstheme="minorHAnsi"/>
          <w:sz w:val="24"/>
          <w:szCs w:val="24"/>
        </w:rPr>
        <w:t xml:space="preserve"> and are therefore dismissed. </w:t>
      </w:r>
      <w:r w:rsidR="000B5425">
        <w:rPr>
          <w:rFonts w:cstheme="minorHAnsi"/>
          <w:sz w:val="24"/>
          <w:szCs w:val="24"/>
        </w:rPr>
        <w:t>According to the Ministry of Justice (2022)</w:t>
      </w:r>
      <w:r w:rsidR="007B5DB6">
        <w:rPr>
          <w:rFonts w:cstheme="minorHAnsi"/>
          <w:sz w:val="24"/>
          <w:szCs w:val="24"/>
        </w:rPr>
        <w:t xml:space="preserve">, in 2019 </w:t>
      </w:r>
      <w:r w:rsidR="000B5425">
        <w:rPr>
          <w:rFonts w:cstheme="minorHAnsi"/>
          <w:sz w:val="24"/>
          <w:szCs w:val="24"/>
        </w:rPr>
        <w:t>women who were prosecuted by the criminal justice system committed lesser crimes compared to males.</w:t>
      </w:r>
    </w:p>
    <w:p w14:paraId="5712FA76" w14:textId="3FD06AFD" w:rsidR="00392B00" w:rsidRPr="00AE06DD" w:rsidRDefault="004B3EF3" w:rsidP="0070600B">
      <w:pPr>
        <w:spacing w:line="360" w:lineRule="auto"/>
        <w:rPr>
          <w:rFonts w:ascii="Arial" w:hAnsi="Arial" w:cs="Arial"/>
          <w:color w:val="0B0C0C"/>
          <w:sz w:val="29"/>
          <w:szCs w:val="29"/>
          <w:shd w:val="clear" w:color="auto" w:fill="FFFFFF"/>
        </w:rPr>
      </w:pPr>
      <w:r>
        <w:rPr>
          <w:rFonts w:cstheme="minorHAnsi"/>
          <w:sz w:val="24"/>
          <w:szCs w:val="24"/>
        </w:rPr>
        <w:t>Nonetheless statistics</w:t>
      </w:r>
      <w:r w:rsidR="00D8708D">
        <w:rPr>
          <w:rFonts w:cstheme="minorHAnsi"/>
          <w:sz w:val="24"/>
          <w:szCs w:val="24"/>
        </w:rPr>
        <w:t xml:space="preserve"> challenge the issues women face </w:t>
      </w:r>
      <w:r w:rsidR="009108F2">
        <w:rPr>
          <w:rFonts w:cstheme="minorHAnsi"/>
          <w:sz w:val="24"/>
          <w:szCs w:val="24"/>
        </w:rPr>
        <w:t xml:space="preserve">regarding double deviance and the criminal justice system as the Ministry of Justice </w:t>
      </w:r>
      <w:r w:rsidR="00B14EA7">
        <w:rPr>
          <w:rFonts w:cstheme="minorHAnsi"/>
          <w:sz w:val="24"/>
          <w:szCs w:val="24"/>
        </w:rPr>
        <w:t>(2022)</w:t>
      </w:r>
      <w:r>
        <w:rPr>
          <w:rFonts w:cstheme="minorHAnsi"/>
          <w:sz w:val="24"/>
          <w:szCs w:val="24"/>
        </w:rPr>
        <w:t xml:space="preserve"> state that the current population for female offender in prison over the last 5 years accounts for 4% of the prison population. Within the 4</w:t>
      </w:r>
      <w:r w:rsidR="007B5DB6">
        <w:rPr>
          <w:rFonts w:cstheme="minorHAnsi"/>
          <w:sz w:val="24"/>
          <w:szCs w:val="24"/>
        </w:rPr>
        <w:t>%,</w:t>
      </w:r>
      <w:r w:rsidR="00AE06DD">
        <w:rPr>
          <w:rFonts w:cstheme="minorHAnsi"/>
          <w:sz w:val="24"/>
          <w:szCs w:val="24"/>
        </w:rPr>
        <w:t xml:space="preserve"> </w:t>
      </w:r>
      <w:r w:rsidR="00F469AC">
        <w:rPr>
          <w:rFonts w:cstheme="minorHAnsi"/>
          <w:sz w:val="24"/>
          <w:szCs w:val="24"/>
        </w:rPr>
        <w:t>females on average received shorter community orders (12.6 months</w:t>
      </w:r>
      <w:r w:rsidR="004C1D22">
        <w:rPr>
          <w:rFonts w:cstheme="minorHAnsi"/>
          <w:sz w:val="24"/>
          <w:szCs w:val="24"/>
        </w:rPr>
        <w:t>) in comparison to men (18.4 months)</w:t>
      </w:r>
      <w:r w:rsidR="00B26557">
        <w:rPr>
          <w:rFonts w:cstheme="minorHAnsi"/>
          <w:sz w:val="24"/>
          <w:szCs w:val="24"/>
        </w:rPr>
        <w:t xml:space="preserve"> (Ministry of Justice, 2022).</w:t>
      </w:r>
      <w:r>
        <w:rPr>
          <w:rFonts w:cstheme="minorHAnsi"/>
          <w:sz w:val="24"/>
          <w:szCs w:val="24"/>
        </w:rPr>
        <w:t xml:space="preserve"> </w:t>
      </w:r>
      <w:r w:rsidR="00E3096C">
        <w:rPr>
          <w:rFonts w:cstheme="minorHAnsi"/>
          <w:sz w:val="24"/>
          <w:szCs w:val="24"/>
        </w:rPr>
        <w:t xml:space="preserve"> </w:t>
      </w:r>
    </w:p>
    <w:p w14:paraId="4CADA9CE" w14:textId="0631F24B" w:rsidR="00010D5A" w:rsidRPr="0070600B" w:rsidRDefault="00010D5A" w:rsidP="0070600B">
      <w:pPr>
        <w:spacing w:line="360" w:lineRule="auto"/>
        <w:rPr>
          <w:rFonts w:cstheme="minorHAnsi"/>
          <w:sz w:val="24"/>
          <w:szCs w:val="24"/>
        </w:rPr>
      </w:pPr>
      <w:r w:rsidRPr="0070600B">
        <w:rPr>
          <w:rFonts w:cstheme="minorHAnsi"/>
          <w:sz w:val="24"/>
          <w:szCs w:val="24"/>
        </w:rPr>
        <w:t>A</w:t>
      </w:r>
      <w:r w:rsidR="00581578">
        <w:rPr>
          <w:rFonts w:cstheme="minorHAnsi"/>
          <w:sz w:val="24"/>
          <w:szCs w:val="24"/>
        </w:rPr>
        <w:t>nother</w:t>
      </w:r>
      <w:r w:rsidRPr="0070600B">
        <w:rPr>
          <w:rFonts w:cstheme="minorHAnsi"/>
          <w:sz w:val="24"/>
          <w:szCs w:val="24"/>
        </w:rPr>
        <w:t xml:space="preserve"> key reason for </w:t>
      </w:r>
      <w:r w:rsidR="00F716FD" w:rsidRPr="0070600B">
        <w:rPr>
          <w:rFonts w:cstheme="minorHAnsi"/>
          <w:sz w:val="24"/>
          <w:szCs w:val="24"/>
        </w:rPr>
        <w:t xml:space="preserve">criticising </w:t>
      </w:r>
      <w:r w:rsidRPr="0070600B">
        <w:rPr>
          <w:rFonts w:cstheme="minorHAnsi"/>
          <w:sz w:val="24"/>
          <w:szCs w:val="24"/>
        </w:rPr>
        <w:t xml:space="preserve">the theories such as that by </w:t>
      </w:r>
      <w:r w:rsidR="00120DF5" w:rsidRPr="0070600B">
        <w:rPr>
          <w:rFonts w:cstheme="minorHAnsi"/>
          <w:sz w:val="24"/>
          <w:szCs w:val="24"/>
        </w:rPr>
        <w:t>Lombroso</w:t>
      </w:r>
      <w:r w:rsidRPr="0070600B">
        <w:rPr>
          <w:rFonts w:cstheme="minorHAnsi"/>
          <w:sz w:val="24"/>
          <w:szCs w:val="24"/>
        </w:rPr>
        <w:t xml:space="preserve"> (1895), was its central emphasis on gender norms. Women in Western nations, for example, were supposed to be mainly responsible for housing and family in the nineteenth century, with limited opportunity for engagement in the public realm (</w:t>
      </w:r>
      <w:proofErr w:type="spellStart"/>
      <w:r w:rsidRPr="0070600B">
        <w:rPr>
          <w:rFonts w:cstheme="minorHAnsi"/>
          <w:sz w:val="24"/>
          <w:szCs w:val="24"/>
        </w:rPr>
        <w:t>Cislaghi</w:t>
      </w:r>
      <w:proofErr w:type="spellEnd"/>
      <w:r w:rsidRPr="0070600B">
        <w:rPr>
          <w:rFonts w:cstheme="minorHAnsi"/>
          <w:sz w:val="24"/>
          <w:szCs w:val="24"/>
        </w:rPr>
        <w:t xml:space="preserve"> et al., 2022). Gender norms constrained women's involvement in the public realm and restricted them to household obligations. Deviating from these norms was often treated with societal ridicule (Stock, 2021</w:t>
      </w:r>
      <w:r w:rsidR="008F7352" w:rsidRPr="0070600B">
        <w:rPr>
          <w:rFonts w:cstheme="minorHAnsi"/>
          <w:sz w:val="24"/>
          <w:szCs w:val="24"/>
        </w:rPr>
        <w:t>). In</w:t>
      </w:r>
      <w:r w:rsidRPr="0070600B">
        <w:rPr>
          <w:rFonts w:cstheme="minorHAnsi"/>
          <w:sz w:val="24"/>
          <w:szCs w:val="24"/>
        </w:rPr>
        <w:t xml:space="preserve"> accordance, </w:t>
      </w:r>
      <w:proofErr w:type="spellStart"/>
      <w:r w:rsidRPr="0070600B">
        <w:rPr>
          <w:rFonts w:cstheme="minorHAnsi"/>
          <w:sz w:val="24"/>
          <w:szCs w:val="24"/>
        </w:rPr>
        <w:t>Cislaghi</w:t>
      </w:r>
      <w:proofErr w:type="spellEnd"/>
      <w:r w:rsidRPr="0070600B">
        <w:rPr>
          <w:rFonts w:cstheme="minorHAnsi"/>
          <w:sz w:val="24"/>
          <w:szCs w:val="24"/>
        </w:rPr>
        <w:t xml:space="preserve"> et al.</w:t>
      </w:r>
      <w:r w:rsidR="002D03FA" w:rsidRPr="0070600B">
        <w:rPr>
          <w:rFonts w:cstheme="minorHAnsi"/>
          <w:sz w:val="24"/>
          <w:szCs w:val="24"/>
        </w:rPr>
        <w:t>,</w:t>
      </w:r>
      <w:r w:rsidRPr="0070600B">
        <w:rPr>
          <w:rFonts w:cstheme="minorHAnsi"/>
          <w:sz w:val="24"/>
          <w:szCs w:val="24"/>
        </w:rPr>
        <w:t xml:space="preserve"> (2022) communicate that gender roles depict household responsibilities such as who takes care of the children, who the breadwinner is and where women and men should work. Historically, women have been entrusted with being caretakers, and hence have been obligated to care for children while men are primarily considered the breadwinners. According to Croft et al.</w:t>
      </w:r>
      <w:r w:rsidR="002D03FA" w:rsidRPr="0070600B">
        <w:rPr>
          <w:rFonts w:cstheme="minorHAnsi"/>
          <w:sz w:val="24"/>
          <w:szCs w:val="24"/>
        </w:rPr>
        <w:t>,</w:t>
      </w:r>
      <w:r w:rsidRPr="0070600B">
        <w:rPr>
          <w:rFonts w:cstheme="minorHAnsi"/>
          <w:sz w:val="24"/>
          <w:szCs w:val="24"/>
        </w:rPr>
        <w:t xml:space="preserve"> (2020), gender norms are often restricting, repressive, and disenfranchising. As a result, it was not unusual for oppressed people to break from cultural standards. </w:t>
      </w:r>
      <w:r w:rsidR="0019674B">
        <w:rPr>
          <w:rFonts w:cstheme="minorHAnsi"/>
          <w:sz w:val="24"/>
          <w:szCs w:val="24"/>
        </w:rPr>
        <w:t xml:space="preserve">Correspondingly </w:t>
      </w:r>
      <w:r w:rsidRPr="0070600B">
        <w:rPr>
          <w:rFonts w:cstheme="minorHAnsi"/>
          <w:sz w:val="24"/>
          <w:szCs w:val="24"/>
        </w:rPr>
        <w:t xml:space="preserve">Pollak (1950) communicates that women's role in the household allows for further deceit as the domesticated element gave women the chance to hide crimes more easily. These crimes included sexual abuse and poisoning of relatives. </w:t>
      </w:r>
      <w:r w:rsidR="00693402">
        <w:rPr>
          <w:rFonts w:cstheme="minorHAnsi"/>
          <w:sz w:val="24"/>
          <w:szCs w:val="24"/>
        </w:rPr>
        <w:t>Accordingly</w:t>
      </w:r>
      <w:r w:rsidRPr="0070600B">
        <w:rPr>
          <w:rFonts w:cstheme="minorHAnsi"/>
          <w:sz w:val="24"/>
          <w:szCs w:val="24"/>
        </w:rPr>
        <w:t xml:space="preserve">, Pollak presents another claim about female </w:t>
      </w:r>
      <w:proofErr w:type="gramStart"/>
      <w:r w:rsidRPr="0070600B">
        <w:rPr>
          <w:rFonts w:cstheme="minorHAnsi"/>
          <w:sz w:val="24"/>
          <w:szCs w:val="24"/>
        </w:rPr>
        <w:t xml:space="preserve">offending,  </w:t>
      </w:r>
      <w:r w:rsidR="00DC6CC5">
        <w:rPr>
          <w:rFonts w:cstheme="minorHAnsi"/>
          <w:sz w:val="24"/>
          <w:szCs w:val="24"/>
        </w:rPr>
        <w:t>w</w:t>
      </w:r>
      <w:r w:rsidRPr="0070600B">
        <w:rPr>
          <w:rFonts w:cstheme="minorHAnsi"/>
          <w:sz w:val="24"/>
          <w:szCs w:val="24"/>
        </w:rPr>
        <w:t>omen</w:t>
      </w:r>
      <w:proofErr w:type="gramEnd"/>
      <w:r w:rsidRPr="0070600B">
        <w:rPr>
          <w:rFonts w:cstheme="minorHAnsi"/>
          <w:sz w:val="24"/>
          <w:szCs w:val="24"/>
        </w:rPr>
        <w:t xml:space="preserve"> are treated less harshly compared to male offenders as women captivate males within the criminal justice system to secure </w:t>
      </w:r>
      <w:r w:rsidR="002C0210" w:rsidRPr="0070600B">
        <w:rPr>
          <w:rFonts w:cstheme="minorHAnsi"/>
          <w:sz w:val="24"/>
          <w:szCs w:val="24"/>
        </w:rPr>
        <w:t>leniency</w:t>
      </w:r>
      <w:r w:rsidR="002C0210">
        <w:rPr>
          <w:rFonts w:cstheme="minorHAnsi"/>
          <w:sz w:val="24"/>
          <w:szCs w:val="24"/>
        </w:rPr>
        <w:t xml:space="preserve"> (Pollak, 1950). </w:t>
      </w:r>
      <w:r w:rsidRPr="0070600B">
        <w:rPr>
          <w:rFonts w:cstheme="minorHAnsi"/>
          <w:sz w:val="24"/>
          <w:szCs w:val="24"/>
        </w:rPr>
        <w:t>However, this theory was challenged by feminist criminologist, Heidensohn (1985, 2010). The critique by Heidensohn reinforced the idea that women are punished for going against the cultural expectation of female behaviour and for breaking the law, i.e., double deviance. The role of sexism in sentencing and imprisonment for women is largely due to the stigma associated with gender norms and this is highlighted in cases. For example, a woman in the early 1900's</w:t>
      </w:r>
      <w:r w:rsidR="0056108E" w:rsidRPr="0070600B">
        <w:rPr>
          <w:rFonts w:cstheme="minorHAnsi"/>
          <w:sz w:val="24"/>
          <w:szCs w:val="24"/>
        </w:rPr>
        <w:t xml:space="preserve"> </w:t>
      </w:r>
      <w:r w:rsidRPr="0070600B">
        <w:rPr>
          <w:rFonts w:cstheme="minorHAnsi"/>
          <w:sz w:val="24"/>
          <w:szCs w:val="24"/>
        </w:rPr>
        <w:t>named Ivy</w:t>
      </w:r>
      <w:r w:rsidR="0056108E" w:rsidRPr="0070600B">
        <w:rPr>
          <w:rFonts w:cstheme="minorHAnsi"/>
          <w:sz w:val="24"/>
          <w:szCs w:val="24"/>
        </w:rPr>
        <w:t xml:space="preserve">, </w:t>
      </w:r>
      <w:r w:rsidRPr="0070600B">
        <w:rPr>
          <w:rFonts w:cstheme="minorHAnsi"/>
          <w:sz w:val="24"/>
          <w:szCs w:val="24"/>
        </w:rPr>
        <w:t xml:space="preserve">had stolen a coffee </w:t>
      </w:r>
      <w:r w:rsidR="008E5DA9" w:rsidRPr="0070600B">
        <w:rPr>
          <w:rFonts w:cstheme="minorHAnsi"/>
          <w:sz w:val="24"/>
          <w:szCs w:val="24"/>
        </w:rPr>
        <w:t>jar,</w:t>
      </w:r>
      <w:r w:rsidRPr="0070600B">
        <w:rPr>
          <w:rFonts w:cstheme="minorHAnsi"/>
          <w:sz w:val="24"/>
          <w:szCs w:val="24"/>
        </w:rPr>
        <w:t xml:space="preserve"> and was sentenced to three years' probation on the basis that she had out-patient treatment. The punishment largely outweighs the lesser crime. Ivy had an affair before separating from her husband and was deemed undesirable as a woman, again reflecting the </w:t>
      </w:r>
      <w:r w:rsidR="008E5DA9" w:rsidRPr="0070600B">
        <w:rPr>
          <w:rFonts w:cstheme="minorHAnsi"/>
          <w:sz w:val="24"/>
          <w:szCs w:val="24"/>
        </w:rPr>
        <w:t>issues women</w:t>
      </w:r>
      <w:r w:rsidR="0056108E" w:rsidRPr="0070600B">
        <w:rPr>
          <w:rFonts w:cstheme="minorHAnsi"/>
          <w:sz w:val="24"/>
          <w:szCs w:val="24"/>
        </w:rPr>
        <w:t xml:space="preserve"> face </w:t>
      </w:r>
      <w:r w:rsidRPr="0070600B">
        <w:rPr>
          <w:rFonts w:cstheme="minorHAnsi"/>
          <w:sz w:val="24"/>
          <w:szCs w:val="24"/>
        </w:rPr>
        <w:t xml:space="preserve">regarding </w:t>
      </w:r>
      <w:r w:rsidR="008E5DA9">
        <w:rPr>
          <w:rFonts w:cstheme="minorHAnsi"/>
          <w:sz w:val="24"/>
          <w:szCs w:val="24"/>
        </w:rPr>
        <w:t>‘</w:t>
      </w:r>
      <w:r w:rsidRPr="0070600B">
        <w:rPr>
          <w:rFonts w:cstheme="minorHAnsi"/>
          <w:sz w:val="24"/>
          <w:szCs w:val="24"/>
        </w:rPr>
        <w:t>double deviance</w:t>
      </w:r>
      <w:r w:rsidR="008E5DA9">
        <w:rPr>
          <w:rFonts w:cstheme="minorHAnsi"/>
          <w:sz w:val="24"/>
          <w:szCs w:val="24"/>
        </w:rPr>
        <w:t>’</w:t>
      </w:r>
      <w:r w:rsidRPr="0070600B">
        <w:rPr>
          <w:rFonts w:cstheme="minorHAnsi"/>
          <w:sz w:val="24"/>
          <w:szCs w:val="24"/>
        </w:rPr>
        <w:t xml:space="preserve">. Ivy also had a history of psychiatric treatment, and this was dismissed by the courts (Heidensohn, 2010). </w:t>
      </w:r>
    </w:p>
    <w:p w14:paraId="3D582458" w14:textId="77777777" w:rsidR="00010D5A" w:rsidRPr="0070600B" w:rsidRDefault="00010D5A" w:rsidP="0070600B">
      <w:pPr>
        <w:spacing w:line="360" w:lineRule="auto"/>
        <w:rPr>
          <w:rFonts w:cstheme="minorHAnsi"/>
          <w:sz w:val="24"/>
          <w:szCs w:val="24"/>
        </w:rPr>
      </w:pPr>
    </w:p>
    <w:p w14:paraId="79771C02" w14:textId="52ABB455" w:rsidR="00010D5A" w:rsidRPr="0070600B" w:rsidRDefault="00010D5A" w:rsidP="0070600B">
      <w:pPr>
        <w:spacing w:line="360" w:lineRule="auto"/>
        <w:rPr>
          <w:rFonts w:cstheme="minorHAnsi"/>
          <w:sz w:val="24"/>
          <w:szCs w:val="24"/>
        </w:rPr>
      </w:pPr>
      <w:r w:rsidRPr="0070600B">
        <w:rPr>
          <w:rFonts w:cstheme="minorHAnsi"/>
          <w:sz w:val="24"/>
          <w:szCs w:val="24"/>
        </w:rPr>
        <w:t>In historical context, the case provides perspective for comprehending 'double deviance'</w:t>
      </w:r>
      <w:r w:rsidR="00A15656" w:rsidRPr="0070600B">
        <w:rPr>
          <w:rFonts w:cstheme="minorHAnsi"/>
          <w:sz w:val="24"/>
          <w:szCs w:val="24"/>
        </w:rPr>
        <w:t>, the criminal justice system</w:t>
      </w:r>
      <w:r w:rsidRPr="0070600B">
        <w:rPr>
          <w:rFonts w:cstheme="minorHAnsi"/>
          <w:sz w:val="24"/>
          <w:szCs w:val="24"/>
        </w:rPr>
        <w:t xml:space="preserve"> and how it applies to women. Women who were oppressed and constrained were compelled to "deviate" from the norm to free themselves from society's harsh hold. Women who wanted to defy established gender norms by engaging in activities outside the home or pursuing employment sometimes experienced societal reactions (Croft et al., 2020). The first concept of deviance resulted from this first divergence from gender norms. Women who sought vocations in the late nineteenth and early twentieth century, for example, were often mocked and labelled as 'deviant' and lacking pertinent feminine characteristics. Gender norm theories, which are thought to be the root of women's deviance, best characterise such deviation from the expected behaviour. According to theories such as Gender Schema Theory and Gender Norm Theory, conforming to gender norms, for example, is accountable for the long-standing reinforcement of gender inequality, and subsequent efforts to deviate from the norms (</w:t>
      </w:r>
      <w:proofErr w:type="spellStart"/>
      <w:r w:rsidRPr="0070600B">
        <w:rPr>
          <w:rFonts w:cstheme="minorHAnsi"/>
          <w:sz w:val="24"/>
          <w:szCs w:val="24"/>
        </w:rPr>
        <w:t>Cislaghi</w:t>
      </w:r>
      <w:proofErr w:type="spellEnd"/>
      <w:r w:rsidRPr="0070600B">
        <w:rPr>
          <w:rFonts w:cstheme="minorHAnsi"/>
          <w:sz w:val="24"/>
          <w:szCs w:val="24"/>
        </w:rPr>
        <w:t xml:space="preserve"> and Heise, 2020). This may be seen in texts of suffragettes and early feminists who battled for women's rights during the nineteenth and twentieth centuries, fighting strongly rooted gender conventions.</w:t>
      </w:r>
    </w:p>
    <w:p w14:paraId="697A62F9" w14:textId="77777777" w:rsidR="00010D5A" w:rsidRPr="0070600B" w:rsidRDefault="00010D5A" w:rsidP="0070600B">
      <w:pPr>
        <w:spacing w:line="360" w:lineRule="auto"/>
        <w:rPr>
          <w:rFonts w:cstheme="minorHAnsi"/>
          <w:sz w:val="24"/>
          <w:szCs w:val="24"/>
        </w:rPr>
      </w:pPr>
    </w:p>
    <w:p w14:paraId="1733DA2E" w14:textId="7447E0B7" w:rsidR="00010D5A" w:rsidRPr="0070600B" w:rsidRDefault="00010D5A" w:rsidP="0070600B">
      <w:pPr>
        <w:spacing w:line="360" w:lineRule="auto"/>
        <w:rPr>
          <w:rFonts w:cstheme="minorHAnsi"/>
          <w:sz w:val="24"/>
          <w:szCs w:val="24"/>
        </w:rPr>
      </w:pPr>
      <w:r w:rsidRPr="0070600B">
        <w:rPr>
          <w:rFonts w:cstheme="minorHAnsi"/>
          <w:sz w:val="24"/>
          <w:szCs w:val="24"/>
        </w:rPr>
        <w:t>In terms of social expectations, women are expected to complete a variety of tasks, including carers, housewives, and retaining conventional femininity. As previously stated, the long history of women being marginalised and required to conform to predefined gender roles has remained a contemporary issue, impacting societal behaviours and attitudes (</w:t>
      </w:r>
      <w:proofErr w:type="spellStart"/>
      <w:r w:rsidRPr="0070600B">
        <w:rPr>
          <w:rFonts w:cstheme="minorHAnsi"/>
          <w:sz w:val="24"/>
          <w:szCs w:val="24"/>
        </w:rPr>
        <w:t>Cislaghi</w:t>
      </w:r>
      <w:proofErr w:type="spellEnd"/>
      <w:r w:rsidRPr="0070600B">
        <w:rPr>
          <w:rFonts w:cstheme="minorHAnsi"/>
          <w:sz w:val="24"/>
          <w:szCs w:val="24"/>
        </w:rPr>
        <w:t xml:space="preserve"> and Heise, 2020). Academics Estrada, Nilsson, and Pettersson (2019) reinforce these observations, stating that controlling women and girls who participate in behaviours that violate laws and norms </w:t>
      </w:r>
      <w:r w:rsidR="008F2D34" w:rsidRPr="0070600B">
        <w:rPr>
          <w:rFonts w:cstheme="minorHAnsi"/>
          <w:sz w:val="24"/>
          <w:szCs w:val="24"/>
        </w:rPr>
        <w:t xml:space="preserve">that </w:t>
      </w:r>
      <w:r w:rsidRPr="0070600B">
        <w:rPr>
          <w:rFonts w:cstheme="minorHAnsi"/>
          <w:sz w:val="24"/>
          <w:szCs w:val="24"/>
        </w:rPr>
        <w:t>ha</w:t>
      </w:r>
      <w:r w:rsidR="001B7AB5" w:rsidRPr="0070600B">
        <w:rPr>
          <w:rFonts w:cstheme="minorHAnsi"/>
          <w:sz w:val="24"/>
          <w:szCs w:val="24"/>
        </w:rPr>
        <w:t>ve</w:t>
      </w:r>
      <w:r w:rsidRPr="0070600B">
        <w:rPr>
          <w:rFonts w:cstheme="minorHAnsi"/>
          <w:sz w:val="24"/>
          <w:szCs w:val="24"/>
        </w:rPr>
        <w:t xml:space="preserve"> </w:t>
      </w:r>
      <w:r w:rsidR="00D37EA6" w:rsidRPr="0070600B">
        <w:rPr>
          <w:rFonts w:cstheme="minorHAnsi"/>
          <w:sz w:val="24"/>
          <w:szCs w:val="24"/>
        </w:rPr>
        <w:t xml:space="preserve">conventionally been guided by </w:t>
      </w:r>
      <w:r w:rsidR="00CD50C2" w:rsidRPr="0070600B">
        <w:rPr>
          <w:rFonts w:cstheme="minorHAnsi"/>
          <w:sz w:val="24"/>
          <w:szCs w:val="24"/>
        </w:rPr>
        <w:t>male perceptions of women’s stereotypical behaviour</w:t>
      </w:r>
      <w:r w:rsidRPr="0070600B">
        <w:rPr>
          <w:rFonts w:cstheme="minorHAnsi"/>
          <w:sz w:val="24"/>
          <w:szCs w:val="24"/>
        </w:rPr>
        <w:t xml:space="preserve">. There has also been a distinct emphasis on women's sexual conduct in this respect. Estrada, Nilsson, and Pettersson (2019) present the central argument that </w:t>
      </w:r>
      <w:r w:rsidR="00472A2E" w:rsidRPr="0070600B">
        <w:rPr>
          <w:rFonts w:cstheme="minorHAnsi"/>
          <w:sz w:val="24"/>
          <w:szCs w:val="24"/>
        </w:rPr>
        <w:t xml:space="preserve">women </w:t>
      </w:r>
      <w:r w:rsidR="00EB6BB2" w:rsidRPr="0070600B">
        <w:rPr>
          <w:rFonts w:cstheme="minorHAnsi"/>
          <w:sz w:val="24"/>
          <w:szCs w:val="24"/>
        </w:rPr>
        <w:t xml:space="preserve">should be </w:t>
      </w:r>
      <w:r w:rsidR="00757B4D" w:rsidRPr="0070600B">
        <w:rPr>
          <w:rFonts w:cstheme="minorHAnsi"/>
          <w:sz w:val="24"/>
          <w:szCs w:val="24"/>
        </w:rPr>
        <w:t>discouraged from</w:t>
      </w:r>
      <w:r w:rsidRPr="0070600B">
        <w:rPr>
          <w:rFonts w:cstheme="minorHAnsi"/>
          <w:sz w:val="24"/>
          <w:szCs w:val="24"/>
        </w:rPr>
        <w:t xml:space="preserve"> </w:t>
      </w:r>
      <w:r w:rsidR="00757B4D" w:rsidRPr="0070600B">
        <w:rPr>
          <w:rFonts w:cstheme="minorHAnsi"/>
          <w:sz w:val="24"/>
          <w:szCs w:val="24"/>
        </w:rPr>
        <w:t xml:space="preserve">conveying </w:t>
      </w:r>
      <w:r w:rsidRPr="0070600B">
        <w:rPr>
          <w:rFonts w:cstheme="minorHAnsi"/>
          <w:sz w:val="24"/>
          <w:szCs w:val="24"/>
        </w:rPr>
        <w:t>their sexuality</w:t>
      </w:r>
      <w:r w:rsidR="00576688" w:rsidRPr="0070600B">
        <w:rPr>
          <w:rFonts w:cstheme="minorHAnsi"/>
          <w:sz w:val="24"/>
          <w:szCs w:val="24"/>
        </w:rPr>
        <w:t xml:space="preserve">, to </w:t>
      </w:r>
      <w:r w:rsidR="002619D3" w:rsidRPr="0070600B">
        <w:rPr>
          <w:rFonts w:cstheme="minorHAnsi"/>
          <w:sz w:val="24"/>
          <w:szCs w:val="24"/>
        </w:rPr>
        <w:t xml:space="preserve">help overcome struggles with </w:t>
      </w:r>
      <w:r w:rsidR="009B6CD0" w:rsidRPr="0070600B">
        <w:rPr>
          <w:rFonts w:cstheme="minorHAnsi"/>
          <w:sz w:val="24"/>
          <w:szCs w:val="24"/>
        </w:rPr>
        <w:t>their physical</w:t>
      </w:r>
      <w:r w:rsidRPr="0070600B">
        <w:rPr>
          <w:rFonts w:cstheme="minorHAnsi"/>
          <w:sz w:val="24"/>
          <w:szCs w:val="24"/>
        </w:rPr>
        <w:t xml:space="preserve"> and </w:t>
      </w:r>
      <w:r w:rsidR="00757B4D" w:rsidRPr="0070600B">
        <w:rPr>
          <w:rFonts w:cstheme="minorHAnsi"/>
          <w:sz w:val="24"/>
          <w:szCs w:val="24"/>
        </w:rPr>
        <w:t xml:space="preserve">mental </w:t>
      </w:r>
      <w:r w:rsidRPr="0070600B">
        <w:rPr>
          <w:rFonts w:cstheme="minorHAnsi"/>
          <w:sz w:val="24"/>
          <w:szCs w:val="24"/>
        </w:rPr>
        <w:t xml:space="preserve">health but also because of the temptations this type of behaviour creates for men. Women who defy these expectations by pursuing jobs, declining to have children, or expressing non-conforming gender identities are often stigmatised and labelled as </w:t>
      </w:r>
      <w:r w:rsidR="00D71D46" w:rsidRPr="0070600B">
        <w:rPr>
          <w:rFonts w:cstheme="minorHAnsi"/>
          <w:sz w:val="24"/>
          <w:szCs w:val="24"/>
        </w:rPr>
        <w:t>‘</w:t>
      </w:r>
      <w:r w:rsidRPr="0070600B">
        <w:rPr>
          <w:rFonts w:cstheme="minorHAnsi"/>
          <w:sz w:val="24"/>
          <w:szCs w:val="24"/>
        </w:rPr>
        <w:t>deviant</w:t>
      </w:r>
      <w:r w:rsidR="00D71D46" w:rsidRPr="0070600B">
        <w:rPr>
          <w:rFonts w:cstheme="minorHAnsi"/>
          <w:sz w:val="24"/>
          <w:szCs w:val="24"/>
        </w:rPr>
        <w:t>’</w:t>
      </w:r>
      <w:r w:rsidRPr="0070600B">
        <w:rPr>
          <w:rFonts w:cstheme="minorHAnsi"/>
          <w:sz w:val="24"/>
          <w:szCs w:val="24"/>
        </w:rPr>
        <w:t>.</w:t>
      </w:r>
    </w:p>
    <w:p w14:paraId="3B45C385" w14:textId="77777777" w:rsidR="00010D5A" w:rsidRPr="0070600B" w:rsidRDefault="00010D5A" w:rsidP="0070600B">
      <w:pPr>
        <w:spacing w:line="360" w:lineRule="auto"/>
        <w:rPr>
          <w:rFonts w:cstheme="minorHAnsi"/>
          <w:sz w:val="24"/>
          <w:szCs w:val="24"/>
        </w:rPr>
      </w:pPr>
    </w:p>
    <w:p w14:paraId="34AC18EB" w14:textId="77777777" w:rsidR="00682BC3" w:rsidRDefault="00010D5A" w:rsidP="0070600B">
      <w:pPr>
        <w:spacing w:line="360" w:lineRule="auto"/>
        <w:rPr>
          <w:rFonts w:cstheme="minorHAnsi"/>
          <w:sz w:val="24"/>
          <w:szCs w:val="24"/>
        </w:rPr>
      </w:pPr>
      <w:r w:rsidRPr="0070600B">
        <w:rPr>
          <w:rFonts w:cstheme="minorHAnsi"/>
          <w:sz w:val="24"/>
          <w:szCs w:val="24"/>
        </w:rPr>
        <w:t xml:space="preserve">Nonetheless, there is a need to clarify that with a better understanding of theories of 'ideal victim', for instance, critical race theory and intersectional theory, there have been improvements in knowledge on </w:t>
      </w:r>
      <w:r w:rsidR="00747DDF" w:rsidRPr="0070600B">
        <w:rPr>
          <w:rFonts w:cstheme="minorHAnsi"/>
          <w:sz w:val="24"/>
          <w:szCs w:val="24"/>
        </w:rPr>
        <w:t>‘</w:t>
      </w:r>
      <w:r w:rsidRPr="0070600B">
        <w:rPr>
          <w:rFonts w:cstheme="minorHAnsi"/>
          <w:sz w:val="24"/>
          <w:szCs w:val="24"/>
        </w:rPr>
        <w:t>double deviance</w:t>
      </w:r>
      <w:r w:rsidR="00747DDF" w:rsidRPr="0070600B">
        <w:rPr>
          <w:rFonts w:cstheme="minorHAnsi"/>
          <w:sz w:val="24"/>
          <w:szCs w:val="24"/>
        </w:rPr>
        <w:t>’</w:t>
      </w:r>
      <w:r w:rsidRPr="0070600B">
        <w:rPr>
          <w:rFonts w:cstheme="minorHAnsi"/>
          <w:sz w:val="24"/>
          <w:szCs w:val="24"/>
        </w:rPr>
        <w:t>. Christie (1986, p.18) defines the ideal victim as an individual or group, who, after experiencing crime, is readily granted the "complete and legitimate status of being a victim." Scholars such as Long (2021</w:t>
      </w:r>
      <w:r w:rsidR="008E5DA9" w:rsidRPr="0070600B">
        <w:rPr>
          <w:rFonts w:cstheme="minorHAnsi"/>
          <w:sz w:val="24"/>
          <w:szCs w:val="24"/>
        </w:rPr>
        <w:t>) and</w:t>
      </w:r>
      <w:r w:rsidRPr="0070600B">
        <w:rPr>
          <w:rFonts w:cstheme="minorHAnsi"/>
          <w:sz w:val="24"/>
          <w:szCs w:val="24"/>
        </w:rPr>
        <w:t xml:space="preserve"> Salisbury (2019) give the example of black women as ideal victims, and differentiate them from black and black mixed-race men, as the latter are deemed the 'ideal offenders' as opposed to ideal victims. However, the difference in experiences regarding the victimisation and punishment of women considered ideal victims is vastly different from men deemed ideal offenders, and this strengthens the idea of 'chivalry' or lenient treatment (</w:t>
      </w:r>
      <w:proofErr w:type="spellStart"/>
      <w:r w:rsidRPr="0070600B">
        <w:rPr>
          <w:rFonts w:cstheme="minorHAnsi"/>
          <w:sz w:val="24"/>
          <w:szCs w:val="24"/>
        </w:rPr>
        <w:t>Lightowlers</w:t>
      </w:r>
      <w:proofErr w:type="spellEnd"/>
      <w:r w:rsidRPr="0070600B">
        <w:rPr>
          <w:rFonts w:cstheme="minorHAnsi"/>
          <w:sz w:val="24"/>
          <w:szCs w:val="24"/>
        </w:rPr>
        <w:t xml:space="preserve">, 2018). The idea of </w:t>
      </w:r>
      <w:r w:rsidR="001E5DD2" w:rsidRPr="0070600B">
        <w:rPr>
          <w:rFonts w:cstheme="minorHAnsi"/>
          <w:sz w:val="24"/>
          <w:szCs w:val="24"/>
        </w:rPr>
        <w:t>‘</w:t>
      </w:r>
      <w:r w:rsidRPr="0070600B">
        <w:rPr>
          <w:rFonts w:cstheme="minorHAnsi"/>
          <w:sz w:val="24"/>
          <w:szCs w:val="24"/>
        </w:rPr>
        <w:t>double deviance</w:t>
      </w:r>
      <w:r w:rsidR="001E5DD2" w:rsidRPr="0070600B">
        <w:rPr>
          <w:rFonts w:cstheme="minorHAnsi"/>
          <w:sz w:val="24"/>
          <w:szCs w:val="24"/>
        </w:rPr>
        <w:t>’</w:t>
      </w:r>
      <w:r w:rsidRPr="0070600B">
        <w:rPr>
          <w:rFonts w:cstheme="minorHAnsi"/>
          <w:sz w:val="24"/>
          <w:szCs w:val="24"/>
        </w:rPr>
        <w:t xml:space="preserve"> is particularly evident for women in marginalized groups, and this includes girls and women with disabilities, those of colour, and LGBTQ+ women. Several scholars, including </w:t>
      </w:r>
      <w:proofErr w:type="spellStart"/>
      <w:r w:rsidRPr="0070600B">
        <w:rPr>
          <w:rFonts w:cstheme="minorHAnsi"/>
          <w:sz w:val="24"/>
          <w:szCs w:val="24"/>
        </w:rPr>
        <w:t>Zempi</w:t>
      </w:r>
      <w:proofErr w:type="spellEnd"/>
      <w:r w:rsidRPr="0070600B">
        <w:rPr>
          <w:rFonts w:cstheme="minorHAnsi"/>
          <w:sz w:val="24"/>
          <w:szCs w:val="24"/>
        </w:rPr>
        <w:t xml:space="preserve"> (2018), Chakraborti (2018) and Long (2021), argue that such women not only face gender-based deviance but also deviance related to sexual orientation, </w:t>
      </w:r>
      <w:r w:rsidR="008E5DA9" w:rsidRPr="0070600B">
        <w:rPr>
          <w:rFonts w:cstheme="minorHAnsi"/>
          <w:sz w:val="24"/>
          <w:szCs w:val="24"/>
        </w:rPr>
        <w:t>race,</w:t>
      </w:r>
      <w:r w:rsidRPr="0070600B">
        <w:rPr>
          <w:rFonts w:cstheme="minorHAnsi"/>
          <w:sz w:val="24"/>
          <w:szCs w:val="24"/>
        </w:rPr>
        <w:t xml:space="preserve"> and disability. Similarly, Seal (2022) contends that intersectionality reveals the cumulative consequences of </w:t>
      </w:r>
      <w:r w:rsidR="007E0A1C">
        <w:rPr>
          <w:rFonts w:cstheme="minorHAnsi"/>
          <w:sz w:val="24"/>
          <w:szCs w:val="24"/>
        </w:rPr>
        <w:t>‘</w:t>
      </w:r>
      <w:r w:rsidRPr="0070600B">
        <w:rPr>
          <w:rFonts w:cstheme="minorHAnsi"/>
          <w:sz w:val="24"/>
          <w:szCs w:val="24"/>
        </w:rPr>
        <w:t>double deviance</w:t>
      </w:r>
      <w:r w:rsidR="007E0A1C">
        <w:rPr>
          <w:rFonts w:cstheme="minorHAnsi"/>
          <w:sz w:val="24"/>
          <w:szCs w:val="24"/>
        </w:rPr>
        <w:t>’</w:t>
      </w:r>
      <w:r w:rsidRPr="0070600B">
        <w:rPr>
          <w:rFonts w:cstheme="minorHAnsi"/>
          <w:sz w:val="24"/>
          <w:szCs w:val="24"/>
        </w:rPr>
        <w:t xml:space="preserve"> for women who belong to several </w:t>
      </w:r>
      <w:r w:rsidR="0087421E" w:rsidRPr="0070600B">
        <w:rPr>
          <w:rFonts w:cstheme="minorHAnsi"/>
          <w:sz w:val="24"/>
          <w:szCs w:val="24"/>
        </w:rPr>
        <w:t>under</w:t>
      </w:r>
      <w:r w:rsidR="000A20A5" w:rsidRPr="0070600B">
        <w:rPr>
          <w:rFonts w:cstheme="minorHAnsi"/>
          <w:sz w:val="24"/>
          <w:szCs w:val="24"/>
        </w:rPr>
        <w:t>represented groups</w:t>
      </w:r>
      <w:r w:rsidRPr="0070600B">
        <w:rPr>
          <w:rFonts w:cstheme="minorHAnsi"/>
          <w:sz w:val="24"/>
          <w:szCs w:val="24"/>
        </w:rPr>
        <w:t xml:space="preserve">, such as BAME and LGBTQ+ women. These women experience discrimination and prejudice </w:t>
      </w:r>
      <w:r w:rsidR="007E0A1C" w:rsidRPr="0070600B">
        <w:rPr>
          <w:rFonts w:cstheme="minorHAnsi"/>
          <w:sz w:val="24"/>
          <w:szCs w:val="24"/>
        </w:rPr>
        <w:t>because of</w:t>
      </w:r>
      <w:r w:rsidRPr="0070600B">
        <w:rPr>
          <w:rFonts w:cstheme="minorHAnsi"/>
          <w:sz w:val="24"/>
          <w:szCs w:val="24"/>
        </w:rPr>
        <w:t xml:space="preserve"> </w:t>
      </w:r>
      <w:r w:rsidR="00D648D5">
        <w:rPr>
          <w:rFonts w:cstheme="minorHAnsi"/>
          <w:sz w:val="24"/>
          <w:szCs w:val="24"/>
        </w:rPr>
        <w:t xml:space="preserve">the stigma associated with their </w:t>
      </w:r>
      <w:r w:rsidR="007E0A1C">
        <w:rPr>
          <w:rFonts w:cstheme="minorHAnsi"/>
          <w:sz w:val="24"/>
          <w:szCs w:val="24"/>
        </w:rPr>
        <w:t xml:space="preserve">gender roles </w:t>
      </w:r>
      <w:r w:rsidR="00C93910">
        <w:rPr>
          <w:rFonts w:cstheme="minorHAnsi"/>
          <w:sz w:val="24"/>
          <w:szCs w:val="24"/>
        </w:rPr>
        <w:t xml:space="preserve">and </w:t>
      </w:r>
      <w:r w:rsidR="00123ED3">
        <w:rPr>
          <w:rFonts w:cstheme="minorHAnsi"/>
          <w:sz w:val="24"/>
          <w:szCs w:val="24"/>
        </w:rPr>
        <w:t xml:space="preserve">issues relevant to </w:t>
      </w:r>
      <w:r w:rsidRPr="0070600B">
        <w:rPr>
          <w:rFonts w:cstheme="minorHAnsi"/>
          <w:sz w:val="24"/>
          <w:szCs w:val="24"/>
        </w:rPr>
        <w:t xml:space="preserve">their identities. </w:t>
      </w:r>
    </w:p>
    <w:p w14:paraId="593AEC4B" w14:textId="3631F4DA" w:rsidR="00010D5A" w:rsidRPr="0070600B" w:rsidRDefault="00010D5A" w:rsidP="0070600B">
      <w:pPr>
        <w:spacing w:line="360" w:lineRule="auto"/>
        <w:rPr>
          <w:rFonts w:cstheme="minorHAnsi"/>
          <w:sz w:val="24"/>
          <w:szCs w:val="24"/>
        </w:rPr>
      </w:pPr>
      <w:r w:rsidRPr="0070600B">
        <w:rPr>
          <w:rFonts w:cstheme="minorHAnsi"/>
          <w:sz w:val="24"/>
          <w:szCs w:val="24"/>
        </w:rPr>
        <w:t xml:space="preserve">Body image and looks are another important part of double deviance and social standards. Without a doubt, women are expected to match cultural standards concerning their looks or appearance. According to Sandman (2021), women's deviance is perceived as 'otherness', which means that society does not anticipate women to break from defined norms and practises. As a result, in the context of body image as well as appearances, women who do not adhere to the predetermined standards of beauty, such as thin bodies, or who want to express themselves </w:t>
      </w:r>
      <w:r w:rsidR="008E0DFC" w:rsidRPr="0070600B">
        <w:rPr>
          <w:rFonts w:cstheme="minorHAnsi"/>
          <w:sz w:val="24"/>
          <w:szCs w:val="24"/>
        </w:rPr>
        <w:t>through</w:t>
      </w:r>
      <w:r w:rsidRPr="0070600B">
        <w:rPr>
          <w:rFonts w:cstheme="minorHAnsi"/>
          <w:sz w:val="24"/>
          <w:szCs w:val="24"/>
        </w:rPr>
        <w:t xml:space="preserve"> unique styles are subjected to criticism not just for how they look but also because they violate gender norms. Women, according to gender norms, must be feminine, modest, and appealing, i.e., have an attractive slim figure. </w:t>
      </w:r>
      <w:r w:rsidR="00951D03">
        <w:rPr>
          <w:rFonts w:cstheme="minorHAnsi"/>
          <w:sz w:val="24"/>
          <w:szCs w:val="24"/>
        </w:rPr>
        <w:t>Academics</w:t>
      </w:r>
      <w:r w:rsidRPr="0070600B">
        <w:rPr>
          <w:rFonts w:cstheme="minorHAnsi"/>
          <w:sz w:val="24"/>
          <w:szCs w:val="24"/>
        </w:rPr>
        <w:t xml:space="preserve">, notably </w:t>
      </w:r>
      <w:r w:rsidR="00125C39" w:rsidRPr="0070600B">
        <w:rPr>
          <w:rFonts w:cstheme="minorHAnsi"/>
          <w:color w:val="3A3A3A"/>
          <w:sz w:val="24"/>
          <w:szCs w:val="24"/>
          <w:shd w:val="clear" w:color="auto" w:fill="FFFFFF"/>
        </w:rPr>
        <w:t xml:space="preserve">McGarry </w:t>
      </w:r>
      <w:r w:rsidR="00554DA7" w:rsidRPr="0070600B">
        <w:rPr>
          <w:rFonts w:cstheme="minorHAnsi"/>
          <w:color w:val="3A3A3A"/>
          <w:sz w:val="24"/>
          <w:szCs w:val="24"/>
          <w:shd w:val="clear" w:color="auto" w:fill="FFFFFF"/>
        </w:rPr>
        <w:t>et al.,</w:t>
      </w:r>
      <w:r w:rsidR="00125C39" w:rsidRPr="0070600B">
        <w:rPr>
          <w:rFonts w:cstheme="minorHAnsi"/>
          <w:color w:val="3A3A3A"/>
          <w:sz w:val="24"/>
          <w:szCs w:val="24"/>
          <w:shd w:val="clear" w:color="auto" w:fill="FFFFFF"/>
        </w:rPr>
        <w:t xml:space="preserve"> (2011</w:t>
      </w:r>
      <w:r w:rsidR="00234005" w:rsidRPr="0070600B">
        <w:rPr>
          <w:rFonts w:cstheme="minorHAnsi"/>
          <w:color w:val="3A3A3A"/>
          <w:sz w:val="24"/>
          <w:szCs w:val="24"/>
          <w:shd w:val="clear" w:color="auto" w:fill="FFFFFF"/>
        </w:rPr>
        <w:t>)</w:t>
      </w:r>
      <w:r w:rsidR="00234005" w:rsidRPr="0070600B">
        <w:rPr>
          <w:rFonts w:cstheme="minorHAnsi"/>
          <w:sz w:val="24"/>
          <w:szCs w:val="24"/>
        </w:rPr>
        <w:t>, investigated</w:t>
      </w:r>
      <w:r w:rsidRPr="0070600B">
        <w:rPr>
          <w:rFonts w:cstheme="minorHAnsi"/>
          <w:sz w:val="24"/>
          <w:szCs w:val="24"/>
        </w:rPr>
        <w:t xml:space="preserve"> the hazards of discriminatory gender norms, emphasising the need to achieve more gender equality. Specifically, such equality may provide improved health, rights, and well-being, implying significant advantages for women.</w:t>
      </w:r>
    </w:p>
    <w:p w14:paraId="4487CC7E" w14:textId="5A7E08C1" w:rsidR="00010D5A" w:rsidRPr="0070600B" w:rsidRDefault="00010D5A" w:rsidP="0070600B">
      <w:pPr>
        <w:spacing w:line="360" w:lineRule="auto"/>
        <w:rPr>
          <w:rFonts w:cstheme="minorHAnsi"/>
          <w:sz w:val="24"/>
          <w:szCs w:val="24"/>
        </w:rPr>
      </w:pPr>
      <w:r w:rsidRPr="0070600B">
        <w:rPr>
          <w:rFonts w:cstheme="minorHAnsi"/>
          <w:sz w:val="24"/>
          <w:szCs w:val="24"/>
        </w:rPr>
        <w:t xml:space="preserve">When women depart from these standards, society punishes them, both </w:t>
      </w:r>
      <w:r w:rsidR="00AF042D" w:rsidRPr="0070600B">
        <w:rPr>
          <w:rFonts w:cstheme="minorHAnsi"/>
          <w:sz w:val="24"/>
          <w:szCs w:val="24"/>
        </w:rPr>
        <w:t>legally through</w:t>
      </w:r>
      <w:r w:rsidRPr="0070600B">
        <w:rPr>
          <w:rFonts w:cstheme="minorHAnsi"/>
          <w:sz w:val="24"/>
          <w:szCs w:val="24"/>
        </w:rPr>
        <w:t xml:space="preserve"> the criminal justice system and informally through discrimination and social shame. Singh (2021) supports Sandman (2021) by suggesting that, in addition to acute sexism, the viewpoint of "low-quality" women reflects society's classification of women based on patriarchal expectations of their behaviour. The argument demonstrates that patriarchal cultures are to blame for women's excessive body image standards. According to Vaes et al.</w:t>
      </w:r>
      <w:r w:rsidR="00202D70" w:rsidRPr="0070600B">
        <w:rPr>
          <w:rFonts w:cstheme="minorHAnsi"/>
          <w:sz w:val="24"/>
          <w:szCs w:val="24"/>
        </w:rPr>
        <w:t>,</w:t>
      </w:r>
      <w:r w:rsidRPr="0070600B">
        <w:rPr>
          <w:rFonts w:cstheme="minorHAnsi"/>
          <w:sz w:val="24"/>
          <w:szCs w:val="24"/>
        </w:rPr>
        <w:t xml:space="preserve"> (2019), cultural expectations on body image are harmful to women, who are often victims of objectification processes that occur when women are reduced to their bodies or portions of their bodies. Holland et al</w:t>
      </w:r>
      <w:r w:rsidR="00202D70" w:rsidRPr="0070600B">
        <w:rPr>
          <w:rFonts w:cstheme="minorHAnsi"/>
          <w:sz w:val="24"/>
          <w:szCs w:val="24"/>
        </w:rPr>
        <w:t xml:space="preserve">., </w:t>
      </w:r>
      <w:r w:rsidRPr="0070600B">
        <w:rPr>
          <w:rFonts w:cstheme="minorHAnsi"/>
          <w:sz w:val="24"/>
          <w:szCs w:val="24"/>
        </w:rPr>
        <w:t>(2018) held similar views, indicating that both direct and indirect instances of objectification had a negative impact on how women see themselves. These</w:t>
      </w:r>
      <w:r w:rsidR="006C1532" w:rsidRPr="0070600B">
        <w:rPr>
          <w:rFonts w:cstheme="minorHAnsi"/>
          <w:sz w:val="24"/>
          <w:szCs w:val="24"/>
        </w:rPr>
        <w:t xml:space="preserve"> issues of</w:t>
      </w:r>
      <w:r w:rsidRPr="0070600B">
        <w:rPr>
          <w:rFonts w:cstheme="minorHAnsi"/>
          <w:sz w:val="24"/>
          <w:szCs w:val="24"/>
        </w:rPr>
        <w:t xml:space="preserve"> double deviance</w:t>
      </w:r>
      <w:r w:rsidR="00665D42">
        <w:rPr>
          <w:rFonts w:cstheme="minorHAnsi"/>
          <w:sz w:val="24"/>
          <w:szCs w:val="24"/>
        </w:rPr>
        <w:t xml:space="preserve"> </w:t>
      </w:r>
      <w:r w:rsidR="006C1532" w:rsidRPr="0070600B">
        <w:rPr>
          <w:rFonts w:cstheme="minorHAnsi"/>
          <w:sz w:val="24"/>
          <w:szCs w:val="24"/>
        </w:rPr>
        <w:t>that women face</w:t>
      </w:r>
      <w:r w:rsidRPr="0070600B">
        <w:rPr>
          <w:rFonts w:cstheme="minorHAnsi"/>
          <w:sz w:val="24"/>
          <w:szCs w:val="24"/>
        </w:rPr>
        <w:t xml:space="preserve"> </w:t>
      </w:r>
      <w:r w:rsidR="00234005" w:rsidRPr="0070600B">
        <w:rPr>
          <w:rFonts w:cstheme="minorHAnsi"/>
          <w:sz w:val="24"/>
          <w:szCs w:val="24"/>
        </w:rPr>
        <w:t>is</w:t>
      </w:r>
      <w:r w:rsidRPr="0070600B">
        <w:rPr>
          <w:rFonts w:cstheme="minorHAnsi"/>
          <w:sz w:val="24"/>
          <w:szCs w:val="24"/>
        </w:rPr>
        <w:t xml:space="preserve"> especially harmful since they jeopardise women's long-term well-being.</w:t>
      </w:r>
    </w:p>
    <w:p w14:paraId="6E8620C4" w14:textId="6052E4B1" w:rsidR="00010D5A" w:rsidRPr="0070600B" w:rsidRDefault="00010D5A" w:rsidP="0070600B">
      <w:pPr>
        <w:spacing w:line="360" w:lineRule="auto"/>
        <w:rPr>
          <w:rFonts w:cstheme="minorHAnsi"/>
          <w:sz w:val="24"/>
          <w:szCs w:val="24"/>
        </w:rPr>
      </w:pPr>
      <w:r w:rsidRPr="0070600B">
        <w:rPr>
          <w:rFonts w:cstheme="minorHAnsi"/>
          <w:sz w:val="24"/>
          <w:szCs w:val="24"/>
        </w:rPr>
        <w:t xml:space="preserve">A striking impact of the double deviance </w:t>
      </w:r>
      <w:r w:rsidR="004246F5">
        <w:rPr>
          <w:rFonts w:cstheme="minorHAnsi"/>
          <w:sz w:val="24"/>
          <w:szCs w:val="24"/>
        </w:rPr>
        <w:t xml:space="preserve">on women is </w:t>
      </w:r>
      <w:r w:rsidRPr="0070600B">
        <w:rPr>
          <w:rFonts w:cstheme="minorHAnsi"/>
          <w:sz w:val="24"/>
          <w:szCs w:val="24"/>
        </w:rPr>
        <w:t xml:space="preserve">that women face mental health problems. Mental health concerns are a significant </w:t>
      </w:r>
      <w:r w:rsidR="00A57F09">
        <w:rPr>
          <w:rFonts w:cstheme="minorHAnsi"/>
          <w:sz w:val="24"/>
          <w:szCs w:val="24"/>
        </w:rPr>
        <w:t>consequence of one of the many issues</w:t>
      </w:r>
      <w:r w:rsidRPr="0070600B">
        <w:rPr>
          <w:rFonts w:cstheme="minorHAnsi"/>
          <w:sz w:val="24"/>
          <w:szCs w:val="24"/>
        </w:rPr>
        <w:t xml:space="preserve"> women</w:t>
      </w:r>
      <w:r w:rsidR="00A57F09">
        <w:rPr>
          <w:rFonts w:cstheme="minorHAnsi"/>
          <w:sz w:val="24"/>
          <w:szCs w:val="24"/>
        </w:rPr>
        <w:t xml:space="preserve"> face regarding </w:t>
      </w:r>
      <w:r w:rsidRPr="0070600B">
        <w:rPr>
          <w:rFonts w:cstheme="minorHAnsi"/>
          <w:sz w:val="24"/>
          <w:szCs w:val="24"/>
        </w:rPr>
        <w:t>double deviance. Several scholars, including Ali and Adshead (2022</w:t>
      </w:r>
      <w:r w:rsidR="000519A3" w:rsidRPr="0070600B">
        <w:rPr>
          <w:rFonts w:cstheme="minorHAnsi"/>
          <w:sz w:val="24"/>
          <w:szCs w:val="24"/>
        </w:rPr>
        <w:t>), Cruz</w:t>
      </w:r>
      <w:r w:rsidRPr="0070600B">
        <w:rPr>
          <w:rFonts w:cstheme="minorHAnsi"/>
          <w:sz w:val="24"/>
          <w:szCs w:val="24"/>
        </w:rPr>
        <w:t>, Lukic, and Strand (2023), have shown that women who engage in double deviance are more likely to have mental health problems. Because of the continual pressure to adhere to cultural standards and expectations, these women may experience anxiety, despair, and poor self-esteem. Consistent with these results are the findings of Holland et al. (2018), who found that women who are objectified by social norms are more likely to have poor health. The psychological effect of double deviance on women is substantial (</w:t>
      </w:r>
      <w:proofErr w:type="spellStart"/>
      <w:r w:rsidRPr="0070600B">
        <w:rPr>
          <w:rFonts w:cstheme="minorHAnsi"/>
          <w:sz w:val="24"/>
          <w:szCs w:val="24"/>
        </w:rPr>
        <w:t>Lightowlers</w:t>
      </w:r>
      <w:proofErr w:type="spellEnd"/>
      <w:r w:rsidRPr="0070600B">
        <w:rPr>
          <w:rFonts w:cstheme="minorHAnsi"/>
          <w:sz w:val="24"/>
          <w:szCs w:val="24"/>
        </w:rPr>
        <w:t xml:space="preserve">, 2018). Stress and mental anguish might result from constantly confronting cultural standards and experiencing prejudice. </w:t>
      </w:r>
    </w:p>
    <w:p w14:paraId="2A28719E" w14:textId="73FFFCE2" w:rsidR="00D876CC" w:rsidRPr="0070600B" w:rsidRDefault="00010D5A" w:rsidP="0070600B">
      <w:pPr>
        <w:spacing w:line="360" w:lineRule="auto"/>
        <w:rPr>
          <w:rFonts w:cstheme="minorHAnsi"/>
          <w:sz w:val="24"/>
          <w:szCs w:val="24"/>
        </w:rPr>
      </w:pPr>
      <w:r w:rsidRPr="0070600B">
        <w:rPr>
          <w:rFonts w:cstheme="minorHAnsi"/>
          <w:sz w:val="24"/>
          <w:szCs w:val="24"/>
        </w:rPr>
        <w:t xml:space="preserve">In conclusion, the essay shows how societal expectations and standards that severely limit actions and behaviours compel oppressed persons, in this case, women, to break from society's expectations. It was also shown that women may internalise the shame of breaking from gender standards, aggravating their mental health problems. As a result, women suffer physical and mental health issues </w:t>
      </w:r>
      <w:r w:rsidR="0070600B" w:rsidRPr="0070600B">
        <w:rPr>
          <w:rFonts w:cstheme="minorHAnsi"/>
          <w:sz w:val="24"/>
          <w:szCs w:val="24"/>
        </w:rPr>
        <w:t>because of</w:t>
      </w:r>
      <w:r w:rsidRPr="0070600B">
        <w:rPr>
          <w:rFonts w:cstheme="minorHAnsi"/>
          <w:sz w:val="24"/>
          <w:szCs w:val="24"/>
        </w:rPr>
        <w:t xml:space="preserve"> </w:t>
      </w:r>
      <w:r w:rsidR="004A3A5C">
        <w:rPr>
          <w:rFonts w:cstheme="minorHAnsi"/>
          <w:sz w:val="24"/>
          <w:szCs w:val="24"/>
        </w:rPr>
        <w:t xml:space="preserve">the implications of </w:t>
      </w:r>
      <w:r w:rsidR="00697153" w:rsidRPr="0070600B">
        <w:rPr>
          <w:rFonts w:cstheme="minorHAnsi"/>
          <w:sz w:val="24"/>
          <w:szCs w:val="24"/>
        </w:rPr>
        <w:t>double</w:t>
      </w:r>
      <w:r w:rsidRPr="0070600B">
        <w:rPr>
          <w:rFonts w:cstheme="minorHAnsi"/>
          <w:sz w:val="24"/>
          <w:szCs w:val="24"/>
        </w:rPr>
        <w:t xml:space="preserve"> devianc</w:t>
      </w:r>
      <w:r w:rsidR="00697153" w:rsidRPr="0070600B">
        <w:rPr>
          <w:rFonts w:cstheme="minorHAnsi"/>
          <w:sz w:val="24"/>
          <w:szCs w:val="24"/>
        </w:rPr>
        <w:t>e.</w:t>
      </w:r>
    </w:p>
    <w:p w14:paraId="5FE0A255" w14:textId="77777777" w:rsidR="00010D5A" w:rsidRPr="00A04172" w:rsidRDefault="00010D5A" w:rsidP="00A04172">
      <w:pPr>
        <w:spacing w:line="360" w:lineRule="auto"/>
        <w:rPr>
          <w:sz w:val="24"/>
          <w:szCs w:val="24"/>
        </w:rPr>
      </w:pPr>
    </w:p>
    <w:p w14:paraId="67A9482C" w14:textId="77777777" w:rsidR="0070600B" w:rsidRDefault="0070600B" w:rsidP="0082364F">
      <w:pPr>
        <w:rPr>
          <w:sz w:val="24"/>
          <w:szCs w:val="24"/>
        </w:rPr>
      </w:pPr>
    </w:p>
    <w:p w14:paraId="6D725E86" w14:textId="77777777" w:rsidR="0070600B" w:rsidRDefault="0070600B" w:rsidP="005F4E5E">
      <w:pPr>
        <w:jc w:val="center"/>
        <w:rPr>
          <w:sz w:val="24"/>
          <w:szCs w:val="24"/>
        </w:rPr>
      </w:pPr>
    </w:p>
    <w:p w14:paraId="5DFE11A0" w14:textId="77777777" w:rsidR="0070600B" w:rsidRDefault="0070600B" w:rsidP="005F4E5E">
      <w:pPr>
        <w:jc w:val="center"/>
        <w:rPr>
          <w:sz w:val="24"/>
          <w:szCs w:val="24"/>
        </w:rPr>
      </w:pPr>
    </w:p>
    <w:p w14:paraId="7E82232A" w14:textId="77777777" w:rsidR="0070600B" w:rsidRDefault="0070600B" w:rsidP="005F4E5E">
      <w:pPr>
        <w:jc w:val="center"/>
        <w:rPr>
          <w:sz w:val="24"/>
          <w:szCs w:val="24"/>
        </w:rPr>
      </w:pPr>
    </w:p>
    <w:p w14:paraId="526144F6" w14:textId="77777777" w:rsidR="0070600B" w:rsidRDefault="0070600B" w:rsidP="005F4E5E">
      <w:pPr>
        <w:jc w:val="center"/>
        <w:rPr>
          <w:sz w:val="24"/>
          <w:szCs w:val="24"/>
        </w:rPr>
      </w:pPr>
    </w:p>
    <w:p w14:paraId="3FADB21E" w14:textId="618BFC77" w:rsidR="00010D5A" w:rsidRPr="0070600B" w:rsidRDefault="005F4E5E" w:rsidP="005F4E5E">
      <w:pPr>
        <w:jc w:val="center"/>
        <w:rPr>
          <w:sz w:val="24"/>
          <w:szCs w:val="24"/>
        </w:rPr>
      </w:pPr>
      <w:r w:rsidRPr="0070600B">
        <w:rPr>
          <w:sz w:val="24"/>
          <w:szCs w:val="24"/>
        </w:rPr>
        <w:t>References:</w:t>
      </w:r>
    </w:p>
    <w:p w14:paraId="68A51865" w14:textId="77777777" w:rsidR="0082364F" w:rsidRPr="0070600B" w:rsidRDefault="0082364F" w:rsidP="005F4E5E">
      <w:pPr>
        <w:spacing w:after="0" w:line="480" w:lineRule="auto"/>
        <w:contextualSpacing/>
        <w:rPr>
          <w:rFonts w:ascii="Times New Roman" w:hAnsi="Times New Roman" w:cs="Times New Roman"/>
          <w:sz w:val="24"/>
          <w:szCs w:val="24"/>
        </w:rPr>
      </w:pPr>
      <w:r w:rsidRPr="0070600B">
        <w:rPr>
          <w:rFonts w:ascii="Times New Roman" w:hAnsi="Times New Roman" w:cs="Times New Roman"/>
          <w:sz w:val="24"/>
          <w:szCs w:val="24"/>
        </w:rPr>
        <w:t xml:space="preserve">Ali, S. and Adshead, G., (2022). Just like a woman: gender role stereotypes in forensic psychiatry. </w:t>
      </w:r>
      <w:r w:rsidRPr="0070600B">
        <w:rPr>
          <w:rFonts w:ascii="Times New Roman" w:hAnsi="Times New Roman" w:cs="Times New Roman"/>
          <w:i/>
          <w:iCs/>
          <w:sz w:val="24"/>
          <w:szCs w:val="24"/>
        </w:rPr>
        <w:t>Frontiers in Psychiatry</w:t>
      </w:r>
      <w:r w:rsidRPr="0070600B">
        <w:rPr>
          <w:rFonts w:ascii="Times New Roman" w:hAnsi="Times New Roman" w:cs="Times New Roman"/>
          <w:sz w:val="24"/>
          <w:szCs w:val="24"/>
        </w:rPr>
        <w:t xml:space="preserve">, </w:t>
      </w:r>
      <w:r w:rsidRPr="0070600B">
        <w:rPr>
          <w:rFonts w:ascii="Times New Roman" w:hAnsi="Times New Roman" w:cs="Times New Roman"/>
          <w:b/>
          <w:sz w:val="24"/>
          <w:szCs w:val="24"/>
        </w:rPr>
        <w:t>13</w:t>
      </w:r>
      <w:r w:rsidRPr="0070600B">
        <w:rPr>
          <w:rFonts w:ascii="Times New Roman" w:hAnsi="Times New Roman" w:cs="Times New Roman"/>
          <w:sz w:val="24"/>
          <w:szCs w:val="24"/>
        </w:rPr>
        <w:t>(13). DOI: 10.3389/fpsyt.2022.840837.</w:t>
      </w:r>
    </w:p>
    <w:p w14:paraId="20A5DA85"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Bontrager, S., Barrick, K. and Stupi, E., (2013). Gender and sentencing: a meta-analysis of contemporary research. </w:t>
      </w:r>
      <w:r w:rsidRPr="0070600B">
        <w:rPr>
          <w:rFonts w:ascii="Times New Roman" w:hAnsi="Times New Roman" w:cs="Times New Roman"/>
          <w:i/>
          <w:sz w:val="24"/>
          <w:szCs w:val="24"/>
        </w:rPr>
        <w:t>The Journal of Gender, Race and Justice</w:t>
      </w:r>
      <w:r w:rsidRPr="0070600B">
        <w:rPr>
          <w:rFonts w:ascii="Times New Roman" w:hAnsi="Times New Roman" w:cs="Times New Roman"/>
          <w:sz w:val="24"/>
          <w:szCs w:val="24"/>
        </w:rPr>
        <w:t xml:space="preserve">, </w:t>
      </w:r>
      <w:r w:rsidRPr="0070600B">
        <w:rPr>
          <w:rFonts w:ascii="Times New Roman" w:hAnsi="Times New Roman" w:cs="Times New Roman"/>
          <w:b/>
          <w:sz w:val="24"/>
          <w:szCs w:val="24"/>
        </w:rPr>
        <w:t>16</w:t>
      </w:r>
      <w:r w:rsidRPr="0070600B">
        <w:rPr>
          <w:rFonts w:ascii="Times New Roman" w:hAnsi="Times New Roman" w:cs="Times New Roman"/>
          <w:sz w:val="24"/>
          <w:szCs w:val="24"/>
        </w:rPr>
        <w:t>, pp.349 –72.</w:t>
      </w:r>
    </w:p>
    <w:p w14:paraId="15BCF583"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Chakraborti, N., (2018). Victims of hate crime. In: </w:t>
      </w:r>
      <w:proofErr w:type="spellStart"/>
      <w:r w:rsidRPr="0070600B">
        <w:rPr>
          <w:rFonts w:ascii="Times New Roman" w:hAnsi="Times New Roman" w:cs="Times New Roman"/>
          <w:sz w:val="24"/>
          <w:szCs w:val="24"/>
        </w:rPr>
        <w:t>Walklate</w:t>
      </w:r>
      <w:proofErr w:type="spellEnd"/>
      <w:r w:rsidRPr="0070600B">
        <w:rPr>
          <w:rFonts w:ascii="Times New Roman" w:hAnsi="Times New Roman" w:cs="Times New Roman"/>
          <w:sz w:val="24"/>
          <w:szCs w:val="24"/>
        </w:rPr>
        <w:t xml:space="preserve">, S. (ed.) </w:t>
      </w:r>
      <w:r w:rsidRPr="0070600B">
        <w:rPr>
          <w:rStyle w:val="Emphasis"/>
          <w:rFonts w:ascii="Times New Roman" w:hAnsi="Times New Roman" w:cs="Times New Roman"/>
          <w:sz w:val="24"/>
          <w:szCs w:val="24"/>
        </w:rPr>
        <w:t>Handbook of Victims and Victimology</w:t>
      </w:r>
      <w:r w:rsidRPr="0070600B">
        <w:rPr>
          <w:rFonts w:ascii="Times New Roman" w:hAnsi="Times New Roman" w:cs="Times New Roman"/>
          <w:sz w:val="24"/>
          <w:szCs w:val="24"/>
        </w:rPr>
        <w:t>, 2nd Edition. Oxon: Routledge, pp.141–155.</w:t>
      </w:r>
    </w:p>
    <w:p w14:paraId="0D236A3A"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Christie, N., (1986). The Ideal Victim. In: Fattah E.A. (ed.) </w:t>
      </w:r>
      <w:r w:rsidRPr="0070600B">
        <w:rPr>
          <w:rStyle w:val="Emphasis"/>
          <w:rFonts w:ascii="Times New Roman" w:hAnsi="Times New Roman" w:cs="Times New Roman"/>
          <w:sz w:val="24"/>
          <w:szCs w:val="24"/>
        </w:rPr>
        <w:t>From Crime Policy to Victim Policy</w:t>
      </w:r>
      <w:r w:rsidRPr="0070600B">
        <w:rPr>
          <w:rFonts w:ascii="Times New Roman" w:hAnsi="Times New Roman" w:cs="Times New Roman"/>
          <w:sz w:val="24"/>
          <w:szCs w:val="24"/>
        </w:rPr>
        <w:t>. Basingstoke: Macmillan, pp.17–30.</w:t>
      </w:r>
    </w:p>
    <w:p w14:paraId="22AED910"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proofErr w:type="spellStart"/>
      <w:r w:rsidRPr="0070600B">
        <w:rPr>
          <w:rFonts w:ascii="Times New Roman" w:hAnsi="Times New Roman" w:cs="Times New Roman"/>
          <w:sz w:val="24"/>
          <w:szCs w:val="24"/>
        </w:rPr>
        <w:t>Cislaghi</w:t>
      </w:r>
      <w:proofErr w:type="spellEnd"/>
      <w:r w:rsidRPr="0070600B">
        <w:rPr>
          <w:rFonts w:ascii="Times New Roman" w:hAnsi="Times New Roman" w:cs="Times New Roman"/>
          <w:sz w:val="24"/>
          <w:szCs w:val="24"/>
        </w:rPr>
        <w:t xml:space="preserve">, B. and Heise, L., (2020). Gender norms and social norms: differences, similarities and why they matter in prevention science. </w:t>
      </w:r>
      <w:r w:rsidRPr="0070600B">
        <w:rPr>
          <w:rFonts w:ascii="Times New Roman" w:hAnsi="Times New Roman" w:cs="Times New Roman"/>
          <w:i/>
          <w:iCs/>
          <w:sz w:val="24"/>
          <w:szCs w:val="24"/>
        </w:rPr>
        <w:t>Sociology of Health &amp; Illness</w:t>
      </w:r>
      <w:r w:rsidRPr="0070600B">
        <w:rPr>
          <w:rFonts w:ascii="Times New Roman" w:hAnsi="Times New Roman" w:cs="Times New Roman"/>
          <w:sz w:val="24"/>
          <w:szCs w:val="24"/>
        </w:rPr>
        <w:t xml:space="preserve">, </w:t>
      </w:r>
      <w:r w:rsidRPr="0070600B">
        <w:rPr>
          <w:rFonts w:ascii="Times New Roman" w:hAnsi="Times New Roman" w:cs="Times New Roman"/>
          <w:b/>
          <w:sz w:val="24"/>
          <w:szCs w:val="24"/>
        </w:rPr>
        <w:t>42</w:t>
      </w:r>
      <w:r w:rsidRPr="0070600B">
        <w:rPr>
          <w:rFonts w:ascii="Times New Roman" w:hAnsi="Times New Roman" w:cs="Times New Roman"/>
          <w:sz w:val="24"/>
          <w:szCs w:val="24"/>
        </w:rPr>
        <w:t xml:space="preserve">(2), pp.407–422. </w:t>
      </w:r>
    </w:p>
    <w:p w14:paraId="28C9F1D0"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proofErr w:type="spellStart"/>
      <w:r w:rsidRPr="0070600B">
        <w:rPr>
          <w:rFonts w:ascii="Times New Roman" w:hAnsi="Times New Roman" w:cs="Times New Roman"/>
          <w:sz w:val="24"/>
          <w:szCs w:val="24"/>
        </w:rPr>
        <w:t>Cislaghi</w:t>
      </w:r>
      <w:proofErr w:type="spellEnd"/>
      <w:r w:rsidRPr="0070600B">
        <w:rPr>
          <w:rFonts w:ascii="Times New Roman" w:hAnsi="Times New Roman" w:cs="Times New Roman"/>
          <w:sz w:val="24"/>
          <w:szCs w:val="24"/>
        </w:rPr>
        <w:t xml:space="preserve">, B., Bhatia, A., Hallgren, E.S.T., </w:t>
      </w:r>
      <w:proofErr w:type="spellStart"/>
      <w:r w:rsidRPr="0070600B">
        <w:rPr>
          <w:rFonts w:ascii="Times New Roman" w:hAnsi="Times New Roman" w:cs="Times New Roman"/>
          <w:sz w:val="24"/>
          <w:szCs w:val="24"/>
        </w:rPr>
        <w:t>Horanieh</w:t>
      </w:r>
      <w:proofErr w:type="spellEnd"/>
      <w:r w:rsidRPr="0070600B">
        <w:rPr>
          <w:rFonts w:ascii="Times New Roman" w:hAnsi="Times New Roman" w:cs="Times New Roman"/>
          <w:sz w:val="24"/>
          <w:szCs w:val="24"/>
        </w:rPr>
        <w:t xml:space="preserve">, N., Weber, </w:t>
      </w:r>
      <w:proofErr w:type="gramStart"/>
      <w:r w:rsidRPr="0070600B">
        <w:rPr>
          <w:rFonts w:ascii="Times New Roman" w:hAnsi="Times New Roman" w:cs="Times New Roman"/>
          <w:sz w:val="24"/>
          <w:szCs w:val="24"/>
        </w:rPr>
        <w:t>A.M.</w:t>
      </w:r>
      <w:proofErr w:type="gramEnd"/>
      <w:r w:rsidRPr="0070600B">
        <w:rPr>
          <w:rFonts w:ascii="Times New Roman" w:hAnsi="Times New Roman" w:cs="Times New Roman"/>
          <w:sz w:val="24"/>
          <w:szCs w:val="24"/>
        </w:rPr>
        <w:t xml:space="preserve"> and Darmstadt, G.L., (2022). Gender norms and gender equality in full-time employment and health: a 97-country analysis of the world values survey. </w:t>
      </w:r>
      <w:r w:rsidRPr="0070600B">
        <w:rPr>
          <w:rFonts w:ascii="Times New Roman" w:hAnsi="Times New Roman" w:cs="Times New Roman"/>
          <w:i/>
          <w:iCs/>
          <w:sz w:val="24"/>
          <w:szCs w:val="24"/>
        </w:rPr>
        <w:t>Frontiers in Psychology</w:t>
      </w:r>
      <w:r w:rsidRPr="0070600B">
        <w:rPr>
          <w:rFonts w:ascii="Times New Roman" w:hAnsi="Times New Roman" w:cs="Times New Roman"/>
          <w:sz w:val="24"/>
          <w:szCs w:val="24"/>
        </w:rPr>
        <w:t xml:space="preserve">, </w:t>
      </w:r>
      <w:r w:rsidRPr="0070600B">
        <w:rPr>
          <w:rFonts w:ascii="Times New Roman" w:hAnsi="Times New Roman" w:cs="Times New Roman"/>
          <w:b/>
          <w:sz w:val="24"/>
          <w:szCs w:val="24"/>
        </w:rPr>
        <w:t>13</w:t>
      </w:r>
      <w:r w:rsidRPr="0070600B">
        <w:rPr>
          <w:rFonts w:ascii="Times New Roman" w:hAnsi="Times New Roman" w:cs="Times New Roman"/>
          <w:sz w:val="24"/>
          <w:szCs w:val="24"/>
        </w:rPr>
        <w:t>. DOI:  10.3389/fpsyg.2022.689815.</w:t>
      </w:r>
    </w:p>
    <w:p w14:paraId="664E7879"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Croft, A., Atkinson, C., Sandstrom, G., Orbell, S. and Aknin, L., (2020). Loosening the GRIP (Gender Roles Inhibiting </w:t>
      </w:r>
      <w:proofErr w:type="spellStart"/>
      <w:r w:rsidRPr="0070600B">
        <w:rPr>
          <w:rFonts w:ascii="Times New Roman" w:hAnsi="Times New Roman" w:cs="Times New Roman"/>
          <w:sz w:val="24"/>
          <w:szCs w:val="24"/>
        </w:rPr>
        <w:t>Prosociality</w:t>
      </w:r>
      <w:proofErr w:type="spellEnd"/>
      <w:r w:rsidRPr="0070600B">
        <w:rPr>
          <w:rFonts w:ascii="Times New Roman" w:hAnsi="Times New Roman" w:cs="Times New Roman"/>
          <w:sz w:val="24"/>
          <w:szCs w:val="24"/>
        </w:rPr>
        <w:t xml:space="preserve">) to promote gender equality. </w:t>
      </w:r>
      <w:r w:rsidRPr="0070600B">
        <w:rPr>
          <w:rFonts w:ascii="Times New Roman" w:hAnsi="Times New Roman" w:cs="Times New Roman"/>
          <w:i/>
          <w:iCs/>
          <w:sz w:val="24"/>
          <w:szCs w:val="24"/>
        </w:rPr>
        <w:t>Personality and Social Psychology Review</w:t>
      </w:r>
      <w:r w:rsidRPr="0070600B">
        <w:rPr>
          <w:rFonts w:ascii="Times New Roman" w:hAnsi="Times New Roman" w:cs="Times New Roman"/>
          <w:sz w:val="24"/>
          <w:szCs w:val="24"/>
        </w:rPr>
        <w:t xml:space="preserve">, </w:t>
      </w:r>
      <w:r w:rsidRPr="0070600B">
        <w:rPr>
          <w:rFonts w:ascii="Times New Roman" w:hAnsi="Times New Roman" w:cs="Times New Roman"/>
          <w:b/>
          <w:sz w:val="24"/>
          <w:szCs w:val="24"/>
        </w:rPr>
        <w:t>25</w:t>
      </w:r>
      <w:r w:rsidRPr="0070600B">
        <w:rPr>
          <w:rFonts w:ascii="Times New Roman" w:hAnsi="Times New Roman" w:cs="Times New Roman"/>
          <w:sz w:val="24"/>
          <w:szCs w:val="24"/>
        </w:rPr>
        <w:t>(1), pp.66–92.</w:t>
      </w:r>
    </w:p>
    <w:p w14:paraId="6B70B7D6"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Cruz, B., Lukić, N. and Strand, S., (2023). Gender Perspective of Victimization, Crime and Penal Policy. In: Vujadinović, D., Fröhlich, M., Giegerich, T. (eds) </w:t>
      </w:r>
      <w:r w:rsidRPr="0070600B">
        <w:rPr>
          <w:rFonts w:ascii="Times New Roman" w:hAnsi="Times New Roman" w:cs="Times New Roman"/>
          <w:i/>
          <w:sz w:val="24"/>
          <w:szCs w:val="24"/>
        </w:rPr>
        <w:t>Gender-Competent Legal Education</w:t>
      </w:r>
      <w:r w:rsidRPr="0070600B">
        <w:rPr>
          <w:rFonts w:ascii="Times New Roman" w:hAnsi="Times New Roman" w:cs="Times New Roman"/>
          <w:sz w:val="24"/>
          <w:szCs w:val="24"/>
        </w:rPr>
        <w:t>. Springer Textbooks in Law. Springer, Cham, pp.467-502.</w:t>
      </w:r>
    </w:p>
    <w:p w14:paraId="5E496C93"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Davis, K., (1961). Prostitution. In: R.K. Merton and R.A. Nisbet (Eds.), </w:t>
      </w:r>
      <w:r w:rsidRPr="0070600B">
        <w:rPr>
          <w:rFonts w:ascii="Times New Roman" w:hAnsi="Times New Roman" w:cs="Times New Roman"/>
          <w:i/>
          <w:sz w:val="24"/>
          <w:szCs w:val="24"/>
        </w:rPr>
        <w:t xml:space="preserve">Contemporary social problems: an introduction to the sociology of deviant </w:t>
      </w:r>
      <w:proofErr w:type="spellStart"/>
      <w:r w:rsidRPr="0070600B">
        <w:rPr>
          <w:rFonts w:ascii="Times New Roman" w:hAnsi="Times New Roman" w:cs="Times New Roman"/>
          <w:i/>
          <w:sz w:val="24"/>
          <w:szCs w:val="24"/>
        </w:rPr>
        <w:t>behavior</w:t>
      </w:r>
      <w:proofErr w:type="spellEnd"/>
      <w:r w:rsidRPr="0070600B">
        <w:rPr>
          <w:rFonts w:ascii="Times New Roman" w:hAnsi="Times New Roman" w:cs="Times New Roman"/>
          <w:i/>
          <w:sz w:val="24"/>
          <w:szCs w:val="24"/>
        </w:rPr>
        <w:t xml:space="preserve"> and social disorganization</w:t>
      </w:r>
      <w:r w:rsidRPr="0070600B">
        <w:rPr>
          <w:rFonts w:ascii="Times New Roman" w:hAnsi="Times New Roman" w:cs="Times New Roman"/>
          <w:sz w:val="24"/>
          <w:szCs w:val="24"/>
        </w:rPr>
        <w:t>. New York, NY: Harcourt, Brace &amp; World, pp.262-288.</w:t>
      </w:r>
    </w:p>
    <w:p w14:paraId="41D72988"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Estrada, F., Nilsson, A. and Pettersson, T., (2019). The female offender - A century of registered crime and daily press reporting on women’s crime. </w:t>
      </w:r>
      <w:r w:rsidRPr="0070600B">
        <w:rPr>
          <w:rFonts w:ascii="Times New Roman" w:hAnsi="Times New Roman" w:cs="Times New Roman"/>
          <w:i/>
          <w:iCs/>
          <w:sz w:val="24"/>
          <w:szCs w:val="24"/>
        </w:rPr>
        <w:t>Nordic Journal of Criminology</w:t>
      </w:r>
      <w:r w:rsidRPr="0070600B">
        <w:rPr>
          <w:rFonts w:ascii="Times New Roman" w:hAnsi="Times New Roman" w:cs="Times New Roman"/>
          <w:sz w:val="24"/>
          <w:szCs w:val="24"/>
        </w:rPr>
        <w:t xml:space="preserve">, </w:t>
      </w:r>
      <w:r w:rsidRPr="0070600B">
        <w:rPr>
          <w:rFonts w:ascii="Times New Roman" w:hAnsi="Times New Roman" w:cs="Times New Roman"/>
          <w:b/>
          <w:sz w:val="24"/>
          <w:szCs w:val="24"/>
        </w:rPr>
        <w:t>20</w:t>
      </w:r>
      <w:r w:rsidRPr="0070600B">
        <w:rPr>
          <w:rFonts w:ascii="Times New Roman" w:hAnsi="Times New Roman" w:cs="Times New Roman"/>
          <w:sz w:val="24"/>
          <w:szCs w:val="24"/>
        </w:rPr>
        <w:t xml:space="preserve">(2), pp.138–156. </w:t>
      </w:r>
    </w:p>
    <w:p w14:paraId="76610FFC" w14:textId="77777777" w:rsidR="0082364F" w:rsidRPr="0070600B" w:rsidRDefault="0082364F" w:rsidP="00CA35AB">
      <w:pPr>
        <w:pStyle w:val="NormalWeb"/>
        <w:spacing w:before="0" w:beforeAutospacing="0" w:after="240" w:afterAutospacing="0" w:line="480" w:lineRule="auto"/>
        <w:ind w:left="720" w:hanging="720"/>
        <w:contextualSpacing/>
        <w:rPr>
          <w:lang w:val="en-GB"/>
        </w:rPr>
      </w:pPr>
      <w:r w:rsidRPr="0070600B">
        <w:rPr>
          <w:lang w:val="en-GB"/>
        </w:rPr>
        <w:t xml:space="preserve">Heidensohn, F., (2010). The deviance of women: a critique and an enquiry. </w:t>
      </w:r>
      <w:r w:rsidRPr="0070600B">
        <w:rPr>
          <w:i/>
          <w:lang w:val="en-GB"/>
        </w:rPr>
        <w:t>The British Journal of Sociology</w:t>
      </w:r>
      <w:r w:rsidRPr="0070600B">
        <w:rPr>
          <w:lang w:val="en-GB"/>
        </w:rPr>
        <w:t xml:space="preserve">, </w:t>
      </w:r>
      <w:r w:rsidRPr="0070600B">
        <w:rPr>
          <w:b/>
          <w:lang w:val="en-GB"/>
        </w:rPr>
        <w:t>61</w:t>
      </w:r>
      <w:r w:rsidRPr="0070600B">
        <w:rPr>
          <w:lang w:val="en-GB"/>
        </w:rPr>
        <w:t>(1), pp.111-126.</w:t>
      </w:r>
    </w:p>
    <w:p w14:paraId="04AF1EA0"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Heidensohn, F., 1985. </w:t>
      </w:r>
      <w:r w:rsidRPr="0070600B">
        <w:rPr>
          <w:rFonts w:ascii="Times New Roman" w:hAnsi="Times New Roman" w:cs="Times New Roman"/>
          <w:i/>
          <w:iCs/>
          <w:sz w:val="24"/>
          <w:szCs w:val="24"/>
        </w:rPr>
        <w:t>Women and crime</w:t>
      </w:r>
      <w:r w:rsidRPr="0070600B">
        <w:rPr>
          <w:rFonts w:ascii="Times New Roman" w:hAnsi="Times New Roman" w:cs="Times New Roman"/>
          <w:sz w:val="24"/>
          <w:szCs w:val="24"/>
        </w:rPr>
        <w:t>. Macmillan.</w:t>
      </w:r>
    </w:p>
    <w:p w14:paraId="4D369F24" w14:textId="77777777" w:rsidR="0082364F" w:rsidRPr="0070600B" w:rsidRDefault="0082364F" w:rsidP="00CA35AB">
      <w:pPr>
        <w:pStyle w:val="NormalWeb"/>
        <w:spacing w:before="0" w:beforeAutospacing="0" w:after="240" w:afterAutospacing="0" w:line="480" w:lineRule="auto"/>
        <w:ind w:left="720" w:hanging="720"/>
        <w:contextualSpacing/>
        <w:rPr>
          <w:color w:val="3A3A3A"/>
          <w:shd w:val="clear" w:color="auto" w:fill="FFFFFF"/>
        </w:rPr>
      </w:pPr>
      <w:r w:rsidRPr="0070600B">
        <w:rPr>
          <w:color w:val="3A3A3A"/>
          <w:shd w:val="clear" w:color="auto" w:fill="FFFFFF"/>
        </w:rPr>
        <w:t>Heitzeg, N. A. (2015). “Whiteness,” criminality, and the double standards of deviance/social control. </w:t>
      </w:r>
      <w:r w:rsidRPr="0070600B">
        <w:rPr>
          <w:i/>
          <w:iCs/>
          <w:color w:val="3A3A3A"/>
          <w:shd w:val="clear" w:color="auto" w:fill="FFFFFF"/>
        </w:rPr>
        <w:t xml:space="preserve">Contemporary Justice </w:t>
      </w:r>
      <w:proofErr w:type="gramStart"/>
      <w:r w:rsidRPr="0070600B">
        <w:rPr>
          <w:i/>
          <w:iCs/>
          <w:color w:val="3A3A3A"/>
          <w:shd w:val="clear" w:color="auto" w:fill="FFFFFF"/>
        </w:rPr>
        <w:t>Review :</w:t>
      </w:r>
      <w:proofErr w:type="gramEnd"/>
      <w:r w:rsidRPr="0070600B">
        <w:rPr>
          <w:i/>
          <w:iCs/>
          <w:color w:val="3A3A3A"/>
          <w:shd w:val="clear" w:color="auto" w:fill="FFFFFF"/>
        </w:rPr>
        <w:t xml:space="preserve"> CJR</w:t>
      </w:r>
      <w:r w:rsidRPr="0070600B">
        <w:rPr>
          <w:color w:val="3A3A3A"/>
          <w:shd w:val="clear" w:color="auto" w:fill="FFFFFF"/>
        </w:rPr>
        <w:t>, </w:t>
      </w:r>
      <w:r w:rsidRPr="0070600B">
        <w:rPr>
          <w:i/>
          <w:iCs/>
          <w:color w:val="3A3A3A"/>
          <w:shd w:val="clear" w:color="auto" w:fill="FFFFFF"/>
        </w:rPr>
        <w:t>18</w:t>
      </w:r>
      <w:r w:rsidRPr="0070600B">
        <w:rPr>
          <w:color w:val="3A3A3A"/>
          <w:shd w:val="clear" w:color="auto" w:fill="FFFFFF"/>
        </w:rPr>
        <w:t xml:space="preserve">(2), 197–214. </w:t>
      </w:r>
      <w:hyperlink r:id="rId7" w:history="1">
        <w:r w:rsidRPr="0070600B">
          <w:rPr>
            <w:rStyle w:val="Hyperlink"/>
            <w:shd w:val="clear" w:color="auto" w:fill="FFFFFF"/>
          </w:rPr>
          <w:t>https://doi.org/10.1080/10282580.2015.1025630</w:t>
        </w:r>
      </w:hyperlink>
    </w:p>
    <w:p w14:paraId="4383F8B3" w14:textId="77777777" w:rsidR="0082364F" w:rsidRPr="0070600B" w:rsidRDefault="0082364F" w:rsidP="00CA35AB">
      <w:pPr>
        <w:pStyle w:val="NormalWeb"/>
        <w:spacing w:before="0" w:beforeAutospacing="0" w:after="240" w:afterAutospacing="0" w:line="480" w:lineRule="auto"/>
        <w:ind w:left="720" w:hanging="720"/>
        <w:contextualSpacing/>
        <w:rPr>
          <w:lang w:val="en-GB"/>
        </w:rPr>
      </w:pPr>
      <w:r w:rsidRPr="0070600B">
        <w:rPr>
          <w:i/>
          <w:lang w:val="en-GB"/>
        </w:rPr>
        <w:t xml:space="preserve"> </w:t>
      </w:r>
      <w:r w:rsidRPr="0070600B">
        <w:rPr>
          <w:lang w:val="en-GB"/>
        </w:rPr>
        <w:t xml:space="preserve">Holland, E., Koval, P., Stratemeyer, M., Thomson, F. and Haslam, N., (2018). Sexual objectification in women’s daily lives: a smartphone ecological momentary assessment study. </w:t>
      </w:r>
      <w:r w:rsidRPr="0070600B">
        <w:rPr>
          <w:i/>
          <w:iCs/>
          <w:lang w:val="en-GB"/>
        </w:rPr>
        <w:t>British Journal of Social Psychology</w:t>
      </w:r>
      <w:r w:rsidRPr="0070600B">
        <w:rPr>
          <w:lang w:val="en-GB"/>
        </w:rPr>
        <w:t xml:space="preserve">, </w:t>
      </w:r>
      <w:r w:rsidRPr="0070600B">
        <w:rPr>
          <w:b/>
          <w:lang w:val="en-GB"/>
        </w:rPr>
        <w:t>56</w:t>
      </w:r>
      <w:r w:rsidRPr="0070600B">
        <w:rPr>
          <w:lang w:val="en-GB"/>
        </w:rPr>
        <w:t xml:space="preserve">(2), pp.314–333. </w:t>
      </w:r>
    </w:p>
    <w:p w14:paraId="38E8D5F3" w14:textId="77777777" w:rsidR="0082364F" w:rsidRPr="0070600B" w:rsidRDefault="0082364F" w:rsidP="00CA35AB">
      <w:pPr>
        <w:pStyle w:val="NormalWeb"/>
        <w:spacing w:before="0" w:beforeAutospacing="0" w:after="240" w:afterAutospacing="0" w:line="480" w:lineRule="auto"/>
        <w:ind w:left="720" w:hanging="720"/>
        <w:contextualSpacing/>
      </w:pPr>
      <w:proofErr w:type="spellStart"/>
      <w:r w:rsidRPr="0070600B">
        <w:t>Lightowlers</w:t>
      </w:r>
      <w:proofErr w:type="spellEnd"/>
      <w:r w:rsidRPr="0070600B">
        <w:t xml:space="preserve">, C., (2018). Drunk and doubly deviant? The role of gender and intoxication in sentencing assault offences. </w:t>
      </w:r>
      <w:r w:rsidRPr="0070600B">
        <w:rPr>
          <w:i/>
          <w:iCs/>
        </w:rPr>
        <w:t>The British Journal of Criminology</w:t>
      </w:r>
      <w:r w:rsidRPr="0070600B">
        <w:t xml:space="preserve">, </w:t>
      </w:r>
      <w:r w:rsidRPr="0070600B">
        <w:rPr>
          <w:b/>
        </w:rPr>
        <w:t>59</w:t>
      </w:r>
      <w:r w:rsidRPr="0070600B">
        <w:t xml:space="preserve">(3), pp.693–717. </w:t>
      </w:r>
    </w:p>
    <w:p w14:paraId="5764ACD5"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Lloyd, A., (1995). </w:t>
      </w:r>
      <w:r w:rsidRPr="0070600B">
        <w:rPr>
          <w:rFonts w:ascii="Times New Roman" w:hAnsi="Times New Roman" w:cs="Times New Roman"/>
          <w:i/>
          <w:sz w:val="24"/>
          <w:szCs w:val="24"/>
        </w:rPr>
        <w:t xml:space="preserve">Doubly deviant, doubly </w:t>
      </w:r>
      <w:proofErr w:type="gramStart"/>
      <w:r w:rsidRPr="0070600B">
        <w:rPr>
          <w:rFonts w:ascii="Times New Roman" w:hAnsi="Times New Roman" w:cs="Times New Roman"/>
          <w:i/>
          <w:sz w:val="24"/>
          <w:szCs w:val="24"/>
        </w:rPr>
        <w:t>damned</w:t>
      </w:r>
      <w:proofErr w:type="gramEnd"/>
      <w:r w:rsidRPr="0070600B">
        <w:rPr>
          <w:rFonts w:ascii="Times New Roman" w:hAnsi="Times New Roman" w:cs="Times New Roman"/>
          <w:i/>
          <w:sz w:val="24"/>
          <w:szCs w:val="24"/>
        </w:rPr>
        <w:t>: society’s treatment of violent women</w:t>
      </w:r>
      <w:r w:rsidRPr="0070600B">
        <w:rPr>
          <w:rFonts w:ascii="Times New Roman" w:hAnsi="Times New Roman" w:cs="Times New Roman"/>
          <w:sz w:val="24"/>
          <w:szCs w:val="24"/>
        </w:rPr>
        <w:t>. Penguin Books.</w:t>
      </w:r>
    </w:p>
    <w:p w14:paraId="4C475440" w14:textId="77777777" w:rsidR="0082364F" w:rsidRPr="0070600B" w:rsidRDefault="0082364F" w:rsidP="00CA35AB">
      <w:pPr>
        <w:pStyle w:val="NormalWeb"/>
        <w:spacing w:before="0" w:beforeAutospacing="0" w:after="240" w:afterAutospacing="0" w:line="480" w:lineRule="auto"/>
        <w:ind w:left="720" w:hanging="720"/>
        <w:contextualSpacing/>
      </w:pPr>
      <w:r w:rsidRPr="0070600B">
        <w:t xml:space="preserve">Lombroso, C., (1895). </w:t>
      </w:r>
      <w:r w:rsidRPr="0070600B">
        <w:rPr>
          <w:i/>
        </w:rPr>
        <w:t>The female offender</w:t>
      </w:r>
      <w:r w:rsidRPr="0070600B">
        <w:t xml:space="preserve">. T. Fisher Unwin: London. </w:t>
      </w:r>
    </w:p>
    <w:p w14:paraId="6777F22A" w14:textId="77777777" w:rsidR="0082364F" w:rsidRPr="0070600B" w:rsidRDefault="0082364F" w:rsidP="00CA35AB">
      <w:pPr>
        <w:pStyle w:val="NormalWeb"/>
        <w:spacing w:before="0" w:beforeAutospacing="0" w:after="240" w:afterAutospacing="0" w:line="480" w:lineRule="auto"/>
        <w:ind w:left="720" w:hanging="720"/>
        <w:contextualSpacing/>
      </w:pPr>
      <w:r w:rsidRPr="0070600B">
        <w:t xml:space="preserve">Long, L., Salisbury, R., (2019). Black mixed-race men’s perceptions and experiences of the police. </w:t>
      </w:r>
      <w:r w:rsidRPr="0070600B">
        <w:rPr>
          <w:i/>
        </w:rPr>
        <w:t>Ethnic and Racial Studies</w:t>
      </w:r>
      <w:r w:rsidRPr="0070600B">
        <w:t xml:space="preserve">, </w:t>
      </w:r>
      <w:r w:rsidRPr="0070600B">
        <w:rPr>
          <w:b/>
        </w:rPr>
        <w:t>42</w:t>
      </w:r>
      <w:r w:rsidRPr="0070600B">
        <w:t>(2), pp.198–215.</w:t>
      </w:r>
    </w:p>
    <w:p w14:paraId="7F922A11" w14:textId="77777777" w:rsidR="0082364F" w:rsidRPr="0070600B" w:rsidRDefault="0082364F" w:rsidP="00CA35AB">
      <w:pPr>
        <w:pStyle w:val="NormalWeb"/>
        <w:spacing w:before="0" w:beforeAutospacing="0" w:after="240" w:afterAutospacing="0" w:line="480" w:lineRule="auto"/>
        <w:ind w:left="720" w:hanging="720"/>
        <w:contextualSpacing/>
      </w:pPr>
      <w:r w:rsidRPr="0070600B">
        <w:t xml:space="preserve">Long, L.J., (2021). The Ideal victim: a Critical Race Theory (CRT) Approach. </w:t>
      </w:r>
      <w:r w:rsidRPr="0070600B">
        <w:rPr>
          <w:i/>
          <w:iCs/>
        </w:rPr>
        <w:t>International Review of Victimology</w:t>
      </w:r>
      <w:r w:rsidRPr="0070600B">
        <w:t xml:space="preserve">, 27(3), pp.344–362. </w:t>
      </w:r>
    </w:p>
    <w:p w14:paraId="2564D533" w14:textId="77777777" w:rsidR="0082364F" w:rsidRPr="0070600B" w:rsidRDefault="0082364F" w:rsidP="00125C39">
      <w:pPr>
        <w:spacing w:line="360" w:lineRule="auto"/>
        <w:rPr>
          <w:rFonts w:ascii="Times New Roman" w:hAnsi="Times New Roman" w:cs="Times New Roman"/>
          <w:sz w:val="24"/>
          <w:szCs w:val="24"/>
        </w:rPr>
      </w:pPr>
      <w:bookmarkStart w:id="0" w:name="_Hlk150434140"/>
      <w:r w:rsidRPr="0070600B">
        <w:rPr>
          <w:rFonts w:ascii="Times New Roman" w:hAnsi="Times New Roman" w:cs="Times New Roman"/>
          <w:color w:val="3A3A3A"/>
          <w:sz w:val="24"/>
          <w:szCs w:val="24"/>
          <w:shd w:val="clear" w:color="auto" w:fill="FFFFFF"/>
        </w:rPr>
        <w:t xml:space="preserve">McGarry, J., Simpson, C. and Hinchliff-Smith, K. (2011) </w:t>
      </w:r>
      <w:bookmarkEnd w:id="0"/>
      <w:r w:rsidRPr="0070600B">
        <w:rPr>
          <w:rFonts w:ascii="Times New Roman" w:hAnsi="Times New Roman" w:cs="Times New Roman"/>
          <w:color w:val="3A3A3A"/>
          <w:sz w:val="24"/>
          <w:szCs w:val="24"/>
          <w:shd w:val="clear" w:color="auto" w:fill="FFFFFF"/>
        </w:rPr>
        <w:t>‘The impact of domestic abuse for older women: a review of the literature’, </w:t>
      </w:r>
      <w:r w:rsidRPr="0070600B">
        <w:rPr>
          <w:rFonts w:ascii="Times New Roman" w:hAnsi="Times New Roman" w:cs="Times New Roman"/>
          <w:i/>
          <w:iCs/>
          <w:color w:val="3A3A3A"/>
          <w:sz w:val="24"/>
          <w:szCs w:val="24"/>
          <w:shd w:val="clear" w:color="auto" w:fill="FFFFFF"/>
        </w:rPr>
        <w:t>Health &amp; social care in the community</w:t>
      </w:r>
      <w:r w:rsidRPr="0070600B">
        <w:rPr>
          <w:rFonts w:ascii="Times New Roman" w:hAnsi="Times New Roman" w:cs="Times New Roman"/>
          <w:color w:val="3A3A3A"/>
          <w:sz w:val="24"/>
          <w:szCs w:val="24"/>
          <w:shd w:val="clear" w:color="auto" w:fill="FFFFFF"/>
        </w:rPr>
        <w:t>. Accepted for publication 18 July 2010, 19(1), pp. 3–14. Available at: https://doi.org/10.1111/j.1365-2524.2010.00964.x.</w:t>
      </w:r>
    </w:p>
    <w:p w14:paraId="2853C54B" w14:textId="77777777" w:rsidR="0082364F" w:rsidRDefault="0082364F" w:rsidP="0082364F">
      <w:pPr>
        <w:pStyle w:val="NormalWeb"/>
        <w:spacing w:before="0" w:beforeAutospacing="0" w:after="240" w:afterAutospacing="0" w:line="360" w:lineRule="auto"/>
      </w:pPr>
      <w:r>
        <w:t xml:space="preserve">Ministry of Justice (2022). </w:t>
      </w:r>
      <w:r>
        <w:rPr>
          <w:i/>
          <w:iCs/>
        </w:rPr>
        <w:t>Women and the Criminal Justice System 2021</w:t>
      </w:r>
      <w:r>
        <w:t xml:space="preserve">. [online] GOV.UK. Available at: &lt;// </w:t>
      </w:r>
      <w:hyperlink r:id="rId8" w:history="1">
        <w:r w:rsidRPr="004965A0">
          <w:rPr>
            <w:rStyle w:val="Hyperlink"/>
          </w:rPr>
          <w:t>https://www.gov.uk/government/statistics/women-and-the-criminal-justice-system-2021/women-and-the-criminal-justice-system-2021//</w:t>
        </w:r>
      </w:hyperlink>
      <w:r>
        <w:t xml:space="preserve"> &gt; [Accessed 9 Nov. 23AD].</w:t>
      </w:r>
    </w:p>
    <w:p w14:paraId="30C497D4"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Pollak, O., (1950). </w:t>
      </w:r>
      <w:r w:rsidRPr="0070600B">
        <w:rPr>
          <w:rFonts w:ascii="Times New Roman" w:hAnsi="Times New Roman" w:cs="Times New Roman"/>
          <w:i/>
          <w:sz w:val="24"/>
          <w:szCs w:val="24"/>
        </w:rPr>
        <w:t>The criminality of women</w:t>
      </w:r>
      <w:r w:rsidRPr="0070600B">
        <w:rPr>
          <w:rFonts w:ascii="Times New Roman" w:hAnsi="Times New Roman" w:cs="Times New Roman"/>
          <w:sz w:val="24"/>
          <w:szCs w:val="24"/>
        </w:rPr>
        <w:t xml:space="preserve">. Philadelphia: University of Pennsylvania Press. </w:t>
      </w:r>
    </w:p>
    <w:p w14:paraId="010161BB"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Roxo, L., Bambra, C. and Perelman, J., (2020). Gender equality and gender inequalities in self-reported health: a longitudinal study of 27 European countries 2004 to 2016. </w:t>
      </w:r>
      <w:r w:rsidRPr="0070600B">
        <w:rPr>
          <w:rFonts w:ascii="Times New Roman" w:hAnsi="Times New Roman" w:cs="Times New Roman"/>
          <w:i/>
          <w:iCs/>
          <w:sz w:val="24"/>
          <w:szCs w:val="24"/>
        </w:rPr>
        <w:t>International Journal of Health Services</w:t>
      </w:r>
      <w:r w:rsidRPr="0070600B">
        <w:rPr>
          <w:rFonts w:ascii="Times New Roman" w:hAnsi="Times New Roman" w:cs="Times New Roman"/>
          <w:sz w:val="24"/>
          <w:szCs w:val="24"/>
        </w:rPr>
        <w:t xml:space="preserve">, </w:t>
      </w:r>
      <w:r w:rsidRPr="0070600B">
        <w:rPr>
          <w:rFonts w:ascii="Times New Roman" w:hAnsi="Times New Roman" w:cs="Times New Roman"/>
          <w:b/>
          <w:sz w:val="24"/>
          <w:szCs w:val="24"/>
        </w:rPr>
        <w:t>51</w:t>
      </w:r>
      <w:r w:rsidRPr="0070600B">
        <w:rPr>
          <w:rFonts w:ascii="Times New Roman" w:hAnsi="Times New Roman" w:cs="Times New Roman"/>
          <w:sz w:val="24"/>
          <w:szCs w:val="24"/>
        </w:rPr>
        <w:t xml:space="preserve">(2), p.002073142096034. </w:t>
      </w:r>
    </w:p>
    <w:p w14:paraId="2D0F01E0"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Sandman, T., (2021). Familiar felons: gendered characterisations and narrative tropes in media representations of offending women 1905–2015. </w:t>
      </w:r>
      <w:r w:rsidRPr="0070600B">
        <w:rPr>
          <w:rFonts w:ascii="Times New Roman" w:hAnsi="Times New Roman" w:cs="Times New Roman"/>
          <w:i/>
          <w:iCs/>
          <w:sz w:val="24"/>
          <w:szCs w:val="24"/>
        </w:rPr>
        <w:t>Crime, Media, Culture: An International Journal</w:t>
      </w:r>
      <w:r w:rsidRPr="0070600B">
        <w:rPr>
          <w:rFonts w:ascii="Times New Roman" w:hAnsi="Times New Roman" w:cs="Times New Roman"/>
          <w:sz w:val="24"/>
          <w:szCs w:val="24"/>
        </w:rPr>
        <w:t xml:space="preserve">, </w:t>
      </w:r>
      <w:r w:rsidRPr="0070600B">
        <w:rPr>
          <w:rFonts w:ascii="Times New Roman" w:hAnsi="Times New Roman" w:cs="Times New Roman"/>
          <w:b/>
          <w:sz w:val="24"/>
          <w:szCs w:val="24"/>
        </w:rPr>
        <w:t>18</w:t>
      </w:r>
      <w:r w:rsidRPr="0070600B">
        <w:rPr>
          <w:rFonts w:ascii="Times New Roman" w:hAnsi="Times New Roman" w:cs="Times New Roman"/>
          <w:sz w:val="24"/>
          <w:szCs w:val="24"/>
        </w:rPr>
        <w:t>(2), p.174165902110055.</w:t>
      </w:r>
    </w:p>
    <w:p w14:paraId="33C7B808" w14:textId="77777777" w:rsidR="0082364F" w:rsidRPr="0070600B" w:rsidRDefault="0082364F" w:rsidP="00CA35AB">
      <w:pPr>
        <w:spacing w:after="0" w:line="480" w:lineRule="auto"/>
        <w:ind w:left="720" w:hanging="720"/>
        <w:contextualSpacing/>
        <w:rPr>
          <w:rFonts w:ascii="Times New Roman" w:hAnsi="Times New Roman" w:cs="Times New Roman"/>
          <w:sz w:val="24"/>
          <w:szCs w:val="24"/>
        </w:rPr>
      </w:pPr>
      <w:r w:rsidRPr="0070600B">
        <w:rPr>
          <w:rFonts w:ascii="Times New Roman" w:hAnsi="Times New Roman" w:cs="Times New Roman"/>
          <w:sz w:val="24"/>
          <w:szCs w:val="24"/>
        </w:rPr>
        <w:t xml:space="preserve">Seal, L., 2022. Introduction. In: </w:t>
      </w:r>
      <w:r w:rsidRPr="0070600B">
        <w:rPr>
          <w:rFonts w:ascii="Times New Roman" w:hAnsi="Times New Roman" w:cs="Times New Roman"/>
          <w:i/>
          <w:sz w:val="24"/>
          <w:szCs w:val="24"/>
        </w:rPr>
        <w:t>Gender, Crime and Justice</w:t>
      </w:r>
      <w:r w:rsidRPr="0070600B">
        <w:rPr>
          <w:rFonts w:ascii="Times New Roman" w:hAnsi="Times New Roman" w:cs="Times New Roman"/>
          <w:sz w:val="24"/>
          <w:szCs w:val="24"/>
        </w:rPr>
        <w:t>. Palgrave Macmillan, Cham, pp.1-24.</w:t>
      </w:r>
    </w:p>
    <w:p w14:paraId="0FEBDF17" w14:textId="77777777" w:rsidR="0082364F" w:rsidRPr="0070600B" w:rsidRDefault="0082364F" w:rsidP="00CA35AB">
      <w:pPr>
        <w:pStyle w:val="NormalWeb"/>
        <w:spacing w:before="0" w:beforeAutospacing="0" w:after="240" w:afterAutospacing="0" w:line="480" w:lineRule="auto"/>
        <w:ind w:left="720" w:hanging="720"/>
        <w:contextualSpacing/>
        <w:rPr>
          <w:lang w:val="en-GB"/>
        </w:rPr>
      </w:pPr>
      <w:r w:rsidRPr="0070600B">
        <w:rPr>
          <w:lang w:val="en-GB"/>
        </w:rPr>
        <w:t xml:space="preserve">Singh, T., (2021). </w:t>
      </w:r>
      <w:r w:rsidRPr="0070600B">
        <w:rPr>
          <w:i/>
          <w:iCs/>
          <w:lang w:val="en-GB"/>
        </w:rPr>
        <w:t>Society calls norm</w:t>
      </w:r>
      <w:r w:rsidRPr="0070600B">
        <w:rPr>
          <w:i/>
          <w:iCs/>
          <w:lang w:val="en-GB"/>
        </w:rPr>
        <w:noBreakHyphen/>
        <w:t>defying women ‘deviant.’ Why has this myth continued?</w:t>
      </w:r>
      <w:r w:rsidRPr="0070600B">
        <w:rPr>
          <w:lang w:val="en-GB"/>
        </w:rPr>
        <w:t xml:space="preserve"> [Online] www.theswaddle.com. Available at: &lt;// </w:t>
      </w:r>
      <w:hyperlink r:id="rId9" w:history="1">
        <w:r w:rsidRPr="0070600B">
          <w:rPr>
            <w:rStyle w:val="Hyperlink"/>
            <w:lang w:val="en-GB"/>
          </w:rPr>
          <w:t>https://www.theswaddle.com/society-calls-norm-defying-women-deviant-why-has-this-myth-continued</w:t>
        </w:r>
      </w:hyperlink>
      <w:r w:rsidRPr="0070600B">
        <w:rPr>
          <w:lang w:val="en-GB"/>
        </w:rPr>
        <w:t xml:space="preserve"> //&gt;  [Accessed 29/10/2023].</w:t>
      </w:r>
    </w:p>
    <w:p w14:paraId="66DA3ED2" w14:textId="77777777" w:rsidR="0082364F" w:rsidRPr="0070600B" w:rsidRDefault="0082364F" w:rsidP="00CA35AB">
      <w:pPr>
        <w:pStyle w:val="NormalWeb"/>
        <w:spacing w:before="0" w:beforeAutospacing="0" w:after="240" w:afterAutospacing="0" w:line="480" w:lineRule="auto"/>
        <w:ind w:left="720" w:hanging="720"/>
        <w:contextualSpacing/>
        <w:rPr>
          <w:lang w:val="en-GB"/>
        </w:rPr>
      </w:pPr>
      <w:r w:rsidRPr="0070600B">
        <w:rPr>
          <w:lang w:val="en-GB"/>
        </w:rPr>
        <w:t xml:space="preserve"> Solé-</w:t>
      </w:r>
      <w:proofErr w:type="spellStart"/>
      <w:r w:rsidRPr="0070600B">
        <w:rPr>
          <w:lang w:val="en-GB"/>
        </w:rPr>
        <w:t>Auró</w:t>
      </w:r>
      <w:proofErr w:type="spellEnd"/>
      <w:r w:rsidRPr="0070600B">
        <w:rPr>
          <w:lang w:val="en-GB"/>
        </w:rPr>
        <w:t xml:space="preserve">, A., </w:t>
      </w:r>
      <w:proofErr w:type="spellStart"/>
      <w:r w:rsidRPr="0070600B">
        <w:rPr>
          <w:lang w:val="en-GB"/>
        </w:rPr>
        <w:t>Jasilionis</w:t>
      </w:r>
      <w:proofErr w:type="spellEnd"/>
      <w:r w:rsidRPr="0070600B">
        <w:rPr>
          <w:lang w:val="en-GB"/>
        </w:rPr>
        <w:t xml:space="preserve">, D., Li, P. and </w:t>
      </w:r>
      <w:proofErr w:type="spellStart"/>
      <w:r w:rsidRPr="0070600B">
        <w:rPr>
          <w:lang w:val="en-GB"/>
        </w:rPr>
        <w:t>Oksuzyan</w:t>
      </w:r>
      <w:proofErr w:type="spellEnd"/>
      <w:r w:rsidRPr="0070600B">
        <w:rPr>
          <w:lang w:val="en-GB"/>
        </w:rPr>
        <w:t xml:space="preserve">, A., (2018). Do women in Europe live longer and happier lives than men? </w:t>
      </w:r>
      <w:r w:rsidRPr="0070600B">
        <w:rPr>
          <w:i/>
          <w:iCs/>
          <w:lang w:val="en-GB"/>
        </w:rPr>
        <w:t>European Journal of Public Health</w:t>
      </w:r>
      <w:r w:rsidRPr="0070600B">
        <w:rPr>
          <w:lang w:val="en-GB"/>
        </w:rPr>
        <w:t xml:space="preserve">, </w:t>
      </w:r>
      <w:r w:rsidRPr="0070600B">
        <w:rPr>
          <w:b/>
          <w:lang w:val="en-GB"/>
        </w:rPr>
        <w:t>28</w:t>
      </w:r>
      <w:r w:rsidRPr="0070600B">
        <w:rPr>
          <w:lang w:val="en-GB"/>
        </w:rPr>
        <w:t xml:space="preserve">(5), pp.847–852. </w:t>
      </w:r>
    </w:p>
    <w:p w14:paraId="5DA8EF18" w14:textId="77777777" w:rsidR="0082364F" w:rsidRPr="0070600B" w:rsidRDefault="0082364F" w:rsidP="00CA35AB">
      <w:pPr>
        <w:pStyle w:val="NormalWeb"/>
        <w:spacing w:before="0" w:beforeAutospacing="0" w:after="240" w:afterAutospacing="0" w:line="480" w:lineRule="auto"/>
        <w:ind w:left="720" w:hanging="720"/>
        <w:contextualSpacing/>
        <w:rPr>
          <w:lang w:val="en-GB"/>
        </w:rPr>
      </w:pPr>
      <w:r w:rsidRPr="0070600B">
        <w:rPr>
          <w:lang w:val="en-GB"/>
        </w:rPr>
        <w:t>Stock, K., 2021</w:t>
      </w:r>
      <w:r w:rsidRPr="0070600B">
        <w:rPr>
          <w:i/>
          <w:lang w:val="en-GB"/>
        </w:rPr>
        <w:t>. Material girls: why reality matters for feminism</w:t>
      </w:r>
      <w:r w:rsidRPr="0070600B">
        <w:rPr>
          <w:lang w:val="en-GB"/>
        </w:rPr>
        <w:t>. London: Fleet books.</w:t>
      </w:r>
    </w:p>
    <w:p w14:paraId="34E943FC" w14:textId="77777777" w:rsidR="0082364F" w:rsidRPr="0070600B" w:rsidRDefault="0082364F" w:rsidP="00CA35AB">
      <w:pPr>
        <w:pStyle w:val="NormalWeb"/>
        <w:spacing w:before="0" w:beforeAutospacing="0" w:after="240" w:afterAutospacing="0" w:line="480" w:lineRule="auto"/>
        <w:ind w:left="720" w:hanging="720"/>
        <w:contextualSpacing/>
        <w:rPr>
          <w:lang w:val="en-GB"/>
        </w:rPr>
      </w:pPr>
      <w:r w:rsidRPr="0070600B">
        <w:rPr>
          <w:lang w:val="en-GB"/>
        </w:rPr>
        <w:t xml:space="preserve">Thomas W.I., (1923). </w:t>
      </w:r>
      <w:r w:rsidRPr="0070600B">
        <w:rPr>
          <w:i/>
          <w:lang w:val="en-GB"/>
        </w:rPr>
        <w:t xml:space="preserve">The Unadjusted Girl. With Cases and Standpoint for </w:t>
      </w:r>
      <w:proofErr w:type="spellStart"/>
      <w:r w:rsidRPr="0070600B">
        <w:rPr>
          <w:i/>
          <w:lang w:val="en-GB"/>
        </w:rPr>
        <w:t>Behavioral</w:t>
      </w:r>
      <w:proofErr w:type="spellEnd"/>
      <w:r w:rsidRPr="0070600B">
        <w:rPr>
          <w:i/>
          <w:lang w:val="en-GB"/>
        </w:rPr>
        <w:t xml:space="preserve"> Analysis</w:t>
      </w:r>
      <w:r w:rsidRPr="0070600B">
        <w:rPr>
          <w:lang w:val="en-GB"/>
        </w:rPr>
        <w:t>. London: Harper and Row.</w:t>
      </w:r>
    </w:p>
    <w:p w14:paraId="73E1F356" w14:textId="77777777" w:rsidR="0082364F" w:rsidRPr="0070600B" w:rsidRDefault="0082364F" w:rsidP="00CA35AB">
      <w:pPr>
        <w:pStyle w:val="NormalWeb"/>
        <w:spacing w:before="0" w:beforeAutospacing="0" w:after="240" w:afterAutospacing="0" w:line="480" w:lineRule="auto"/>
        <w:ind w:left="720" w:hanging="720"/>
        <w:contextualSpacing/>
        <w:rPr>
          <w:lang w:val="en-GB"/>
        </w:rPr>
      </w:pPr>
      <w:r w:rsidRPr="0070600B">
        <w:rPr>
          <w:lang w:val="en-GB"/>
        </w:rPr>
        <w:t xml:space="preserve">Thomas, W.I., (1907). </w:t>
      </w:r>
      <w:r w:rsidRPr="0070600B">
        <w:rPr>
          <w:i/>
          <w:lang w:val="en-GB"/>
        </w:rPr>
        <w:t>Sex and Society</w:t>
      </w:r>
      <w:r w:rsidRPr="0070600B">
        <w:rPr>
          <w:lang w:val="en-GB"/>
        </w:rPr>
        <w:t xml:space="preserve">, </w:t>
      </w:r>
      <w:r w:rsidRPr="0070600B">
        <w:rPr>
          <w:i/>
          <w:lang w:val="en-GB"/>
        </w:rPr>
        <w:t>First Edition.</w:t>
      </w:r>
      <w:r w:rsidRPr="0070600B">
        <w:rPr>
          <w:lang w:val="en-GB"/>
        </w:rPr>
        <w:t xml:space="preserve"> 1st World Library, Fairfield.</w:t>
      </w:r>
    </w:p>
    <w:p w14:paraId="3E410D73" w14:textId="77777777" w:rsidR="0082364F" w:rsidRPr="0070600B" w:rsidRDefault="0082364F" w:rsidP="00CA35AB">
      <w:pPr>
        <w:pStyle w:val="NormalWeb"/>
        <w:spacing w:before="0" w:beforeAutospacing="0" w:after="240" w:afterAutospacing="0" w:line="480" w:lineRule="auto"/>
        <w:ind w:left="720" w:hanging="720"/>
        <w:contextualSpacing/>
        <w:rPr>
          <w:lang w:val="en-GB"/>
        </w:rPr>
      </w:pPr>
      <w:r w:rsidRPr="0070600B">
        <w:rPr>
          <w:lang w:val="en-GB"/>
        </w:rPr>
        <w:t xml:space="preserve">Vaes, J., Cristoforetti, G., </w:t>
      </w:r>
      <w:proofErr w:type="spellStart"/>
      <w:r w:rsidRPr="0070600B">
        <w:rPr>
          <w:lang w:val="en-GB"/>
        </w:rPr>
        <w:t>Ruzzante</w:t>
      </w:r>
      <w:proofErr w:type="spellEnd"/>
      <w:r w:rsidRPr="0070600B">
        <w:rPr>
          <w:lang w:val="en-GB"/>
        </w:rPr>
        <w:t xml:space="preserve">, D., </w:t>
      </w:r>
      <w:proofErr w:type="spellStart"/>
      <w:r w:rsidRPr="0070600B">
        <w:rPr>
          <w:lang w:val="en-GB"/>
        </w:rPr>
        <w:t>Cogoni</w:t>
      </w:r>
      <w:proofErr w:type="spellEnd"/>
      <w:r w:rsidRPr="0070600B">
        <w:rPr>
          <w:lang w:val="en-GB"/>
        </w:rPr>
        <w:t xml:space="preserve">, C. and Mazza, V., (2019). Assessing neural responses towards objectified human targets and objects to identify processes of sexual objectification that go beyond the metaphor. </w:t>
      </w:r>
      <w:r w:rsidRPr="0070600B">
        <w:rPr>
          <w:i/>
          <w:iCs/>
          <w:lang w:val="en-GB"/>
        </w:rPr>
        <w:t>Scientific Reports</w:t>
      </w:r>
      <w:r w:rsidRPr="0070600B">
        <w:rPr>
          <w:lang w:val="en-GB"/>
        </w:rPr>
        <w:t xml:space="preserve">, </w:t>
      </w:r>
      <w:r w:rsidRPr="0070600B">
        <w:rPr>
          <w:b/>
          <w:lang w:val="en-GB"/>
        </w:rPr>
        <w:t>9</w:t>
      </w:r>
      <w:r w:rsidRPr="0070600B">
        <w:rPr>
          <w:lang w:val="en-GB"/>
        </w:rPr>
        <w:t>(1). DOI: 10.1038/s41598-019-42928-x.</w:t>
      </w:r>
    </w:p>
    <w:p w14:paraId="60ADBB22" w14:textId="77777777" w:rsidR="0082364F" w:rsidRPr="0070600B" w:rsidRDefault="0082364F" w:rsidP="00CA35AB">
      <w:pPr>
        <w:pStyle w:val="NormalWeb"/>
        <w:spacing w:before="0" w:beforeAutospacing="0" w:after="240" w:afterAutospacing="0" w:line="480" w:lineRule="auto"/>
        <w:ind w:left="720" w:hanging="720"/>
        <w:contextualSpacing/>
        <w:rPr>
          <w:lang w:val="en-GB"/>
        </w:rPr>
      </w:pPr>
      <w:proofErr w:type="spellStart"/>
      <w:r w:rsidRPr="0070600B">
        <w:rPr>
          <w:lang w:val="en-GB"/>
        </w:rPr>
        <w:t>Zempi</w:t>
      </w:r>
      <w:proofErr w:type="spellEnd"/>
      <w:r w:rsidRPr="0070600B">
        <w:rPr>
          <w:lang w:val="en-GB"/>
        </w:rPr>
        <w:t xml:space="preserve">, I., (2018). The lived experiences of veiled Muslim women as ‘undeserving’ victims of Islamophobia. In: Duggan M (ed.) </w:t>
      </w:r>
      <w:r w:rsidRPr="0070600B">
        <w:rPr>
          <w:rStyle w:val="Emphasis"/>
          <w:lang w:val="en-GB"/>
        </w:rPr>
        <w:t>Revisiting the Ideal Victim</w:t>
      </w:r>
      <w:r w:rsidRPr="0070600B">
        <w:rPr>
          <w:lang w:val="en-GB"/>
        </w:rPr>
        <w:t>. Bristol: Policy Press, pp.63–82.</w:t>
      </w:r>
    </w:p>
    <w:p w14:paraId="09F28522" w14:textId="38696894" w:rsidR="00010D5A" w:rsidRDefault="00010D5A" w:rsidP="00010D5A"/>
    <w:sectPr w:rsidR="00010D5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F7988" w14:textId="77777777" w:rsidR="00E9706E" w:rsidRDefault="00E9706E" w:rsidP="005D0F72">
      <w:pPr>
        <w:spacing w:after="0" w:line="240" w:lineRule="auto"/>
      </w:pPr>
      <w:r>
        <w:separator/>
      </w:r>
    </w:p>
  </w:endnote>
  <w:endnote w:type="continuationSeparator" w:id="0">
    <w:p w14:paraId="4E0B4B0A" w14:textId="77777777" w:rsidR="00E9706E" w:rsidRDefault="00E9706E" w:rsidP="005D0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B6EDD" w14:textId="77777777" w:rsidR="00E9706E" w:rsidRDefault="00E9706E" w:rsidP="005D0F72">
      <w:pPr>
        <w:spacing w:after="0" w:line="240" w:lineRule="auto"/>
      </w:pPr>
      <w:r>
        <w:separator/>
      </w:r>
    </w:p>
  </w:footnote>
  <w:footnote w:type="continuationSeparator" w:id="0">
    <w:p w14:paraId="14D7F668" w14:textId="77777777" w:rsidR="00E9706E" w:rsidRDefault="00E9706E" w:rsidP="005D0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6B17E" w14:textId="7423863E" w:rsidR="005D0F72" w:rsidRDefault="005D0F72">
    <w:pPr>
      <w:pStyle w:val="Header"/>
    </w:pPr>
    <w:r>
      <w:t xml:space="preserve">Ella Jade Smith </w:t>
    </w:r>
  </w:p>
  <w:p w14:paraId="26435B8E" w14:textId="08735B08" w:rsidR="005D0F72" w:rsidRDefault="005D0F72">
    <w:pPr>
      <w:pStyle w:val="Header"/>
    </w:pPr>
    <w:r>
      <w:t>10/</w:t>
    </w:r>
    <w:r w:rsidR="00DE667D">
      <w:t>11/23</w:t>
    </w:r>
  </w:p>
  <w:p w14:paraId="30FF22EC" w14:textId="3C696132" w:rsidR="00DE667D" w:rsidRDefault="00291432">
    <w:pPr>
      <w:pStyle w:val="Header"/>
    </w:pPr>
    <w:r>
      <w:t>Gender, Race, Religion and Crime</w:t>
    </w:r>
  </w:p>
  <w:p w14:paraId="0F76A913" w14:textId="05E38994" w:rsidR="00291432" w:rsidRDefault="00291432">
    <w:pPr>
      <w:pStyle w:val="Header"/>
    </w:pPr>
    <w:r>
      <w:t>Assignment 1</w:t>
    </w:r>
  </w:p>
  <w:p w14:paraId="75F395B4" w14:textId="4C9D29A9" w:rsidR="00291432" w:rsidRDefault="00291432">
    <w:pPr>
      <w:pStyle w:val="Header"/>
    </w:pPr>
    <w:r>
      <w:t>BMCP6001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82319"/>
    <w:multiLevelType w:val="hybridMultilevel"/>
    <w:tmpl w:val="C9BCB880"/>
    <w:lvl w:ilvl="0" w:tplc="379833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0176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13F"/>
    <w:rsid w:val="00010D5A"/>
    <w:rsid w:val="0001423B"/>
    <w:rsid w:val="00033DB2"/>
    <w:rsid w:val="0005097F"/>
    <w:rsid w:val="000519A3"/>
    <w:rsid w:val="000A20A5"/>
    <w:rsid w:val="000B5425"/>
    <w:rsid w:val="000F1B2F"/>
    <w:rsid w:val="000F48E2"/>
    <w:rsid w:val="00120DF5"/>
    <w:rsid w:val="00123ED3"/>
    <w:rsid w:val="00125AF2"/>
    <w:rsid w:val="00125C39"/>
    <w:rsid w:val="0019674B"/>
    <w:rsid w:val="001A1F5E"/>
    <w:rsid w:val="001A67D2"/>
    <w:rsid w:val="001B7AB5"/>
    <w:rsid w:val="001E5DD2"/>
    <w:rsid w:val="001E75A4"/>
    <w:rsid w:val="002026BF"/>
    <w:rsid w:val="00202D70"/>
    <w:rsid w:val="00234005"/>
    <w:rsid w:val="00252430"/>
    <w:rsid w:val="00254859"/>
    <w:rsid w:val="002619D3"/>
    <w:rsid w:val="00277884"/>
    <w:rsid w:val="00291432"/>
    <w:rsid w:val="002C0210"/>
    <w:rsid w:val="002D03FA"/>
    <w:rsid w:val="00305CFA"/>
    <w:rsid w:val="003272BE"/>
    <w:rsid w:val="00385584"/>
    <w:rsid w:val="00392B00"/>
    <w:rsid w:val="003E478A"/>
    <w:rsid w:val="004246F5"/>
    <w:rsid w:val="00472A2E"/>
    <w:rsid w:val="004A3A5C"/>
    <w:rsid w:val="004B3EF3"/>
    <w:rsid w:val="004C1D22"/>
    <w:rsid w:val="004F4CDE"/>
    <w:rsid w:val="00513BD3"/>
    <w:rsid w:val="00554DA7"/>
    <w:rsid w:val="0056108E"/>
    <w:rsid w:val="00576688"/>
    <w:rsid w:val="00581578"/>
    <w:rsid w:val="005D0F72"/>
    <w:rsid w:val="005F4E5E"/>
    <w:rsid w:val="005F513F"/>
    <w:rsid w:val="005F6E14"/>
    <w:rsid w:val="006069DE"/>
    <w:rsid w:val="006252A3"/>
    <w:rsid w:val="0064767D"/>
    <w:rsid w:val="00665D42"/>
    <w:rsid w:val="00682BC3"/>
    <w:rsid w:val="00693402"/>
    <w:rsid w:val="00697153"/>
    <w:rsid w:val="006C1532"/>
    <w:rsid w:val="0070600B"/>
    <w:rsid w:val="00726693"/>
    <w:rsid w:val="007303F7"/>
    <w:rsid w:val="0074692D"/>
    <w:rsid w:val="00747DDF"/>
    <w:rsid w:val="00757B4D"/>
    <w:rsid w:val="00771309"/>
    <w:rsid w:val="007B26CD"/>
    <w:rsid w:val="007B5DB6"/>
    <w:rsid w:val="007D3EBD"/>
    <w:rsid w:val="007E0A1C"/>
    <w:rsid w:val="00807113"/>
    <w:rsid w:val="008154FA"/>
    <w:rsid w:val="008205E3"/>
    <w:rsid w:val="0082364F"/>
    <w:rsid w:val="008252F2"/>
    <w:rsid w:val="0083708D"/>
    <w:rsid w:val="00843838"/>
    <w:rsid w:val="0087421E"/>
    <w:rsid w:val="00877364"/>
    <w:rsid w:val="008839DB"/>
    <w:rsid w:val="008E0DFC"/>
    <w:rsid w:val="008E5DA9"/>
    <w:rsid w:val="008F2D34"/>
    <w:rsid w:val="008F7352"/>
    <w:rsid w:val="00900843"/>
    <w:rsid w:val="009058D3"/>
    <w:rsid w:val="00906F88"/>
    <w:rsid w:val="009108F2"/>
    <w:rsid w:val="00944AB7"/>
    <w:rsid w:val="00951D03"/>
    <w:rsid w:val="00966F50"/>
    <w:rsid w:val="009B2308"/>
    <w:rsid w:val="009B6642"/>
    <w:rsid w:val="009B6CD0"/>
    <w:rsid w:val="00A04172"/>
    <w:rsid w:val="00A15656"/>
    <w:rsid w:val="00A57F09"/>
    <w:rsid w:val="00A864B4"/>
    <w:rsid w:val="00AC6A7E"/>
    <w:rsid w:val="00AE06DD"/>
    <w:rsid w:val="00AF042D"/>
    <w:rsid w:val="00AF1690"/>
    <w:rsid w:val="00B14EA7"/>
    <w:rsid w:val="00B26557"/>
    <w:rsid w:val="00B37C06"/>
    <w:rsid w:val="00B712FB"/>
    <w:rsid w:val="00BC45C1"/>
    <w:rsid w:val="00C23E0D"/>
    <w:rsid w:val="00C30866"/>
    <w:rsid w:val="00C66E6B"/>
    <w:rsid w:val="00C93910"/>
    <w:rsid w:val="00CA0326"/>
    <w:rsid w:val="00CA34EF"/>
    <w:rsid w:val="00CA35AB"/>
    <w:rsid w:val="00CC2383"/>
    <w:rsid w:val="00CD50C2"/>
    <w:rsid w:val="00D35C7B"/>
    <w:rsid w:val="00D37EA6"/>
    <w:rsid w:val="00D55A35"/>
    <w:rsid w:val="00D647BE"/>
    <w:rsid w:val="00D648D5"/>
    <w:rsid w:val="00D71D46"/>
    <w:rsid w:val="00D8708D"/>
    <w:rsid w:val="00D876CC"/>
    <w:rsid w:val="00D96CCB"/>
    <w:rsid w:val="00DC1AAD"/>
    <w:rsid w:val="00DC6CC5"/>
    <w:rsid w:val="00DE1272"/>
    <w:rsid w:val="00DE667D"/>
    <w:rsid w:val="00E3096C"/>
    <w:rsid w:val="00E6434F"/>
    <w:rsid w:val="00E843F9"/>
    <w:rsid w:val="00E9706E"/>
    <w:rsid w:val="00EA1AC3"/>
    <w:rsid w:val="00EB6BB2"/>
    <w:rsid w:val="00F3638F"/>
    <w:rsid w:val="00F469AC"/>
    <w:rsid w:val="00F716FD"/>
    <w:rsid w:val="00F908BB"/>
    <w:rsid w:val="00FA4A0A"/>
    <w:rsid w:val="00FB6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54C7B"/>
  <w15:chartTrackingRefBased/>
  <w15:docId w15:val="{8581D866-E833-4213-BF2C-F1584B83C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35A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Emphasis">
    <w:name w:val="Emphasis"/>
    <w:basedOn w:val="DefaultParagraphFont"/>
    <w:uiPriority w:val="20"/>
    <w:qFormat/>
    <w:rsid w:val="00CA35AB"/>
    <w:rPr>
      <w:i/>
      <w:iCs/>
    </w:rPr>
  </w:style>
  <w:style w:type="character" w:styleId="Hyperlink">
    <w:name w:val="Hyperlink"/>
    <w:basedOn w:val="DefaultParagraphFont"/>
    <w:uiPriority w:val="99"/>
    <w:unhideWhenUsed/>
    <w:rsid w:val="00CA35AB"/>
    <w:rPr>
      <w:color w:val="0563C1" w:themeColor="hyperlink"/>
      <w:u w:val="single"/>
    </w:rPr>
  </w:style>
  <w:style w:type="paragraph" w:styleId="Header">
    <w:name w:val="header"/>
    <w:basedOn w:val="Normal"/>
    <w:link w:val="HeaderChar"/>
    <w:uiPriority w:val="99"/>
    <w:unhideWhenUsed/>
    <w:rsid w:val="005D0F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F72"/>
  </w:style>
  <w:style w:type="paragraph" w:styleId="Footer">
    <w:name w:val="footer"/>
    <w:basedOn w:val="Normal"/>
    <w:link w:val="FooterChar"/>
    <w:uiPriority w:val="99"/>
    <w:unhideWhenUsed/>
    <w:rsid w:val="005D0F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F72"/>
  </w:style>
  <w:style w:type="paragraph" w:styleId="ListParagraph">
    <w:name w:val="List Paragraph"/>
    <w:basedOn w:val="Normal"/>
    <w:uiPriority w:val="34"/>
    <w:qFormat/>
    <w:rsid w:val="00DC1AAD"/>
    <w:pPr>
      <w:ind w:left="720"/>
      <w:contextualSpacing/>
    </w:pPr>
  </w:style>
  <w:style w:type="character" w:styleId="UnresolvedMention">
    <w:name w:val="Unresolved Mention"/>
    <w:basedOn w:val="DefaultParagraphFont"/>
    <w:uiPriority w:val="99"/>
    <w:semiHidden/>
    <w:unhideWhenUsed/>
    <w:rsid w:val="008236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708339">
      <w:bodyDiv w:val="1"/>
      <w:marLeft w:val="0"/>
      <w:marRight w:val="0"/>
      <w:marTop w:val="0"/>
      <w:marBottom w:val="0"/>
      <w:divBdr>
        <w:top w:val="none" w:sz="0" w:space="0" w:color="auto"/>
        <w:left w:val="none" w:sz="0" w:space="0" w:color="auto"/>
        <w:bottom w:val="none" w:sz="0" w:space="0" w:color="auto"/>
        <w:right w:val="none" w:sz="0" w:space="0" w:color="auto"/>
      </w:divBdr>
      <w:divsChild>
        <w:div w:id="1910311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women-and-the-criminal-justice-system-2021/women-and-the-criminal-justice-system-2021//" TargetMode="External"/><Relationship Id="rId3" Type="http://schemas.openxmlformats.org/officeDocument/2006/relationships/settings" Target="settings.xml"/><Relationship Id="rId7" Type="http://schemas.openxmlformats.org/officeDocument/2006/relationships/hyperlink" Target="https://doi.org/10.1080/10282580.2015.102563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eswaddle.com/society-calls-norm-defying-women-deviant-why-has-this-myth-continu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TotalTime>
  <Pages>10</Pages>
  <Words>3022</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Smith</dc:creator>
  <cp:keywords/>
  <dc:description/>
  <cp:lastModifiedBy>Ella Smith</cp:lastModifiedBy>
  <cp:revision>134</cp:revision>
  <dcterms:created xsi:type="dcterms:W3CDTF">2023-11-07T13:49:00Z</dcterms:created>
  <dcterms:modified xsi:type="dcterms:W3CDTF">2023-11-09T16:34:00Z</dcterms:modified>
</cp:coreProperties>
</file>