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5390A3" w14:textId="77777777" w:rsidR="009A32F6" w:rsidRDefault="009A32F6" w:rsidP="009A32F6">
      <w:pPr>
        <w:pStyle w:val="Title"/>
        <w:jc w:val="center"/>
      </w:pPr>
      <w:r>
        <w:fldChar w:fldCharType="begin"/>
      </w:r>
      <w:r>
        <w:instrText xml:space="preserve"> INCLUDEPICTURE "https://encrypted-tbn0.gstatic.com/images?q=tbn:ANd9GcQrEgTFeN64ySJnKQJda8-t9eAsREGobN41GQ&amp;s" \* MERGEFORMATINET </w:instrText>
      </w:r>
      <w:r>
        <w:fldChar w:fldCharType="separate"/>
      </w:r>
      <w:r>
        <w:rPr>
          <w:noProof/>
        </w:rPr>
        <w:drawing>
          <wp:inline distT="0" distB="0" distL="0" distR="0" wp14:anchorId="192ABDE4" wp14:editId="17C39D30">
            <wp:extent cx="2673927" cy="1067764"/>
            <wp:effectExtent l="0" t="0" r="0" b="0"/>
            <wp:docPr id="2130476773" name="Picture 1" descr="PREVENT Duty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 Duty Polic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5287" cy="1076294"/>
                    </a:xfrm>
                    <a:prstGeom prst="rect">
                      <a:avLst/>
                    </a:prstGeom>
                    <a:noFill/>
                    <a:ln>
                      <a:noFill/>
                    </a:ln>
                  </pic:spPr>
                </pic:pic>
              </a:graphicData>
            </a:graphic>
          </wp:inline>
        </w:drawing>
      </w:r>
      <w:r>
        <w:fldChar w:fldCharType="end"/>
      </w:r>
    </w:p>
    <w:p w14:paraId="55E09182" w14:textId="77777777" w:rsidR="009A32F6" w:rsidRPr="00E10BA4" w:rsidRDefault="009A32F6" w:rsidP="009A32F6">
      <w:pPr>
        <w:pStyle w:val="Title"/>
        <w:jc w:val="center"/>
        <w:rPr>
          <w:sz w:val="28"/>
          <w:szCs w:val="28"/>
        </w:rPr>
      </w:pPr>
      <w:r>
        <w:br/>
      </w:r>
      <w:r>
        <w:br/>
      </w:r>
      <w:r>
        <w:br/>
      </w:r>
      <w:r w:rsidRPr="00E10BA4">
        <w:rPr>
          <w:sz w:val="28"/>
          <w:szCs w:val="28"/>
        </w:rPr>
        <w:t>BA (Hons) Leadership and Management Skills for the Workplace</w:t>
      </w:r>
    </w:p>
    <w:p w14:paraId="233B0F54" w14:textId="77777777" w:rsidR="009A32F6" w:rsidRPr="00E10BA4" w:rsidRDefault="009A32F6" w:rsidP="009A32F6">
      <w:pPr>
        <w:pStyle w:val="Title"/>
        <w:jc w:val="center"/>
        <w:rPr>
          <w:sz w:val="28"/>
          <w:szCs w:val="28"/>
        </w:rPr>
      </w:pPr>
      <w:bookmarkStart w:id="0" w:name="OLE_LINK1"/>
      <w:r w:rsidRPr="00E10BA4">
        <w:rPr>
          <w:sz w:val="28"/>
          <w:szCs w:val="28"/>
        </w:rPr>
        <w:br/>
        <w:t>Developing and Managing Individuals and Teams</w:t>
      </w:r>
    </w:p>
    <w:bookmarkEnd w:id="0"/>
    <w:p w14:paraId="2BC7E0F5" w14:textId="77777777" w:rsidR="009A32F6" w:rsidRPr="00E10BA4" w:rsidRDefault="009A32F6" w:rsidP="009A32F6">
      <w:pPr>
        <w:pStyle w:val="Title"/>
        <w:jc w:val="center"/>
        <w:rPr>
          <w:sz w:val="28"/>
          <w:szCs w:val="28"/>
        </w:rPr>
      </w:pPr>
      <w:r w:rsidRPr="00E10BA4">
        <w:rPr>
          <w:sz w:val="28"/>
          <w:szCs w:val="28"/>
        </w:rPr>
        <w:t>Module code: LCLM5002</w:t>
      </w:r>
      <w:r w:rsidRPr="00E10BA4">
        <w:rPr>
          <w:sz w:val="28"/>
          <w:szCs w:val="28"/>
        </w:rPr>
        <w:br/>
      </w:r>
      <w:r w:rsidRPr="00E10BA4">
        <w:rPr>
          <w:sz w:val="28"/>
          <w:szCs w:val="28"/>
        </w:rPr>
        <w:br/>
        <w:t xml:space="preserve">Component 2- Individual Report </w:t>
      </w:r>
    </w:p>
    <w:p w14:paraId="3EA815C5" w14:textId="77777777" w:rsidR="009A32F6" w:rsidRPr="009A32F6" w:rsidRDefault="009A32F6" w:rsidP="009A32F6">
      <w:pPr>
        <w:pStyle w:val="s6"/>
        <w:spacing w:before="0" w:beforeAutospacing="0" w:after="0" w:afterAutospacing="0"/>
        <w:jc w:val="center"/>
        <w:rPr>
          <w:rFonts w:ascii="-webkit-standard" w:hAnsi="-webkit-standard"/>
          <w:color w:val="000000"/>
          <w:sz w:val="28"/>
          <w:szCs w:val="28"/>
        </w:rPr>
      </w:pPr>
      <w:r w:rsidRPr="00E10BA4">
        <w:rPr>
          <w:sz w:val="28"/>
          <w:szCs w:val="28"/>
        </w:rPr>
        <w:br/>
      </w:r>
      <w:r w:rsidRPr="00E10BA4">
        <w:rPr>
          <w:sz w:val="28"/>
          <w:szCs w:val="28"/>
        </w:rPr>
        <w:br/>
      </w:r>
      <w:r w:rsidRPr="009A32F6">
        <w:rPr>
          <w:rFonts w:ascii="Arial" w:hAnsi="Arial" w:cs="Arial"/>
          <w:color w:val="000000"/>
          <w:sz w:val="21"/>
          <w:szCs w:val="21"/>
        </w:rPr>
        <w:br/>
      </w:r>
      <w:r w:rsidRPr="009A32F6">
        <w:rPr>
          <w:rStyle w:val="s5"/>
          <w:rFonts w:ascii="Arial" w:hAnsi="Arial" w:cs="Arial"/>
          <w:color w:val="000000"/>
          <w:sz w:val="28"/>
          <w:szCs w:val="28"/>
        </w:rPr>
        <w:t>Student Name:</w:t>
      </w:r>
      <w:r w:rsidRPr="009A32F6">
        <w:rPr>
          <w:rStyle w:val="apple-converted-space"/>
          <w:rFonts w:ascii="Arial" w:hAnsi="Arial" w:cs="Arial"/>
          <w:color w:val="000000"/>
          <w:sz w:val="28"/>
          <w:szCs w:val="28"/>
        </w:rPr>
        <w:t> </w:t>
      </w:r>
      <w:r w:rsidRPr="009A32F6">
        <w:rPr>
          <w:rStyle w:val="s5"/>
          <w:rFonts w:ascii="Arial" w:hAnsi="Arial" w:cs="Arial"/>
          <w:color w:val="000000"/>
          <w:sz w:val="28"/>
          <w:szCs w:val="28"/>
        </w:rPr>
        <w:t>Halima Hussein</w:t>
      </w:r>
      <w:r w:rsidRPr="009A32F6">
        <w:rPr>
          <w:rStyle w:val="apple-converted-space"/>
          <w:rFonts w:ascii="Arial" w:hAnsi="Arial" w:cs="Arial"/>
          <w:color w:val="000000"/>
          <w:sz w:val="28"/>
          <w:szCs w:val="28"/>
        </w:rPr>
        <w:t> </w:t>
      </w:r>
    </w:p>
    <w:p w14:paraId="5157FF81" w14:textId="77777777" w:rsidR="009A32F6" w:rsidRPr="009A32F6" w:rsidRDefault="009A32F6" w:rsidP="009A32F6">
      <w:pPr>
        <w:pStyle w:val="s6"/>
        <w:spacing w:before="0" w:beforeAutospacing="0" w:after="0" w:afterAutospacing="0"/>
        <w:jc w:val="center"/>
        <w:rPr>
          <w:rFonts w:ascii="-webkit-standard" w:hAnsi="-webkit-standard"/>
          <w:color w:val="000000"/>
          <w:sz w:val="28"/>
          <w:szCs w:val="28"/>
        </w:rPr>
      </w:pPr>
      <w:r w:rsidRPr="009A32F6">
        <w:rPr>
          <w:rStyle w:val="s5"/>
          <w:rFonts w:ascii="Arial" w:hAnsi="Arial" w:cs="Arial"/>
          <w:color w:val="000000"/>
          <w:sz w:val="28"/>
          <w:szCs w:val="28"/>
        </w:rPr>
        <w:t>Student ID:</w:t>
      </w:r>
      <w:r w:rsidRPr="009A32F6">
        <w:rPr>
          <w:rStyle w:val="apple-converted-space"/>
          <w:rFonts w:ascii="Arial" w:hAnsi="Arial" w:cs="Arial"/>
          <w:color w:val="000000"/>
          <w:sz w:val="28"/>
          <w:szCs w:val="28"/>
        </w:rPr>
        <w:t> </w:t>
      </w:r>
      <w:r w:rsidRPr="009A32F6">
        <w:rPr>
          <w:rStyle w:val="s5"/>
          <w:rFonts w:ascii="Arial" w:hAnsi="Arial" w:cs="Arial"/>
          <w:color w:val="000000"/>
          <w:sz w:val="28"/>
          <w:szCs w:val="28"/>
        </w:rPr>
        <w:t>2409649</w:t>
      </w:r>
    </w:p>
    <w:p w14:paraId="2E0DEFDF" w14:textId="37F1E901" w:rsidR="009A32F6" w:rsidRPr="00E10BA4" w:rsidRDefault="009A32F6" w:rsidP="009A32F6">
      <w:pPr>
        <w:pStyle w:val="Title"/>
        <w:jc w:val="center"/>
        <w:rPr>
          <w:sz w:val="28"/>
          <w:szCs w:val="28"/>
        </w:rPr>
      </w:pPr>
    </w:p>
    <w:p w14:paraId="67B801D2" w14:textId="77777777" w:rsidR="009A32F6" w:rsidRPr="00E10BA4" w:rsidRDefault="009A32F6" w:rsidP="009A32F6">
      <w:pPr>
        <w:spacing w:line="360" w:lineRule="auto"/>
        <w:jc w:val="center"/>
        <w:rPr>
          <w:b/>
          <w:sz w:val="28"/>
          <w:szCs w:val="28"/>
        </w:rPr>
      </w:pPr>
    </w:p>
    <w:p w14:paraId="0178428C" w14:textId="77777777" w:rsidR="005870DD" w:rsidRDefault="005870DD">
      <w:pPr>
        <w:spacing w:line="360" w:lineRule="auto"/>
        <w:jc w:val="center"/>
        <w:rPr>
          <w:rFonts w:ascii="Times New Roman" w:eastAsia="Times New Roman" w:hAnsi="Times New Roman" w:cs="Times New Roman"/>
          <w:b/>
          <w:sz w:val="32"/>
          <w:szCs w:val="32"/>
        </w:rPr>
      </w:pPr>
    </w:p>
    <w:p w14:paraId="7D9DAE1A" w14:textId="77777777" w:rsidR="005870DD" w:rsidRDefault="005870DD">
      <w:pPr>
        <w:spacing w:line="360" w:lineRule="auto"/>
        <w:jc w:val="center"/>
        <w:rPr>
          <w:rFonts w:ascii="Times New Roman" w:eastAsia="Times New Roman" w:hAnsi="Times New Roman" w:cs="Times New Roman"/>
          <w:b/>
          <w:sz w:val="32"/>
          <w:szCs w:val="32"/>
        </w:rPr>
      </w:pPr>
    </w:p>
    <w:p w14:paraId="010ADBFF" w14:textId="77777777" w:rsidR="005870DD" w:rsidRDefault="005870DD">
      <w:pPr>
        <w:spacing w:line="360" w:lineRule="auto"/>
        <w:jc w:val="center"/>
        <w:rPr>
          <w:rFonts w:ascii="Times New Roman" w:eastAsia="Times New Roman" w:hAnsi="Times New Roman" w:cs="Times New Roman"/>
          <w:b/>
          <w:sz w:val="32"/>
          <w:szCs w:val="32"/>
        </w:rPr>
      </w:pPr>
    </w:p>
    <w:p w14:paraId="18A6864D" w14:textId="77777777" w:rsidR="005870DD" w:rsidRDefault="005870DD">
      <w:pPr>
        <w:spacing w:line="360" w:lineRule="auto"/>
        <w:jc w:val="center"/>
        <w:rPr>
          <w:rFonts w:ascii="Times New Roman" w:eastAsia="Times New Roman" w:hAnsi="Times New Roman" w:cs="Times New Roman"/>
          <w:b/>
          <w:sz w:val="32"/>
          <w:szCs w:val="32"/>
        </w:rPr>
      </w:pPr>
    </w:p>
    <w:p w14:paraId="477B0872" w14:textId="77777777" w:rsidR="005870DD" w:rsidRDefault="005870DD">
      <w:pPr>
        <w:spacing w:line="360" w:lineRule="auto"/>
        <w:jc w:val="center"/>
        <w:rPr>
          <w:rFonts w:ascii="Times New Roman" w:eastAsia="Times New Roman" w:hAnsi="Times New Roman" w:cs="Times New Roman"/>
          <w:b/>
          <w:sz w:val="32"/>
          <w:szCs w:val="32"/>
        </w:rPr>
      </w:pPr>
    </w:p>
    <w:p w14:paraId="55FFE5E7" w14:textId="77777777" w:rsidR="005870DD" w:rsidRDefault="005870DD">
      <w:pPr>
        <w:spacing w:line="360" w:lineRule="auto"/>
        <w:jc w:val="center"/>
        <w:rPr>
          <w:rFonts w:ascii="Times New Roman" w:eastAsia="Times New Roman" w:hAnsi="Times New Roman" w:cs="Times New Roman"/>
          <w:b/>
          <w:sz w:val="32"/>
          <w:szCs w:val="32"/>
        </w:rPr>
      </w:pPr>
    </w:p>
    <w:p w14:paraId="439BB025" w14:textId="77777777" w:rsidR="005870DD" w:rsidRDefault="005870DD" w:rsidP="009A32F6">
      <w:pPr>
        <w:spacing w:line="360" w:lineRule="auto"/>
        <w:rPr>
          <w:rFonts w:ascii="Times New Roman" w:eastAsia="Times New Roman" w:hAnsi="Times New Roman" w:cs="Times New Roman"/>
          <w:b/>
          <w:sz w:val="32"/>
          <w:szCs w:val="32"/>
        </w:rPr>
      </w:pPr>
    </w:p>
    <w:p w14:paraId="46C1489E" w14:textId="77777777" w:rsidR="005870DD" w:rsidRDefault="005870DD">
      <w:pPr>
        <w:spacing w:line="360" w:lineRule="auto"/>
        <w:rPr>
          <w:rFonts w:ascii="Times New Roman" w:eastAsia="Times New Roman" w:hAnsi="Times New Roman" w:cs="Times New Roman"/>
          <w:b/>
          <w:sz w:val="32"/>
          <w:szCs w:val="32"/>
        </w:rPr>
      </w:pPr>
    </w:p>
    <w:sdt>
      <w:sdtPr>
        <w:rPr>
          <w:rFonts w:ascii="Arial" w:eastAsia="Arial" w:hAnsi="Arial" w:cs="Arial"/>
          <w:b w:val="0"/>
          <w:bCs w:val="0"/>
          <w:color w:val="auto"/>
          <w:sz w:val="22"/>
          <w:szCs w:val="22"/>
          <w:lang w:val="en-GB" w:eastAsia="en-GB"/>
        </w:rPr>
        <w:id w:val="-1713723564"/>
        <w:docPartObj>
          <w:docPartGallery w:val="Table of Contents"/>
          <w:docPartUnique/>
        </w:docPartObj>
      </w:sdtPr>
      <w:sdtEndPr>
        <w:rPr>
          <w:noProof/>
        </w:rPr>
      </w:sdtEndPr>
      <w:sdtContent>
        <w:p w14:paraId="000BB2B0" w14:textId="77777777" w:rsidR="008C2ABC" w:rsidRPr="008C2ABC" w:rsidRDefault="000764E7" w:rsidP="008C2ABC">
          <w:pPr>
            <w:pStyle w:val="TOCHeading"/>
            <w:spacing w:line="360" w:lineRule="auto"/>
            <w:jc w:val="center"/>
            <w:rPr>
              <w:rFonts w:ascii="Times New Roman" w:hAnsi="Times New Roman" w:cs="Times New Roman"/>
              <w:color w:val="000000" w:themeColor="text1"/>
            </w:rPr>
          </w:pPr>
          <w:r w:rsidRPr="008C2ABC">
            <w:rPr>
              <w:rFonts w:ascii="Times New Roman" w:hAnsi="Times New Roman" w:cs="Times New Roman"/>
              <w:color w:val="000000" w:themeColor="text1"/>
            </w:rPr>
            <w:t>Table of Contents</w:t>
          </w:r>
        </w:p>
        <w:p w14:paraId="5BD2C2E2" w14:textId="77777777" w:rsidR="008C2ABC" w:rsidRPr="008C2ABC" w:rsidRDefault="000764E7" w:rsidP="008C2A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r w:rsidRPr="008C2ABC">
            <w:rPr>
              <w:rFonts w:ascii="Times New Roman" w:hAnsi="Times New Roman" w:cs="Times New Roman"/>
              <w:color w:val="000000" w:themeColor="text1"/>
            </w:rPr>
            <w:fldChar w:fldCharType="begin"/>
          </w:r>
          <w:r w:rsidRPr="008C2ABC">
            <w:rPr>
              <w:rFonts w:ascii="Times New Roman" w:hAnsi="Times New Roman" w:cs="Times New Roman"/>
              <w:color w:val="000000" w:themeColor="text1"/>
            </w:rPr>
            <w:instrText xml:space="preserve"> TOC \o "1-3" \h \z \u </w:instrText>
          </w:r>
          <w:r w:rsidRPr="008C2ABC">
            <w:rPr>
              <w:rFonts w:ascii="Times New Roman" w:hAnsi="Times New Roman" w:cs="Times New Roman"/>
              <w:color w:val="000000" w:themeColor="text1"/>
            </w:rPr>
            <w:fldChar w:fldCharType="separate"/>
          </w:r>
          <w:hyperlink w:anchor="_Toc213344233" w:history="1">
            <w:r w:rsidRPr="008C2ABC">
              <w:rPr>
                <w:rStyle w:val="Hyperlink"/>
                <w:rFonts w:ascii="Times New Roman" w:hAnsi="Times New Roman" w:cs="Times New Roman"/>
                <w:noProof/>
                <w:color w:val="000000" w:themeColor="text1"/>
                <w:sz w:val="24"/>
                <w:szCs w:val="24"/>
              </w:rPr>
              <w:t>1.0 Introduction</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_Toc213344233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3</w:t>
            </w:r>
            <w:r w:rsidRPr="008C2ABC">
              <w:rPr>
                <w:rFonts w:ascii="Times New Roman" w:hAnsi="Times New Roman" w:cs="Times New Roman"/>
                <w:noProof/>
                <w:webHidden/>
                <w:color w:val="000000" w:themeColor="text1"/>
                <w:sz w:val="24"/>
                <w:szCs w:val="24"/>
              </w:rPr>
              <w:fldChar w:fldCharType="end"/>
            </w:r>
          </w:hyperlink>
        </w:p>
        <w:p w14:paraId="3F8B33BE" w14:textId="77777777" w:rsidR="008C2ABC" w:rsidRPr="008C2ABC" w:rsidRDefault="000764E7" w:rsidP="008C2ABC">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213344234" w:history="1">
            <w:r w:rsidRPr="008C2ABC">
              <w:rPr>
                <w:rStyle w:val="Hyperlink"/>
                <w:rFonts w:ascii="Times New Roman" w:hAnsi="Times New Roman" w:cs="Times New Roman"/>
                <w:noProof/>
                <w:color w:val="000000" w:themeColor="text1"/>
                <w:sz w:val="24"/>
                <w:szCs w:val="24"/>
              </w:rPr>
              <w:t>2.0 An explanation of the specific factors related to business transformation, digital technology trends and flexible working arrangements within the organisation</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_Toc213344234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3</w:t>
            </w:r>
            <w:r w:rsidRPr="008C2ABC">
              <w:rPr>
                <w:rFonts w:ascii="Times New Roman" w:hAnsi="Times New Roman" w:cs="Times New Roman"/>
                <w:noProof/>
                <w:webHidden/>
                <w:color w:val="000000" w:themeColor="text1"/>
                <w:sz w:val="24"/>
                <w:szCs w:val="24"/>
              </w:rPr>
              <w:fldChar w:fldCharType="end"/>
            </w:r>
          </w:hyperlink>
        </w:p>
        <w:p w14:paraId="5A4CC6C1" w14:textId="77777777" w:rsidR="008C2ABC" w:rsidRPr="008C2ABC" w:rsidRDefault="000764E7" w:rsidP="008C2A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44235" w:history="1">
            <w:r w:rsidRPr="008C2ABC">
              <w:rPr>
                <w:rStyle w:val="Hyperlink"/>
                <w:rFonts w:ascii="Times New Roman" w:hAnsi="Times New Roman" w:cs="Times New Roman"/>
                <w:noProof/>
                <w:color w:val="000000" w:themeColor="text1"/>
                <w:sz w:val="24"/>
                <w:szCs w:val="24"/>
              </w:rPr>
              <w:t>3.0 An evaluation of different contemporary HR practices to address each factor</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_Toc213344235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5</w:t>
            </w:r>
            <w:r w:rsidRPr="008C2ABC">
              <w:rPr>
                <w:rFonts w:ascii="Times New Roman" w:hAnsi="Times New Roman" w:cs="Times New Roman"/>
                <w:noProof/>
                <w:webHidden/>
                <w:color w:val="000000" w:themeColor="text1"/>
                <w:sz w:val="24"/>
                <w:szCs w:val="24"/>
              </w:rPr>
              <w:fldChar w:fldCharType="end"/>
            </w:r>
          </w:hyperlink>
        </w:p>
        <w:p w14:paraId="4E71C5EF" w14:textId="77777777" w:rsidR="008C2ABC" w:rsidRPr="008C2ABC" w:rsidRDefault="000764E7" w:rsidP="008C2A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44236" w:history="1">
            <w:r w:rsidRPr="008C2ABC">
              <w:rPr>
                <w:rStyle w:val="Hyperlink"/>
                <w:rFonts w:ascii="Times New Roman" w:hAnsi="Times New Roman" w:cs="Times New Roman"/>
                <w:noProof/>
                <w:color w:val="000000" w:themeColor="text1"/>
                <w:sz w:val="24"/>
                <w:szCs w:val="24"/>
              </w:rPr>
              <w:t>3.1 Dealing with Business Change</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_Toc213344236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5</w:t>
            </w:r>
            <w:r w:rsidRPr="008C2ABC">
              <w:rPr>
                <w:rFonts w:ascii="Times New Roman" w:hAnsi="Times New Roman" w:cs="Times New Roman"/>
                <w:noProof/>
                <w:webHidden/>
                <w:color w:val="000000" w:themeColor="text1"/>
                <w:sz w:val="24"/>
                <w:szCs w:val="24"/>
              </w:rPr>
              <w:fldChar w:fldCharType="end"/>
            </w:r>
          </w:hyperlink>
        </w:p>
        <w:p w14:paraId="7DC34A45" w14:textId="77777777" w:rsidR="008C2ABC" w:rsidRPr="008C2ABC" w:rsidRDefault="000764E7" w:rsidP="008C2A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44237" w:history="1">
            <w:r w:rsidRPr="008C2ABC">
              <w:rPr>
                <w:rStyle w:val="Hyperlink"/>
                <w:rFonts w:ascii="Times New Roman" w:hAnsi="Times New Roman" w:cs="Times New Roman"/>
                <w:noProof/>
                <w:color w:val="000000" w:themeColor="text1"/>
                <w:sz w:val="24"/>
                <w:szCs w:val="24"/>
              </w:rPr>
              <w:t>3.2 Dealing with Digital Technology Trends</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_Toc213344237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5</w:t>
            </w:r>
            <w:r w:rsidRPr="008C2ABC">
              <w:rPr>
                <w:rFonts w:ascii="Times New Roman" w:hAnsi="Times New Roman" w:cs="Times New Roman"/>
                <w:noProof/>
                <w:webHidden/>
                <w:color w:val="000000" w:themeColor="text1"/>
                <w:sz w:val="24"/>
                <w:szCs w:val="24"/>
              </w:rPr>
              <w:fldChar w:fldCharType="end"/>
            </w:r>
          </w:hyperlink>
        </w:p>
        <w:p w14:paraId="48054136" w14:textId="77777777" w:rsidR="008C2ABC" w:rsidRPr="008C2ABC" w:rsidRDefault="000764E7" w:rsidP="008C2A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44238" w:history="1">
            <w:r w:rsidRPr="008C2ABC">
              <w:rPr>
                <w:rStyle w:val="Hyperlink"/>
                <w:rFonts w:ascii="Times New Roman" w:hAnsi="Times New Roman" w:cs="Times New Roman"/>
                <w:noProof/>
                <w:color w:val="000000" w:themeColor="text1"/>
                <w:sz w:val="24"/>
                <w:szCs w:val="24"/>
              </w:rPr>
              <w:t>3.3 Managing Flexible Working Arrangements</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_Toc213344238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6</w:t>
            </w:r>
            <w:r w:rsidRPr="008C2ABC">
              <w:rPr>
                <w:rFonts w:ascii="Times New Roman" w:hAnsi="Times New Roman" w:cs="Times New Roman"/>
                <w:noProof/>
                <w:webHidden/>
                <w:color w:val="000000" w:themeColor="text1"/>
                <w:sz w:val="24"/>
                <w:szCs w:val="24"/>
              </w:rPr>
              <w:fldChar w:fldCharType="end"/>
            </w:r>
          </w:hyperlink>
        </w:p>
        <w:p w14:paraId="0CA3901C" w14:textId="77777777" w:rsidR="008C2ABC" w:rsidRPr="008C2ABC" w:rsidRDefault="000764E7" w:rsidP="008C2A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44239" w:history="1">
            <w:r w:rsidRPr="008C2ABC">
              <w:rPr>
                <w:rStyle w:val="Hyperlink"/>
                <w:rFonts w:ascii="Times New Roman" w:hAnsi="Times New Roman" w:cs="Times New Roman"/>
                <w:noProof/>
                <w:color w:val="000000" w:themeColor="text1"/>
                <w:sz w:val="24"/>
                <w:szCs w:val="24"/>
              </w:rPr>
              <w:t>4.0 A critical evaluation of how departmental managers can ensure these contemporary practices are being implemented as a matter of urgency</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_Toc213344239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7</w:t>
            </w:r>
            <w:r w:rsidRPr="008C2ABC">
              <w:rPr>
                <w:rFonts w:ascii="Times New Roman" w:hAnsi="Times New Roman" w:cs="Times New Roman"/>
                <w:noProof/>
                <w:webHidden/>
                <w:color w:val="000000" w:themeColor="text1"/>
                <w:sz w:val="24"/>
                <w:szCs w:val="24"/>
              </w:rPr>
              <w:fldChar w:fldCharType="end"/>
            </w:r>
          </w:hyperlink>
        </w:p>
        <w:p w14:paraId="79DC2D54" w14:textId="77777777" w:rsidR="008C2ABC" w:rsidRPr="008C2ABC" w:rsidRDefault="000764E7" w:rsidP="008C2A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44240" w:history="1">
            <w:r w:rsidRPr="008C2ABC">
              <w:rPr>
                <w:rStyle w:val="Hyperlink"/>
                <w:rFonts w:ascii="Times New Roman" w:hAnsi="Times New Roman" w:cs="Times New Roman"/>
                <w:noProof/>
                <w:color w:val="000000" w:themeColor="text1"/>
                <w:sz w:val="24"/>
                <w:szCs w:val="24"/>
              </w:rPr>
              <w:t>5.0 Recommendations and Conclusions</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_Toc213344240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8</w:t>
            </w:r>
            <w:r w:rsidRPr="008C2ABC">
              <w:rPr>
                <w:rFonts w:ascii="Times New Roman" w:hAnsi="Times New Roman" w:cs="Times New Roman"/>
                <w:noProof/>
                <w:webHidden/>
                <w:color w:val="000000" w:themeColor="text1"/>
                <w:sz w:val="24"/>
                <w:szCs w:val="24"/>
              </w:rPr>
              <w:fldChar w:fldCharType="end"/>
            </w:r>
          </w:hyperlink>
        </w:p>
        <w:p w14:paraId="0EC3E156" w14:textId="77777777" w:rsidR="008C2ABC" w:rsidRPr="008C2ABC" w:rsidRDefault="000764E7" w:rsidP="008C2A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213344241" w:history="1">
            <w:r w:rsidRPr="008C2ABC">
              <w:rPr>
                <w:rStyle w:val="Hyperlink"/>
                <w:rFonts w:ascii="Times New Roman" w:hAnsi="Times New Roman" w:cs="Times New Roman"/>
                <w:noProof/>
                <w:color w:val="000000" w:themeColor="text1"/>
                <w:sz w:val="24"/>
                <w:szCs w:val="24"/>
              </w:rPr>
              <w:t>References</w:t>
            </w:r>
            <w:r w:rsidRPr="008C2ABC">
              <w:rPr>
                <w:rFonts w:ascii="Times New Roman" w:hAnsi="Times New Roman" w:cs="Times New Roman"/>
                <w:noProof/>
                <w:webHidden/>
                <w:color w:val="000000" w:themeColor="text1"/>
                <w:sz w:val="24"/>
                <w:szCs w:val="24"/>
              </w:rPr>
              <w:tab/>
            </w:r>
            <w:r w:rsidRPr="008C2ABC">
              <w:rPr>
                <w:rFonts w:ascii="Times New Roman" w:hAnsi="Times New Roman" w:cs="Times New Roman"/>
                <w:noProof/>
                <w:webHidden/>
                <w:color w:val="000000" w:themeColor="text1"/>
                <w:sz w:val="24"/>
                <w:szCs w:val="24"/>
              </w:rPr>
              <w:fldChar w:fldCharType="begin"/>
            </w:r>
            <w:r w:rsidRPr="008C2ABC">
              <w:rPr>
                <w:rFonts w:ascii="Times New Roman" w:hAnsi="Times New Roman" w:cs="Times New Roman"/>
                <w:noProof/>
                <w:webHidden/>
                <w:color w:val="000000" w:themeColor="text1"/>
                <w:sz w:val="24"/>
                <w:szCs w:val="24"/>
              </w:rPr>
              <w:instrText xml:space="preserve"> PAGEREF _Toc213344241 \h </w:instrText>
            </w:r>
            <w:r w:rsidRPr="008C2ABC">
              <w:rPr>
                <w:rFonts w:ascii="Times New Roman" w:hAnsi="Times New Roman" w:cs="Times New Roman"/>
                <w:noProof/>
                <w:webHidden/>
                <w:color w:val="000000" w:themeColor="text1"/>
                <w:sz w:val="24"/>
                <w:szCs w:val="24"/>
              </w:rPr>
            </w:r>
            <w:r w:rsidRPr="008C2ABC">
              <w:rPr>
                <w:rFonts w:ascii="Times New Roman" w:hAnsi="Times New Roman" w:cs="Times New Roman"/>
                <w:noProof/>
                <w:webHidden/>
                <w:color w:val="000000" w:themeColor="text1"/>
                <w:sz w:val="24"/>
                <w:szCs w:val="24"/>
              </w:rPr>
              <w:fldChar w:fldCharType="separate"/>
            </w:r>
            <w:r w:rsidR="001279C7">
              <w:rPr>
                <w:rFonts w:ascii="Times New Roman" w:hAnsi="Times New Roman" w:cs="Times New Roman"/>
                <w:noProof/>
                <w:webHidden/>
                <w:color w:val="000000" w:themeColor="text1"/>
                <w:sz w:val="24"/>
                <w:szCs w:val="24"/>
              </w:rPr>
              <w:t>10</w:t>
            </w:r>
            <w:r w:rsidRPr="008C2ABC">
              <w:rPr>
                <w:rFonts w:ascii="Times New Roman" w:hAnsi="Times New Roman" w:cs="Times New Roman"/>
                <w:noProof/>
                <w:webHidden/>
                <w:color w:val="000000" w:themeColor="text1"/>
                <w:sz w:val="24"/>
                <w:szCs w:val="24"/>
              </w:rPr>
              <w:fldChar w:fldCharType="end"/>
            </w:r>
          </w:hyperlink>
        </w:p>
        <w:p w14:paraId="0BA8506D" w14:textId="77777777" w:rsidR="008C2ABC" w:rsidRPr="008C2ABC" w:rsidRDefault="000764E7" w:rsidP="008C2ABC">
          <w:pPr>
            <w:spacing w:line="360" w:lineRule="auto"/>
            <w:jc w:val="center"/>
          </w:pPr>
          <w:r w:rsidRPr="008C2ABC">
            <w:rPr>
              <w:rFonts w:ascii="Times New Roman" w:hAnsi="Times New Roman" w:cs="Times New Roman"/>
              <w:b/>
              <w:bCs/>
              <w:noProof/>
              <w:color w:val="000000" w:themeColor="text1"/>
            </w:rPr>
            <w:fldChar w:fldCharType="end"/>
          </w:r>
        </w:p>
      </w:sdtContent>
    </w:sdt>
    <w:p w14:paraId="53221135" w14:textId="77777777" w:rsidR="008C2ABC" w:rsidRDefault="008C2ABC">
      <w:pPr>
        <w:spacing w:line="360" w:lineRule="auto"/>
        <w:jc w:val="both"/>
        <w:rPr>
          <w:rFonts w:ascii="Times New Roman" w:eastAsia="Times New Roman" w:hAnsi="Times New Roman" w:cs="Times New Roman"/>
          <w:b/>
          <w:sz w:val="28"/>
          <w:szCs w:val="28"/>
        </w:rPr>
      </w:pPr>
    </w:p>
    <w:p w14:paraId="5CFAED27" w14:textId="77777777" w:rsidR="008C2ABC" w:rsidRDefault="008C2ABC">
      <w:pPr>
        <w:spacing w:line="360" w:lineRule="auto"/>
        <w:jc w:val="both"/>
        <w:rPr>
          <w:rFonts w:ascii="Times New Roman" w:eastAsia="Times New Roman" w:hAnsi="Times New Roman" w:cs="Times New Roman"/>
          <w:b/>
          <w:sz w:val="28"/>
          <w:szCs w:val="28"/>
        </w:rPr>
      </w:pPr>
    </w:p>
    <w:p w14:paraId="2168D546" w14:textId="77777777" w:rsidR="008C2ABC" w:rsidRDefault="008C2ABC">
      <w:pPr>
        <w:spacing w:line="360" w:lineRule="auto"/>
        <w:jc w:val="both"/>
        <w:rPr>
          <w:rFonts w:ascii="Times New Roman" w:eastAsia="Times New Roman" w:hAnsi="Times New Roman" w:cs="Times New Roman"/>
          <w:b/>
          <w:sz w:val="28"/>
          <w:szCs w:val="28"/>
        </w:rPr>
      </w:pPr>
    </w:p>
    <w:p w14:paraId="4DCAABAE" w14:textId="77777777" w:rsidR="008C2ABC" w:rsidRDefault="008C2ABC">
      <w:pPr>
        <w:spacing w:line="360" w:lineRule="auto"/>
        <w:jc w:val="both"/>
        <w:rPr>
          <w:rFonts w:ascii="Times New Roman" w:eastAsia="Times New Roman" w:hAnsi="Times New Roman" w:cs="Times New Roman"/>
          <w:b/>
          <w:sz w:val="28"/>
          <w:szCs w:val="28"/>
        </w:rPr>
      </w:pPr>
    </w:p>
    <w:p w14:paraId="73291676" w14:textId="77777777" w:rsidR="008C2ABC" w:rsidRDefault="008C2ABC">
      <w:pPr>
        <w:spacing w:line="360" w:lineRule="auto"/>
        <w:jc w:val="both"/>
        <w:rPr>
          <w:rFonts w:ascii="Times New Roman" w:eastAsia="Times New Roman" w:hAnsi="Times New Roman" w:cs="Times New Roman"/>
          <w:b/>
          <w:sz w:val="28"/>
          <w:szCs w:val="28"/>
        </w:rPr>
      </w:pPr>
    </w:p>
    <w:p w14:paraId="0A4FAE6C" w14:textId="77777777" w:rsidR="008C2ABC" w:rsidRDefault="008C2ABC">
      <w:pPr>
        <w:spacing w:line="360" w:lineRule="auto"/>
        <w:jc w:val="both"/>
        <w:rPr>
          <w:rFonts w:ascii="Times New Roman" w:eastAsia="Times New Roman" w:hAnsi="Times New Roman" w:cs="Times New Roman"/>
          <w:b/>
          <w:sz w:val="28"/>
          <w:szCs w:val="28"/>
        </w:rPr>
      </w:pPr>
    </w:p>
    <w:p w14:paraId="2DE31AF6" w14:textId="77777777" w:rsidR="008C2ABC" w:rsidRDefault="008C2ABC">
      <w:pPr>
        <w:spacing w:line="360" w:lineRule="auto"/>
        <w:jc w:val="both"/>
        <w:rPr>
          <w:rFonts w:ascii="Times New Roman" w:eastAsia="Times New Roman" w:hAnsi="Times New Roman" w:cs="Times New Roman"/>
          <w:b/>
          <w:sz w:val="28"/>
          <w:szCs w:val="28"/>
        </w:rPr>
      </w:pPr>
    </w:p>
    <w:p w14:paraId="7C8E0BE8" w14:textId="77777777" w:rsidR="008C2ABC" w:rsidRDefault="008C2ABC">
      <w:pPr>
        <w:spacing w:line="360" w:lineRule="auto"/>
        <w:jc w:val="both"/>
        <w:rPr>
          <w:rFonts w:ascii="Times New Roman" w:eastAsia="Times New Roman" w:hAnsi="Times New Roman" w:cs="Times New Roman"/>
          <w:b/>
          <w:sz w:val="28"/>
          <w:szCs w:val="28"/>
        </w:rPr>
      </w:pPr>
    </w:p>
    <w:p w14:paraId="706BBA7D" w14:textId="77777777" w:rsidR="008C2ABC" w:rsidRDefault="008C2ABC">
      <w:pPr>
        <w:spacing w:line="360" w:lineRule="auto"/>
        <w:jc w:val="both"/>
        <w:rPr>
          <w:rFonts w:ascii="Times New Roman" w:eastAsia="Times New Roman" w:hAnsi="Times New Roman" w:cs="Times New Roman"/>
          <w:b/>
          <w:sz w:val="28"/>
          <w:szCs w:val="28"/>
        </w:rPr>
      </w:pPr>
    </w:p>
    <w:p w14:paraId="67A6709D" w14:textId="77777777" w:rsidR="008C2ABC" w:rsidRDefault="008C2ABC">
      <w:pPr>
        <w:spacing w:line="360" w:lineRule="auto"/>
        <w:jc w:val="both"/>
        <w:rPr>
          <w:rFonts w:ascii="Times New Roman" w:eastAsia="Times New Roman" w:hAnsi="Times New Roman" w:cs="Times New Roman"/>
          <w:b/>
          <w:sz w:val="28"/>
          <w:szCs w:val="28"/>
        </w:rPr>
      </w:pPr>
    </w:p>
    <w:p w14:paraId="773B337D" w14:textId="77777777" w:rsidR="008C2ABC" w:rsidRDefault="008C2ABC">
      <w:pPr>
        <w:spacing w:line="360" w:lineRule="auto"/>
        <w:jc w:val="both"/>
        <w:rPr>
          <w:rFonts w:ascii="Times New Roman" w:eastAsia="Times New Roman" w:hAnsi="Times New Roman" w:cs="Times New Roman"/>
          <w:b/>
          <w:sz w:val="28"/>
          <w:szCs w:val="28"/>
        </w:rPr>
      </w:pPr>
    </w:p>
    <w:p w14:paraId="3533374D" w14:textId="77777777" w:rsidR="005870DD" w:rsidRPr="008C2ABC" w:rsidRDefault="000764E7" w:rsidP="008C2ABC">
      <w:pPr>
        <w:pStyle w:val="Heading1"/>
      </w:pPr>
      <w:bookmarkStart w:id="1" w:name="_Toc213344233"/>
      <w:r>
        <w:t>1.0 Introduction</w:t>
      </w:r>
      <w:bookmarkEnd w:id="1"/>
    </w:p>
    <w:p w14:paraId="08DD463D"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HSBC is an international financial services company experiencing large-scale internal change in relation to digitalisation and emerging flexible work arrangements. Recent strategic changes have focused on improving operational efficiency, driving down costs and enhancing customer experience, yet have also increased employee dissatisfaction, primarily in relation to workload expectations, communication, and the ambiguity of new work practices. This report analyses how business transformation, digital technology trends and flexible work models shape employee experience and evaluates modern HR practices to address new challenges.</w:t>
      </w:r>
    </w:p>
    <w:p w14:paraId="2BDC4DA8" w14:textId="77777777" w:rsidR="005870DD" w:rsidRDefault="000764E7" w:rsidP="008C2ABC">
      <w:pPr>
        <w:pStyle w:val="Heading1"/>
      </w:pPr>
      <w:bookmarkStart w:id="2" w:name="_Toc213344234"/>
      <w:r>
        <w:t>2.0 An explanation of the specific factors related to business transformation, digital technology trends and flexible working arrangemen</w:t>
      </w:r>
      <w:r w:rsidR="008C2ABC">
        <w:t>ts within the organisation</w:t>
      </w:r>
      <w:bookmarkEnd w:id="2"/>
    </w:p>
    <w:p w14:paraId="3D9BE20D" w14:textId="77777777" w:rsidR="005870DD" w:rsidRPr="0087646C" w:rsidRDefault="000764E7">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HSBC has initiated an important undertaking to transform the business, which has a focus on increasing efficiencies and being responsive to the global market landscape. A central aspect of this transformation is restructuring to reduce the number of organisational layers and to create agility. The bank has restructured the way it operates to become more centrally focused as service hubs and to reduce the number of branches in the UK, especially in London and Birmingham</w:t>
      </w:r>
      <w:r w:rsidR="00F11A68">
        <w:rPr>
          <w:rFonts w:ascii="Times New Roman" w:eastAsia="Times New Roman" w:hAnsi="Times New Roman" w:cs="Times New Roman"/>
          <w:sz w:val="24"/>
          <w:szCs w:val="24"/>
        </w:rPr>
        <w:t xml:space="preserve"> </w:t>
      </w:r>
      <w:r w:rsidR="00F11A68" w:rsidRPr="00F11A68">
        <w:rPr>
          <w:rFonts w:ascii="Times New Roman" w:eastAsia="Times New Roman" w:hAnsi="Times New Roman" w:cs="Times New Roman"/>
          <w:sz w:val="24"/>
          <w:szCs w:val="24"/>
        </w:rPr>
        <w:t>(HSBC UK, 2024)</w:t>
      </w:r>
      <w:r>
        <w:rPr>
          <w:rFonts w:ascii="Times New Roman" w:eastAsia="Times New Roman" w:hAnsi="Times New Roman" w:cs="Times New Roman"/>
          <w:sz w:val="24"/>
          <w:szCs w:val="24"/>
        </w:rPr>
        <w:t xml:space="preserve">. </w:t>
      </w:r>
      <w:r w:rsidRPr="0087646C">
        <w:rPr>
          <w:rFonts w:ascii="Times New Roman" w:eastAsia="Times New Roman" w:hAnsi="Times New Roman" w:cs="Times New Roman"/>
          <w:color w:val="000000" w:themeColor="text1"/>
          <w:sz w:val="24"/>
          <w:szCs w:val="24"/>
        </w:rPr>
        <w:t>Although the introduction of the new operating model has resulted in efficiencies around costs and operations, there is also an element of fear from employees regarding potential redundancy or necessary redeployment, and the change of reporting structures, as well as less opportunity to be part of decisions affecting their own job roles. This level of change is creating a level of undue stress and uncertainty within the workforce.</w:t>
      </w:r>
    </w:p>
    <w:p w14:paraId="203BD328" w14:textId="77777777" w:rsidR="005870DD" w:rsidRDefault="000764E7">
      <w:pPr>
        <w:spacing w:line="360" w:lineRule="auto"/>
        <w:jc w:val="both"/>
        <w:rPr>
          <w:rFonts w:ascii="Times New Roman" w:eastAsia="Times New Roman" w:hAnsi="Times New Roman" w:cs="Times New Roman"/>
          <w:sz w:val="24"/>
          <w:szCs w:val="24"/>
        </w:rPr>
      </w:pPr>
      <w:r w:rsidRPr="0087646C">
        <w:rPr>
          <w:rFonts w:ascii="Times New Roman" w:eastAsia="Times New Roman" w:hAnsi="Times New Roman" w:cs="Times New Roman"/>
          <w:color w:val="000000" w:themeColor="text1"/>
          <w:sz w:val="24"/>
          <w:szCs w:val="24"/>
        </w:rPr>
        <w:t>Many former administrative functions are now carried out by machines, and therefore, new skill sets are needed for many roles. AI is also used to facilitate fraud detection and to automate parts of customer service</w:t>
      </w:r>
      <w:r w:rsidR="00F11A68">
        <w:rPr>
          <w:rFonts w:ascii="Times New Roman" w:eastAsia="Times New Roman" w:hAnsi="Times New Roman" w:cs="Times New Roman"/>
          <w:color w:val="000000" w:themeColor="text1"/>
          <w:sz w:val="24"/>
          <w:szCs w:val="24"/>
        </w:rPr>
        <w:t xml:space="preserve"> </w:t>
      </w:r>
      <w:r w:rsidR="00F11A68" w:rsidRPr="00F11A68">
        <w:rPr>
          <w:rFonts w:ascii="Times New Roman" w:eastAsia="Times New Roman" w:hAnsi="Times New Roman" w:cs="Times New Roman"/>
          <w:color w:val="000000" w:themeColor="text1"/>
          <w:sz w:val="24"/>
          <w:szCs w:val="24"/>
        </w:rPr>
        <w:t>(May 2023)</w:t>
      </w:r>
      <w:r w:rsidRPr="0087646C">
        <w:rPr>
          <w:rFonts w:ascii="Times New Roman" w:eastAsia="Times New Roman" w:hAnsi="Times New Roman" w:cs="Times New Roman"/>
          <w:color w:val="000000" w:themeColor="text1"/>
          <w:sz w:val="24"/>
          <w:szCs w:val="24"/>
        </w:rPr>
        <w:t>. While these technologies can enhance efficiency, they have added to employee apprehensions about skills shortages and redundancy</w:t>
      </w:r>
      <w:r w:rsidR="00F56A05" w:rsidRPr="0087646C">
        <w:rPr>
          <w:rFonts w:ascii="Times New Roman" w:eastAsia="Times New Roman" w:hAnsi="Times New Roman" w:cs="Times New Roman"/>
          <w:color w:val="000000" w:themeColor="text1"/>
          <w:sz w:val="24"/>
          <w:szCs w:val="24"/>
        </w:rPr>
        <w:t xml:space="preserve">. Employees </w:t>
      </w:r>
      <w:r w:rsidR="00F56A05">
        <w:rPr>
          <w:rFonts w:ascii="Times New Roman" w:eastAsia="Times New Roman" w:hAnsi="Times New Roman" w:cs="Times New Roman"/>
          <w:sz w:val="24"/>
          <w:szCs w:val="24"/>
        </w:rPr>
        <w:t>who do not feel sufficiently supported through reskilling and upskilling programmes tend to see the new technology as a threat rather than an enabling or empowering change</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w:t>
      </w:r>
      <w:proofErr w:type="spellStart"/>
      <w:r w:rsidR="00BA0AB6" w:rsidRPr="00BA0AB6">
        <w:rPr>
          <w:rFonts w:ascii="Times New Roman" w:eastAsia="Times New Roman" w:hAnsi="Times New Roman" w:cs="Times New Roman"/>
          <w:sz w:val="24"/>
          <w:szCs w:val="24"/>
        </w:rPr>
        <w:t>Bondarouk</w:t>
      </w:r>
      <w:proofErr w:type="spellEnd"/>
      <w:r w:rsidR="00BA0AB6" w:rsidRPr="00BA0AB6">
        <w:rPr>
          <w:rFonts w:ascii="Times New Roman" w:eastAsia="Times New Roman" w:hAnsi="Times New Roman" w:cs="Times New Roman"/>
          <w:sz w:val="24"/>
          <w:szCs w:val="24"/>
        </w:rPr>
        <w:t xml:space="preserve"> and Brewster, 2016)</w:t>
      </w:r>
      <w:r w:rsidR="00F56A05">
        <w:rPr>
          <w:rFonts w:ascii="Times New Roman" w:eastAsia="Times New Roman" w:hAnsi="Times New Roman" w:cs="Times New Roman"/>
          <w:sz w:val="24"/>
          <w:szCs w:val="24"/>
        </w:rPr>
        <w:t>.</w:t>
      </w:r>
    </w:p>
    <w:p w14:paraId="3220757B"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use of digital communication platforms like Microsoft Teams and HSBC's own internal collaboration tools has shifted the way employees interact with one another while at work. The idea of constant availability brought about by these tools can create a greater expectation of immediacy. Employees report an increase in work intensification and 'digital fatigue', in addition to blurred boundaries between their work and personal lives, as a result of being available online constantly</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(Supriyadi et al., 2025)</w:t>
      </w:r>
      <w:r>
        <w:rPr>
          <w:rFonts w:ascii="Times New Roman" w:eastAsia="Times New Roman" w:hAnsi="Times New Roman" w:cs="Times New Roman"/>
          <w:sz w:val="24"/>
          <w:szCs w:val="24"/>
        </w:rPr>
        <w:t>.</w:t>
      </w:r>
    </w:p>
    <w:p w14:paraId="2247C242"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working has also been a central element in the organisational transformation at HSBC. Responding to the evolving expectations of their workforce and trends in working from home in the wake of the COVID-19 pandemic, HSBC offers a hybrid approach to working. This allows many of their employees to work from home at least part-time, rather than travelling to the office on a daily basis. In some instances, this has helped support work-life balance, reduce commuting, and attract diverse talent</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(Schiemann, 2014)</w:t>
      </w:r>
      <w:r>
        <w:rPr>
          <w:rFonts w:ascii="Times New Roman" w:eastAsia="Times New Roman" w:hAnsi="Times New Roman" w:cs="Times New Roman"/>
          <w:sz w:val="24"/>
          <w:szCs w:val="24"/>
        </w:rPr>
        <w:t>. However, flexible working has added a layer of complexity, particularly when there are no clear expectations around team availability, communication, and workload planning.</w:t>
      </w:r>
    </w:p>
    <w:p w14:paraId="35F417E6"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working arrangements have uncovered challenges regarding team dynamics and organisational culture. Employees working remotely may feel neglected, isolated, or disconnected from the organisation’s identity and not considered for professional development</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(Ribeiro et al., 2024)</w:t>
      </w:r>
      <w:r>
        <w:rPr>
          <w:rFonts w:ascii="Times New Roman" w:eastAsia="Times New Roman" w:hAnsi="Times New Roman" w:cs="Times New Roman"/>
          <w:sz w:val="24"/>
          <w:szCs w:val="24"/>
        </w:rPr>
        <w:t>. Equally, managers have new challenges in overseeing how everyone performs, collaborates, and supports others affected emotionally in a virtual environment. For a few roles in banking, some employees require secure environments, face-to-face client contact or sturdy paper flow, and this restricts remote working options. Differences in remote accessibility have also led to perceived inequalities among employees and thus led to further sources of grievance.</w:t>
      </w:r>
    </w:p>
    <w:p w14:paraId="704595B0"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related area involved the cultural differences in the demographics of employees across HSBC’s employee base. Different generations are more and less amenable to digital work environments and changes to them. For example, early-career individuals intrinsically value flexibility and digital employment, while those with long service may struggle with the pace or frequency of new technology</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(Milhem et al., 2024)</w:t>
      </w:r>
      <w:r>
        <w:rPr>
          <w:rFonts w:ascii="Times New Roman" w:eastAsia="Times New Roman" w:hAnsi="Times New Roman" w:cs="Times New Roman"/>
          <w:sz w:val="24"/>
          <w:szCs w:val="24"/>
        </w:rPr>
        <w:t>. Thinking about varying adaptability, expectations, and motivation through different groups of employees has created the need to communicate differently and provide different levels of support.</w:t>
      </w:r>
    </w:p>
    <w:p w14:paraId="388C778D" w14:textId="77777777" w:rsidR="005870DD" w:rsidRDefault="000764E7" w:rsidP="008C2ABC">
      <w:pPr>
        <w:pStyle w:val="Heading1"/>
      </w:pPr>
      <w:bookmarkStart w:id="3" w:name="_Toc213344235"/>
      <w:r>
        <w:t>3.0 An evaluation of different contemporary HR practices to address e</w:t>
      </w:r>
      <w:r w:rsidR="008C2ABC">
        <w:t>ach factor</w:t>
      </w:r>
      <w:bookmarkEnd w:id="3"/>
    </w:p>
    <w:p w14:paraId="7FD32460" w14:textId="77777777" w:rsidR="005870DD" w:rsidRDefault="000764E7" w:rsidP="008C2ABC">
      <w:pPr>
        <w:pStyle w:val="Heading2"/>
      </w:pPr>
      <w:bookmarkStart w:id="4" w:name="_Toc213344236"/>
      <w:r>
        <w:t>3.1 Dealing with Business Change</w:t>
      </w:r>
      <w:bookmarkEnd w:id="4"/>
      <w:r>
        <w:t xml:space="preserve"> </w:t>
      </w:r>
    </w:p>
    <w:p w14:paraId="62277401" w14:textId="77777777" w:rsidR="005870DD" w:rsidRPr="0087646C" w:rsidRDefault="000764E7">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Achieving successful business change is </w:t>
      </w:r>
      <w:r w:rsidRPr="0087646C">
        <w:rPr>
          <w:rFonts w:ascii="Times New Roman" w:eastAsia="Times New Roman" w:hAnsi="Times New Roman" w:cs="Times New Roman"/>
          <w:color w:val="000000" w:themeColor="text1"/>
          <w:sz w:val="24"/>
          <w:szCs w:val="24"/>
        </w:rPr>
        <w:t>often contingent on a structured change management service that minimises uncertainty and employee resistance</w:t>
      </w:r>
      <w:r w:rsidR="00BA0AB6">
        <w:rPr>
          <w:rFonts w:ascii="Times New Roman" w:eastAsia="Times New Roman" w:hAnsi="Times New Roman" w:cs="Times New Roman"/>
          <w:color w:val="000000" w:themeColor="text1"/>
          <w:sz w:val="24"/>
          <w:szCs w:val="24"/>
        </w:rPr>
        <w:t xml:space="preserve"> </w:t>
      </w:r>
      <w:r w:rsidR="00BA0AB6" w:rsidRPr="00BA0AB6">
        <w:rPr>
          <w:rFonts w:ascii="Times New Roman" w:eastAsia="Times New Roman" w:hAnsi="Times New Roman" w:cs="Times New Roman"/>
          <w:color w:val="000000" w:themeColor="text1"/>
          <w:sz w:val="24"/>
          <w:szCs w:val="24"/>
        </w:rPr>
        <w:t>(Cameron and Green, 2020)</w:t>
      </w:r>
      <w:r w:rsidRPr="0087646C">
        <w:rPr>
          <w:rFonts w:ascii="Times New Roman" w:eastAsia="Times New Roman" w:hAnsi="Times New Roman" w:cs="Times New Roman"/>
          <w:color w:val="000000" w:themeColor="text1"/>
          <w:sz w:val="24"/>
          <w:szCs w:val="24"/>
        </w:rPr>
        <w:t xml:space="preserve">. A primary human resource practice involves implementing open communication practices, which ensure </w:t>
      </w:r>
      <w:r w:rsidR="00BA0AB6">
        <w:rPr>
          <w:rFonts w:ascii="Times New Roman" w:eastAsia="Times New Roman" w:hAnsi="Times New Roman" w:cs="Times New Roman"/>
          <w:color w:val="000000" w:themeColor="text1"/>
          <w:sz w:val="24"/>
          <w:szCs w:val="24"/>
        </w:rPr>
        <w:t xml:space="preserve">the </w:t>
      </w:r>
      <w:r w:rsidR="00BA0AB6" w:rsidRPr="0087646C">
        <w:rPr>
          <w:rFonts w:ascii="Times New Roman" w:eastAsia="Times New Roman" w:hAnsi="Times New Roman" w:cs="Times New Roman"/>
          <w:color w:val="000000" w:themeColor="text1"/>
          <w:sz w:val="24"/>
          <w:szCs w:val="24"/>
        </w:rPr>
        <w:t>staff receive</w:t>
      </w:r>
      <w:r w:rsidRPr="0087646C">
        <w:rPr>
          <w:rFonts w:ascii="Times New Roman" w:eastAsia="Times New Roman" w:hAnsi="Times New Roman" w:cs="Times New Roman"/>
          <w:color w:val="000000" w:themeColor="text1"/>
          <w:sz w:val="24"/>
          <w:szCs w:val="24"/>
        </w:rPr>
        <w:t xml:space="preserve"> consistent updates on changes, timelines for restructuring, and what the future may hold for their roles. Reducing uncertainty underlies many employee grievance behaviours.</w:t>
      </w:r>
    </w:p>
    <w:p w14:paraId="1E9A313E" w14:textId="77777777" w:rsidR="005870DD" w:rsidRPr="0087646C" w:rsidRDefault="000764E7">
      <w:pPr>
        <w:spacing w:line="360" w:lineRule="auto"/>
        <w:jc w:val="both"/>
        <w:rPr>
          <w:rFonts w:ascii="Times New Roman" w:eastAsia="Times New Roman" w:hAnsi="Times New Roman" w:cs="Times New Roman"/>
          <w:color w:val="000000" w:themeColor="text1"/>
          <w:sz w:val="24"/>
          <w:szCs w:val="24"/>
        </w:rPr>
      </w:pPr>
      <w:r w:rsidRPr="0087646C">
        <w:rPr>
          <w:rFonts w:ascii="Times New Roman" w:eastAsia="Times New Roman" w:hAnsi="Times New Roman" w:cs="Times New Roman"/>
          <w:color w:val="000000" w:themeColor="text1"/>
          <w:sz w:val="24"/>
          <w:szCs w:val="24"/>
        </w:rPr>
        <w:t xml:space="preserve">Practices involving employee engagement, such as consultation forums, employee advisory panels, and collaborative decision-making, will furthermore assist in obtaining employee buy-in. </w:t>
      </w:r>
      <w:r w:rsidR="0087646C" w:rsidRPr="0087646C">
        <w:rPr>
          <w:rFonts w:ascii="Times New Roman" w:eastAsia="Times New Roman" w:hAnsi="Times New Roman" w:cs="Times New Roman"/>
          <w:color w:val="000000" w:themeColor="text1"/>
          <w:sz w:val="24"/>
          <w:szCs w:val="24"/>
        </w:rPr>
        <w:t>HSBC can address some of these issues by giving employees a voice in the process of change and enabling real-time feedback. This supports managers in identifying (and resolving) perceived fairness issues. Employees appear much more likely to be actively positive supporters in organisational change if they feel valued and listened</w:t>
      </w:r>
      <w:r w:rsidR="00BA0AB6">
        <w:rPr>
          <w:rFonts w:ascii="Times New Roman" w:eastAsia="Times New Roman" w:hAnsi="Times New Roman" w:cs="Times New Roman"/>
          <w:color w:val="000000" w:themeColor="text1"/>
          <w:sz w:val="24"/>
          <w:szCs w:val="24"/>
        </w:rPr>
        <w:t xml:space="preserve"> </w:t>
      </w:r>
      <w:r w:rsidR="00BA0AB6" w:rsidRPr="00BA0AB6">
        <w:rPr>
          <w:rFonts w:ascii="Times New Roman" w:eastAsia="Times New Roman" w:hAnsi="Times New Roman" w:cs="Times New Roman"/>
          <w:color w:val="000000" w:themeColor="text1"/>
          <w:sz w:val="24"/>
          <w:szCs w:val="24"/>
        </w:rPr>
        <w:t>to (</w:t>
      </w:r>
      <w:proofErr w:type="spellStart"/>
      <w:r w:rsidR="00BA0AB6" w:rsidRPr="00BA0AB6">
        <w:rPr>
          <w:rFonts w:ascii="Times New Roman" w:eastAsia="Times New Roman" w:hAnsi="Times New Roman" w:cs="Times New Roman"/>
          <w:color w:val="000000" w:themeColor="text1"/>
          <w:sz w:val="24"/>
          <w:szCs w:val="24"/>
        </w:rPr>
        <w:t>Al-Haddad</w:t>
      </w:r>
      <w:proofErr w:type="spellEnd"/>
      <w:r w:rsidR="00BA0AB6" w:rsidRPr="00BA0AB6">
        <w:rPr>
          <w:rFonts w:ascii="Times New Roman" w:eastAsia="Times New Roman" w:hAnsi="Times New Roman" w:cs="Times New Roman"/>
          <w:color w:val="000000" w:themeColor="text1"/>
          <w:sz w:val="24"/>
          <w:szCs w:val="24"/>
        </w:rPr>
        <w:t xml:space="preserve"> and </w:t>
      </w:r>
      <w:proofErr w:type="spellStart"/>
      <w:r w:rsidR="00BA0AB6" w:rsidRPr="00BA0AB6">
        <w:rPr>
          <w:rFonts w:ascii="Times New Roman" w:eastAsia="Times New Roman" w:hAnsi="Times New Roman" w:cs="Times New Roman"/>
          <w:color w:val="000000" w:themeColor="text1"/>
          <w:sz w:val="24"/>
          <w:szCs w:val="24"/>
        </w:rPr>
        <w:t>Kotnour</w:t>
      </w:r>
      <w:proofErr w:type="spellEnd"/>
      <w:r w:rsidR="00BA0AB6" w:rsidRPr="00BA0AB6">
        <w:rPr>
          <w:rFonts w:ascii="Times New Roman" w:eastAsia="Times New Roman" w:hAnsi="Times New Roman" w:cs="Times New Roman"/>
          <w:color w:val="000000" w:themeColor="text1"/>
          <w:sz w:val="24"/>
          <w:szCs w:val="24"/>
        </w:rPr>
        <w:t>, 2015)</w:t>
      </w:r>
      <w:r w:rsidRPr="0087646C">
        <w:rPr>
          <w:rFonts w:ascii="Times New Roman" w:eastAsia="Times New Roman" w:hAnsi="Times New Roman" w:cs="Times New Roman"/>
          <w:color w:val="000000" w:themeColor="text1"/>
          <w:sz w:val="24"/>
          <w:szCs w:val="24"/>
        </w:rPr>
        <w:t>.</w:t>
      </w:r>
    </w:p>
    <w:p w14:paraId="1C5FDA10" w14:textId="77777777" w:rsidR="005870DD" w:rsidRDefault="000764E7">
      <w:pPr>
        <w:spacing w:line="360" w:lineRule="auto"/>
        <w:jc w:val="both"/>
        <w:rPr>
          <w:rFonts w:ascii="Times New Roman" w:eastAsia="Times New Roman" w:hAnsi="Times New Roman" w:cs="Times New Roman"/>
          <w:sz w:val="24"/>
          <w:szCs w:val="24"/>
        </w:rPr>
      </w:pPr>
      <w:r w:rsidRPr="0087646C">
        <w:rPr>
          <w:rFonts w:ascii="Times New Roman" w:eastAsia="Times New Roman" w:hAnsi="Times New Roman" w:cs="Times New Roman"/>
          <w:color w:val="000000" w:themeColor="text1"/>
          <w:sz w:val="24"/>
          <w:szCs w:val="24"/>
        </w:rPr>
        <w:t>HR services may also provide structured transition support services to teams impacted by the business restructuring process. These may include career counselling</w:t>
      </w:r>
      <w:r>
        <w:rPr>
          <w:rFonts w:ascii="Times New Roman" w:eastAsia="Times New Roman" w:hAnsi="Times New Roman" w:cs="Times New Roman"/>
          <w:sz w:val="24"/>
          <w:szCs w:val="24"/>
        </w:rPr>
        <w:t>, assistance with redeployment, and opportunities for retraining on a voluntary basis. Offering such interventions indicates the organisation's commitment to employee security and development, thereby minimising employee feelings of instability.</w:t>
      </w:r>
    </w:p>
    <w:p w14:paraId="243D56AE" w14:textId="77777777" w:rsidR="005870DD" w:rsidRDefault="000764E7" w:rsidP="008C2ABC">
      <w:pPr>
        <w:pStyle w:val="Heading2"/>
      </w:pPr>
      <w:bookmarkStart w:id="5" w:name="_Toc213344237"/>
      <w:r>
        <w:t>3.2 Dealing with Digital Technology Trends</w:t>
      </w:r>
      <w:bookmarkEnd w:id="5"/>
    </w:p>
    <w:p w14:paraId="603313E5"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innovation requires employees to transform their skills, and HR takes the lead in the facilitation of skill development. Contemporary HR practice focuses on continuous learning through modular and tailored training systems</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(Sakib et al., 2025)</w:t>
      </w:r>
      <w:r>
        <w:rPr>
          <w:rFonts w:ascii="Times New Roman" w:eastAsia="Times New Roman" w:hAnsi="Times New Roman" w:cs="Times New Roman"/>
          <w:sz w:val="24"/>
          <w:szCs w:val="24"/>
        </w:rPr>
        <w:t>. HSBC could broaden digital learning academies that encourage employees to develop skills in areas such as data analytics, cybersecurity, oversight of automation processes, and digital customer service</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(Marler and Boudreau, 2017)</w:t>
      </w:r>
      <w:r>
        <w:rPr>
          <w:rFonts w:ascii="Times New Roman" w:eastAsia="Times New Roman" w:hAnsi="Times New Roman" w:cs="Times New Roman"/>
          <w:sz w:val="24"/>
          <w:szCs w:val="24"/>
        </w:rPr>
        <w:t>.</w:t>
      </w:r>
    </w:p>
    <w:p w14:paraId="228F2B5C"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Blended learning models (a combination of online modules and guided mentorship) can recruit employees to learn at their own pace, plus professional coaching. In addition, peer learning groups may also be formed to enable collaborative knowledge sharing and alleviate the pressure of taking on the mental load of learning alone.</w:t>
      </w:r>
    </w:p>
    <w:p w14:paraId="697F22DD" w14:textId="77777777" w:rsidR="005870DD" w:rsidRPr="0087646C" w:rsidRDefault="000764E7">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Alongside training, HR should consider a skill mapping framework, which will identify possible future critical skills to develop or the current workforce capability. Skills mapping will help to guide skill development and ensure focus at an individual level on preparation for new roles and anticipated changes, rather than waiting for skills to reactively change because of technology. </w:t>
      </w:r>
      <w:r w:rsidRPr="0087646C">
        <w:rPr>
          <w:rFonts w:ascii="Times New Roman" w:eastAsia="Times New Roman" w:hAnsi="Times New Roman" w:cs="Times New Roman"/>
          <w:color w:val="000000" w:themeColor="text1"/>
          <w:sz w:val="24"/>
          <w:szCs w:val="24"/>
        </w:rPr>
        <w:t>Proactively managing skills development decreases the feelings of digital threat and amplifies employees' confidence using digital technologies.</w:t>
      </w:r>
    </w:p>
    <w:p w14:paraId="4D696C33" w14:textId="77777777" w:rsidR="005870DD" w:rsidRPr="0087646C" w:rsidRDefault="000764E7" w:rsidP="008C2ABC">
      <w:pPr>
        <w:pStyle w:val="Heading2"/>
      </w:pPr>
      <w:bookmarkStart w:id="6" w:name="_Toc213344238"/>
      <w:r w:rsidRPr="0087646C">
        <w:t>3.3 Managing Flexible Working Arrangements</w:t>
      </w:r>
      <w:bookmarkEnd w:id="6"/>
    </w:p>
    <w:p w14:paraId="6068BA4A" w14:textId="77777777" w:rsidR="005870DD" w:rsidRPr="0087646C" w:rsidRDefault="000764E7">
      <w:pPr>
        <w:spacing w:line="360" w:lineRule="auto"/>
        <w:jc w:val="both"/>
        <w:rPr>
          <w:rFonts w:ascii="Times New Roman" w:eastAsia="Times New Roman" w:hAnsi="Times New Roman" w:cs="Times New Roman"/>
          <w:color w:val="000000" w:themeColor="text1"/>
          <w:sz w:val="24"/>
          <w:szCs w:val="24"/>
        </w:rPr>
      </w:pPr>
      <w:r w:rsidRPr="0087646C">
        <w:rPr>
          <w:rFonts w:ascii="Times New Roman" w:eastAsia="Times New Roman" w:hAnsi="Times New Roman" w:cs="Times New Roman"/>
          <w:color w:val="000000" w:themeColor="text1"/>
          <w:sz w:val="24"/>
          <w:szCs w:val="24"/>
        </w:rPr>
        <w:t>It is important to develop straightforward and transparent guidelines for flexible and hybrid working to ensure fairness, accountability, and continuity. The HR function must create a hybrid work approach that is consistent with the employee experience guidelines mentioned earlier. That means the hybrid work approach should provide guidelines on expected availability, communication, workload management, and the evaluation of performance in flexible working</w:t>
      </w:r>
      <w:r w:rsidR="00BA0AB6">
        <w:rPr>
          <w:rFonts w:ascii="Times New Roman" w:eastAsia="Times New Roman" w:hAnsi="Times New Roman" w:cs="Times New Roman"/>
          <w:color w:val="000000" w:themeColor="text1"/>
          <w:sz w:val="24"/>
          <w:szCs w:val="24"/>
        </w:rPr>
        <w:t xml:space="preserve"> </w:t>
      </w:r>
      <w:r w:rsidR="00BA0AB6" w:rsidRPr="00BA0AB6">
        <w:rPr>
          <w:rFonts w:ascii="Times New Roman" w:eastAsia="Times New Roman" w:hAnsi="Times New Roman" w:cs="Times New Roman"/>
          <w:color w:val="000000" w:themeColor="text1"/>
          <w:sz w:val="24"/>
          <w:szCs w:val="24"/>
        </w:rPr>
        <w:t>(</w:t>
      </w:r>
      <w:proofErr w:type="spellStart"/>
      <w:r w:rsidR="00BA0AB6" w:rsidRPr="00BA0AB6">
        <w:rPr>
          <w:rFonts w:ascii="Times New Roman" w:eastAsia="Times New Roman" w:hAnsi="Times New Roman" w:cs="Times New Roman"/>
          <w:color w:val="000000" w:themeColor="text1"/>
          <w:sz w:val="24"/>
          <w:szCs w:val="24"/>
        </w:rPr>
        <w:t>Crooney</w:t>
      </w:r>
      <w:proofErr w:type="spellEnd"/>
      <w:r w:rsidR="00BA0AB6" w:rsidRPr="00BA0AB6">
        <w:rPr>
          <w:rFonts w:ascii="Times New Roman" w:eastAsia="Times New Roman" w:hAnsi="Times New Roman" w:cs="Times New Roman"/>
          <w:color w:val="000000" w:themeColor="text1"/>
          <w:sz w:val="24"/>
          <w:szCs w:val="24"/>
        </w:rPr>
        <w:t xml:space="preserve"> et al., 2025)</w:t>
      </w:r>
      <w:r w:rsidRPr="0087646C">
        <w:rPr>
          <w:rFonts w:ascii="Times New Roman" w:eastAsia="Times New Roman" w:hAnsi="Times New Roman" w:cs="Times New Roman"/>
          <w:color w:val="000000" w:themeColor="text1"/>
          <w:sz w:val="24"/>
          <w:szCs w:val="24"/>
        </w:rPr>
        <w:t>. After these guidelines are developed, consistent, and applied throughout all areas of the organisation, so that perceptions of favouritism for teams or individuals are minimi</w:t>
      </w:r>
      <w:r>
        <w:rPr>
          <w:rFonts w:ascii="Times New Roman" w:eastAsia="Times New Roman" w:hAnsi="Times New Roman" w:cs="Times New Roman"/>
          <w:color w:val="000000" w:themeColor="text1"/>
          <w:sz w:val="24"/>
          <w:szCs w:val="24"/>
        </w:rPr>
        <w:t>s</w:t>
      </w:r>
      <w:r w:rsidRPr="0087646C">
        <w:rPr>
          <w:rFonts w:ascii="Times New Roman" w:eastAsia="Times New Roman" w:hAnsi="Times New Roman" w:cs="Times New Roman"/>
          <w:color w:val="000000" w:themeColor="text1"/>
          <w:sz w:val="24"/>
          <w:szCs w:val="24"/>
        </w:rPr>
        <w:t>ed.</w:t>
      </w:r>
    </w:p>
    <w:p w14:paraId="2CBF99F3" w14:textId="77777777" w:rsidR="005870DD" w:rsidRDefault="000764E7">
      <w:pPr>
        <w:spacing w:line="360" w:lineRule="auto"/>
        <w:jc w:val="both"/>
        <w:rPr>
          <w:rFonts w:ascii="Times New Roman" w:eastAsia="Times New Roman" w:hAnsi="Times New Roman" w:cs="Times New Roman"/>
          <w:sz w:val="24"/>
          <w:szCs w:val="24"/>
        </w:rPr>
      </w:pPr>
      <w:r w:rsidRPr="0087646C">
        <w:rPr>
          <w:rFonts w:ascii="Times New Roman" w:eastAsia="Times New Roman" w:hAnsi="Times New Roman" w:cs="Times New Roman"/>
          <w:color w:val="000000" w:themeColor="text1"/>
          <w:sz w:val="24"/>
          <w:szCs w:val="24"/>
        </w:rPr>
        <w:t xml:space="preserve">Interventions could include promoting access to confidential counselling services, deployment of digital skills training around well-being, or providing employees with workload monitoring dashboards in working applications to help manage boundaries </w:t>
      </w:r>
      <w:r>
        <w:rPr>
          <w:rFonts w:ascii="Times New Roman" w:eastAsia="Times New Roman" w:hAnsi="Times New Roman" w:cs="Times New Roman"/>
          <w:sz w:val="24"/>
          <w:szCs w:val="24"/>
        </w:rPr>
        <w:t>working in a digital en</w:t>
      </w:r>
      <w:r w:rsidR="0087646C">
        <w:rPr>
          <w:rFonts w:ascii="Times New Roman" w:eastAsia="Times New Roman" w:hAnsi="Times New Roman" w:cs="Times New Roman"/>
          <w:sz w:val="24"/>
          <w:szCs w:val="24"/>
        </w:rPr>
        <w:t xml:space="preserve">vironment and minimise burnout. </w:t>
      </w:r>
      <w:r>
        <w:rPr>
          <w:rFonts w:ascii="Times New Roman" w:eastAsia="Times New Roman" w:hAnsi="Times New Roman" w:cs="Times New Roman"/>
          <w:sz w:val="24"/>
          <w:szCs w:val="24"/>
        </w:rPr>
        <w:t>In addition, managers also need to receive training in remote leadership skills so they can develop capabilities in virtual communication, inclusive supervision and supporting trusting performance management. In this regard, managers will need to shift their focus from managing physical visibility to understanding results (outcomes), responsiveness, and quality of collaboration. Therefore, training programs should build managers' confidence in managing geographically dispersed teams and support strategies for enabling cohesion and culture across the remote working context.</w:t>
      </w:r>
    </w:p>
    <w:p w14:paraId="4D81DCCA" w14:textId="77777777" w:rsidR="005870DD" w:rsidRDefault="000764E7" w:rsidP="008C2ABC">
      <w:pPr>
        <w:pStyle w:val="Heading1"/>
      </w:pPr>
      <w:bookmarkStart w:id="7" w:name="_Toc213344239"/>
      <w:r>
        <w:t>4.0 A critical evaluation of how departmental managers can ensure these contemporary practices are being implemented as a matter o</w:t>
      </w:r>
      <w:r w:rsidR="008C2ABC">
        <w:t>f urgency</w:t>
      </w:r>
      <w:bookmarkEnd w:id="7"/>
    </w:p>
    <w:p w14:paraId="09FFFF3D"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Departmental managers are central to converting HR's strategies into practice in everyday workplace settings. Even though HR may design policies and structures for HR-related processes, execution is dependent upon the manager's interpretation, communication, and application of those HR work practices. Subsequently, effective implementation of the modern work practices illustrated earlier requires effective managerial leadership, culture fit, and reinforcement of practice behaviours at the departmental level. </w:t>
      </w:r>
    </w:p>
    <w:p w14:paraId="3CEF7012"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responsibility of departmental managers to provide employees with clarity amidst a changing business environment. The departmental manager is the primary communicator of change messages from the organisational leaders to the employee groups and must deliver the messages openly and honestly. On the contrary, when managers communicate change inconsistently, employees will frame the changes as unwelcome or unfair</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(Khaw et al., 2022)</w:t>
      </w:r>
      <w:r>
        <w:rPr>
          <w:rFonts w:ascii="Times New Roman" w:eastAsia="Times New Roman" w:hAnsi="Times New Roman" w:cs="Times New Roman"/>
          <w:sz w:val="24"/>
          <w:szCs w:val="24"/>
        </w:rPr>
        <w:t>. Hence, it is essential for departmental managers to "get the facts" around change, role change, performance expectations, and develop empathetic messaging within the framework of the organisational level's goals and objectives. While the responsibilities of departmental managers are clear, research shows that many departmental managers struggle when communicating change because they are uncertain or have no relevant training</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(Khaw et al., 2022)</w:t>
      </w:r>
      <w:r>
        <w:rPr>
          <w:rFonts w:ascii="Times New Roman" w:eastAsia="Times New Roman" w:hAnsi="Times New Roman" w:cs="Times New Roman"/>
          <w:sz w:val="24"/>
          <w:szCs w:val="24"/>
        </w:rPr>
        <w:t>. This suggests a context in which direct, explicit guidelines and training should be provided by HR and organisational level leaders to the departmental manager before departmental discussions on change commence.</w:t>
      </w:r>
    </w:p>
    <w:p w14:paraId="48AB431F"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communication, managers also have an important responsibility to facilitate the development of capabilities in acknowledgement of digital technology trends. Although HR may facilitate ways to educate, the extent to which an employee takes advantage of those resources relies on manager encouragement and prioritisation. Managers should note capability gaps within team members in addition to identifying opportunities to help team members engage in digital upskilling with resources as they see fit to advance their skills or capabilities</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(O’Brien et al., 2025)</w:t>
      </w:r>
      <w:r>
        <w:rPr>
          <w:rFonts w:ascii="Times New Roman" w:eastAsia="Times New Roman" w:hAnsi="Times New Roman" w:cs="Times New Roman"/>
          <w:sz w:val="24"/>
          <w:szCs w:val="24"/>
        </w:rPr>
        <w:t>. It is also wise for managers to celebrate learning and accomplishments when conducting performance discussions.</w:t>
      </w:r>
    </w:p>
    <w:p w14:paraId="6D3ADB45"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a manager is not visibly endorsing an educational opportunity, it may be perceived by employees that the learning opportunity is a choice or is simply not possible due to other responsibilities they have on their desk. This task of managing productivity expectations for the learning employee presents a challenge. This challenge can be heightened in the financial environment where productivity demand is high. Again, this warrants the need for managers to find time to address patterns or practices associated with time to learn or ask questions, and that may require reverting out of the workflow to have time to learn</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(Poláková et al., 2023)</w:t>
      </w:r>
      <w:r>
        <w:rPr>
          <w:rFonts w:ascii="Times New Roman" w:eastAsia="Times New Roman" w:hAnsi="Times New Roman" w:cs="Times New Roman"/>
          <w:sz w:val="24"/>
          <w:szCs w:val="24"/>
        </w:rPr>
        <w:t>.</w:t>
      </w:r>
    </w:p>
    <w:p w14:paraId="05FACC33"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managers must pay attention to team cohesion and organisational culture in flexible work environments</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(Kelliher and Anderson, 2010)</w:t>
      </w:r>
      <w:r>
        <w:rPr>
          <w:rFonts w:ascii="Times New Roman" w:eastAsia="Times New Roman" w:hAnsi="Times New Roman" w:cs="Times New Roman"/>
          <w:sz w:val="24"/>
          <w:szCs w:val="24"/>
        </w:rPr>
        <w:t>. This involves intentional practices around relationship building, i.e. scheduling collaborative planning sessions, regularly checking in, and finding ways to create informal interactions. However, many managers struggle with leading employees whom they cannot physically observe, which leads to either over-monitoring or disengaging. Therefore, a shift in managerial mindset from oversight when employees are physically present to managing performance based on trust is necessary</w:t>
      </w:r>
      <w:r w:rsidR="00BA0AB6">
        <w:rPr>
          <w:rFonts w:ascii="Times New Roman" w:eastAsia="Times New Roman" w:hAnsi="Times New Roman" w:cs="Times New Roman"/>
          <w:sz w:val="24"/>
          <w:szCs w:val="24"/>
        </w:rPr>
        <w:t xml:space="preserve"> </w:t>
      </w:r>
      <w:r w:rsidR="00BA0AB6" w:rsidRPr="00BA0AB6">
        <w:rPr>
          <w:rFonts w:ascii="Times New Roman" w:eastAsia="Times New Roman" w:hAnsi="Times New Roman" w:cs="Times New Roman"/>
          <w:sz w:val="24"/>
          <w:szCs w:val="24"/>
        </w:rPr>
        <w:t>(</w:t>
      </w:r>
      <w:proofErr w:type="spellStart"/>
      <w:r w:rsidR="00BA0AB6" w:rsidRPr="00BA0AB6">
        <w:rPr>
          <w:rFonts w:ascii="Times New Roman" w:eastAsia="Times New Roman" w:hAnsi="Times New Roman" w:cs="Times New Roman"/>
          <w:sz w:val="24"/>
          <w:szCs w:val="24"/>
        </w:rPr>
        <w:t>Kossek</w:t>
      </w:r>
      <w:proofErr w:type="spellEnd"/>
      <w:r w:rsidR="00BA0AB6" w:rsidRPr="00BA0AB6">
        <w:rPr>
          <w:rFonts w:ascii="Times New Roman" w:eastAsia="Times New Roman" w:hAnsi="Times New Roman" w:cs="Times New Roman"/>
          <w:sz w:val="24"/>
          <w:szCs w:val="24"/>
        </w:rPr>
        <w:t xml:space="preserve"> et al., 2014)</w:t>
      </w:r>
      <w:r>
        <w:rPr>
          <w:rFonts w:ascii="Times New Roman" w:eastAsia="Times New Roman" w:hAnsi="Times New Roman" w:cs="Times New Roman"/>
          <w:sz w:val="24"/>
          <w:szCs w:val="24"/>
        </w:rPr>
        <w:t>. This will depend on the organisation providing structure, regular feedback loops, and, in part, ensuring managers have access to digital platforms that allow them to observe outcomes as opposed to behaviours.</w:t>
      </w:r>
    </w:p>
    <w:p w14:paraId="017863D3"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effective implementation of HR interventions depends entirely on the leadership ability, emotional intelligence and willingness of managers to shift into new managerial practices. Even if HR interventions are structured and well thought out, without specific training and then support structures, and mechanisms for accountability for managers, there would not be the intended receptiveness. Therefore, as policy is established, it will be most important to build the managerial capacity.</w:t>
      </w:r>
    </w:p>
    <w:p w14:paraId="029A37F9" w14:textId="77777777" w:rsidR="005870DD" w:rsidRDefault="000764E7" w:rsidP="008C2ABC">
      <w:pPr>
        <w:pStyle w:val="Heading1"/>
      </w:pPr>
      <w:bookmarkStart w:id="8" w:name="_Toc213344240"/>
      <w:r>
        <w:t xml:space="preserve">5.0 Recommendations </w:t>
      </w:r>
      <w:r w:rsidR="008C2ABC">
        <w:t>and Conclusions</w:t>
      </w:r>
      <w:bookmarkEnd w:id="8"/>
    </w:p>
    <w:p w14:paraId="71620646"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the organisation should enhance its change management communication strategy by leveraging consistent channels of feedback, e.g., quarterly staff consultation forums and regular team meetings in departments, to reduce uncertainty, promote employee voice, and build trust in times of change.</w:t>
      </w:r>
    </w:p>
    <w:p w14:paraId="5897A752" w14:textId="77777777" w:rsidR="005870DD"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 HSBC should enhance and formalise its digital upskilling activities by creating structured learning pathways that have an element of career progression. Having a protected learning time within working hours is important to ensure employees do not feel like it is a burden.</w:t>
      </w:r>
    </w:p>
    <w:p w14:paraId="4CFAD7EB" w14:textId="77777777" w:rsidR="004D6D18"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Thirdly, hybrid working policies should be enhanced to promote clarity and fairness across all departments. For example, standardised guidelines on availability, collaboration, etc. and workload coord</w:t>
      </w:r>
      <w:r w:rsidR="004D6D18">
        <w:rPr>
          <w:rFonts w:ascii="Times New Roman" w:eastAsia="Times New Roman" w:hAnsi="Times New Roman" w:cs="Times New Roman"/>
          <w:sz w:val="24"/>
          <w:szCs w:val="24"/>
        </w:rPr>
        <w:t>ination should be put in place.</w:t>
      </w:r>
    </w:p>
    <w:p w14:paraId="4E3A3820" w14:textId="77777777" w:rsidR="005870DD" w:rsidRPr="0087646C" w:rsidRDefault="000764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leadership development opportunities must be made a priority to support managers in building on their inclusive remote management, emotional intelligence, and performance coaching capabilities. </w:t>
      </w:r>
      <w:r w:rsidR="004D6D18">
        <w:rPr>
          <w:rFonts w:ascii="Times New Roman" w:eastAsia="Times New Roman" w:hAnsi="Times New Roman" w:cs="Times New Roman"/>
          <w:sz w:val="24"/>
          <w:szCs w:val="24"/>
        </w:rPr>
        <w:t>This will ensure HSBC succeeds with managing the workforce challenges.</w:t>
      </w:r>
    </w:p>
    <w:p w14:paraId="2A87F0BA" w14:textId="77777777" w:rsidR="005870DD" w:rsidRDefault="005870DD">
      <w:pPr>
        <w:spacing w:line="360" w:lineRule="auto"/>
        <w:jc w:val="both"/>
        <w:rPr>
          <w:rFonts w:ascii="Times New Roman" w:eastAsia="Times New Roman" w:hAnsi="Times New Roman" w:cs="Times New Roman"/>
          <w:b/>
          <w:sz w:val="28"/>
          <w:szCs w:val="28"/>
        </w:rPr>
      </w:pPr>
    </w:p>
    <w:p w14:paraId="3C2AE5E3" w14:textId="77777777" w:rsidR="005870DD" w:rsidRDefault="005870DD">
      <w:pPr>
        <w:spacing w:line="360" w:lineRule="auto"/>
        <w:jc w:val="both"/>
        <w:rPr>
          <w:rFonts w:ascii="Times New Roman" w:eastAsia="Times New Roman" w:hAnsi="Times New Roman" w:cs="Times New Roman"/>
          <w:b/>
          <w:sz w:val="28"/>
          <w:szCs w:val="28"/>
        </w:rPr>
      </w:pPr>
    </w:p>
    <w:p w14:paraId="54C218E5" w14:textId="77777777" w:rsidR="005870DD" w:rsidRDefault="005870DD">
      <w:pPr>
        <w:spacing w:line="360" w:lineRule="auto"/>
        <w:jc w:val="both"/>
        <w:rPr>
          <w:rFonts w:ascii="Times New Roman" w:eastAsia="Times New Roman" w:hAnsi="Times New Roman" w:cs="Times New Roman"/>
          <w:b/>
          <w:sz w:val="28"/>
          <w:szCs w:val="28"/>
        </w:rPr>
      </w:pPr>
    </w:p>
    <w:p w14:paraId="3541E474" w14:textId="77777777" w:rsidR="005870DD" w:rsidRDefault="005870DD">
      <w:pPr>
        <w:spacing w:line="360" w:lineRule="auto"/>
        <w:jc w:val="both"/>
        <w:rPr>
          <w:rFonts w:ascii="Times New Roman" w:eastAsia="Times New Roman" w:hAnsi="Times New Roman" w:cs="Times New Roman"/>
          <w:b/>
          <w:sz w:val="28"/>
          <w:szCs w:val="28"/>
        </w:rPr>
      </w:pPr>
    </w:p>
    <w:p w14:paraId="3BE6191F" w14:textId="77777777" w:rsidR="005870DD" w:rsidRDefault="005870DD">
      <w:pPr>
        <w:spacing w:line="360" w:lineRule="auto"/>
        <w:jc w:val="both"/>
        <w:rPr>
          <w:rFonts w:ascii="Times New Roman" w:eastAsia="Times New Roman" w:hAnsi="Times New Roman" w:cs="Times New Roman"/>
          <w:b/>
          <w:sz w:val="28"/>
          <w:szCs w:val="28"/>
        </w:rPr>
      </w:pPr>
    </w:p>
    <w:p w14:paraId="055E9215" w14:textId="77777777" w:rsidR="005870DD" w:rsidRDefault="005870DD">
      <w:pPr>
        <w:spacing w:line="360" w:lineRule="auto"/>
        <w:jc w:val="both"/>
        <w:rPr>
          <w:rFonts w:ascii="Times New Roman" w:eastAsia="Times New Roman" w:hAnsi="Times New Roman" w:cs="Times New Roman"/>
          <w:b/>
          <w:sz w:val="28"/>
          <w:szCs w:val="28"/>
        </w:rPr>
      </w:pPr>
    </w:p>
    <w:p w14:paraId="1816DE9D" w14:textId="77777777" w:rsidR="005870DD" w:rsidRDefault="005870DD">
      <w:pPr>
        <w:spacing w:line="360" w:lineRule="auto"/>
        <w:jc w:val="both"/>
        <w:rPr>
          <w:rFonts w:ascii="Times New Roman" w:eastAsia="Times New Roman" w:hAnsi="Times New Roman" w:cs="Times New Roman"/>
          <w:b/>
          <w:sz w:val="28"/>
          <w:szCs w:val="28"/>
        </w:rPr>
      </w:pPr>
    </w:p>
    <w:p w14:paraId="4066DC3E" w14:textId="77777777" w:rsidR="008C2ABC" w:rsidRDefault="008C2ABC">
      <w:pPr>
        <w:spacing w:line="360" w:lineRule="auto"/>
        <w:jc w:val="both"/>
        <w:rPr>
          <w:rFonts w:ascii="Times New Roman" w:eastAsia="Times New Roman" w:hAnsi="Times New Roman" w:cs="Times New Roman"/>
          <w:b/>
          <w:sz w:val="28"/>
          <w:szCs w:val="28"/>
        </w:rPr>
      </w:pPr>
    </w:p>
    <w:p w14:paraId="451BFAA2" w14:textId="77777777" w:rsidR="008C2ABC" w:rsidRDefault="008C2ABC">
      <w:pPr>
        <w:spacing w:line="360" w:lineRule="auto"/>
        <w:jc w:val="both"/>
        <w:rPr>
          <w:rFonts w:ascii="Times New Roman" w:eastAsia="Times New Roman" w:hAnsi="Times New Roman" w:cs="Times New Roman"/>
          <w:b/>
          <w:sz w:val="28"/>
          <w:szCs w:val="28"/>
        </w:rPr>
      </w:pPr>
    </w:p>
    <w:p w14:paraId="5D6AF6F6" w14:textId="77777777" w:rsidR="008C2ABC" w:rsidRDefault="008C2ABC">
      <w:pPr>
        <w:spacing w:line="360" w:lineRule="auto"/>
        <w:jc w:val="both"/>
        <w:rPr>
          <w:rFonts w:ascii="Times New Roman" w:eastAsia="Times New Roman" w:hAnsi="Times New Roman" w:cs="Times New Roman"/>
          <w:b/>
          <w:sz w:val="28"/>
          <w:szCs w:val="28"/>
        </w:rPr>
      </w:pPr>
    </w:p>
    <w:p w14:paraId="6B911A99" w14:textId="77777777" w:rsidR="008C2ABC" w:rsidRDefault="008C2ABC">
      <w:pPr>
        <w:spacing w:line="360" w:lineRule="auto"/>
        <w:jc w:val="both"/>
        <w:rPr>
          <w:rFonts w:ascii="Times New Roman" w:eastAsia="Times New Roman" w:hAnsi="Times New Roman" w:cs="Times New Roman"/>
          <w:b/>
          <w:sz w:val="28"/>
          <w:szCs w:val="28"/>
        </w:rPr>
      </w:pPr>
    </w:p>
    <w:p w14:paraId="38B65A9D" w14:textId="77777777" w:rsidR="008C2ABC" w:rsidRDefault="008C2ABC">
      <w:pPr>
        <w:spacing w:line="360" w:lineRule="auto"/>
        <w:jc w:val="both"/>
        <w:rPr>
          <w:rFonts w:ascii="Times New Roman" w:eastAsia="Times New Roman" w:hAnsi="Times New Roman" w:cs="Times New Roman"/>
          <w:b/>
          <w:sz w:val="28"/>
          <w:szCs w:val="28"/>
        </w:rPr>
      </w:pPr>
    </w:p>
    <w:p w14:paraId="46BF1C9D" w14:textId="77777777" w:rsidR="008C2ABC" w:rsidRDefault="008C2ABC">
      <w:pPr>
        <w:spacing w:line="360" w:lineRule="auto"/>
        <w:jc w:val="both"/>
        <w:rPr>
          <w:rFonts w:ascii="Times New Roman" w:eastAsia="Times New Roman" w:hAnsi="Times New Roman" w:cs="Times New Roman"/>
          <w:b/>
          <w:sz w:val="28"/>
          <w:szCs w:val="28"/>
        </w:rPr>
      </w:pPr>
    </w:p>
    <w:p w14:paraId="2CB99C3C" w14:textId="77777777" w:rsidR="008C2ABC" w:rsidRDefault="008C2ABC">
      <w:pPr>
        <w:spacing w:line="360" w:lineRule="auto"/>
        <w:jc w:val="both"/>
        <w:rPr>
          <w:rFonts w:ascii="Times New Roman" w:eastAsia="Times New Roman" w:hAnsi="Times New Roman" w:cs="Times New Roman"/>
          <w:b/>
          <w:sz w:val="28"/>
          <w:szCs w:val="28"/>
        </w:rPr>
      </w:pPr>
    </w:p>
    <w:p w14:paraId="67AB8488" w14:textId="77777777" w:rsidR="008C2ABC" w:rsidRDefault="008C2ABC">
      <w:pPr>
        <w:spacing w:line="360" w:lineRule="auto"/>
        <w:jc w:val="both"/>
        <w:rPr>
          <w:rFonts w:ascii="Times New Roman" w:eastAsia="Times New Roman" w:hAnsi="Times New Roman" w:cs="Times New Roman"/>
          <w:b/>
          <w:sz w:val="28"/>
          <w:szCs w:val="28"/>
        </w:rPr>
      </w:pPr>
    </w:p>
    <w:p w14:paraId="3A085456" w14:textId="77777777" w:rsidR="008C2ABC" w:rsidRDefault="008C2ABC">
      <w:pPr>
        <w:spacing w:line="360" w:lineRule="auto"/>
        <w:jc w:val="both"/>
        <w:rPr>
          <w:rFonts w:ascii="Times New Roman" w:eastAsia="Times New Roman" w:hAnsi="Times New Roman" w:cs="Times New Roman"/>
          <w:b/>
          <w:sz w:val="28"/>
          <w:szCs w:val="28"/>
        </w:rPr>
      </w:pPr>
    </w:p>
    <w:p w14:paraId="6C98358A" w14:textId="77777777" w:rsidR="008C2ABC" w:rsidRDefault="008C2ABC">
      <w:pPr>
        <w:spacing w:line="360" w:lineRule="auto"/>
        <w:jc w:val="both"/>
        <w:rPr>
          <w:rFonts w:ascii="Times New Roman" w:eastAsia="Times New Roman" w:hAnsi="Times New Roman" w:cs="Times New Roman"/>
          <w:b/>
          <w:sz w:val="28"/>
          <w:szCs w:val="28"/>
        </w:rPr>
      </w:pPr>
    </w:p>
    <w:p w14:paraId="264AE838" w14:textId="77777777" w:rsidR="008C2ABC" w:rsidRDefault="008C2ABC">
      <w:pPr>
        <w:spacing w:line="360" w:lineRule="auto"/>
        <w:jc w:val="both"/>
        <w:rPr>
          <w:rFonts w:ascii="Times New Roman" w:eastAsia="Times New Roman" w:hAnsi="Times New Roman" w:cs="Times New Roman"/>
          <w:b/>
          <w:sz w:val="28"/>
          <w:szCs w:val="28"/>
        </w:rPr>
      </w:pPr>
    </w:p>
    <w:p w14:paraId="22BB7434" w14:textId="77777777" w:rsidR="008C2ABC" w:rsidRDefault="008C2ABC">
      <w:pPr>
        <w:spacing w:line="360" w:lineRule="auto"/>
        <w:jc w:val="both"/>
        <w:rPr>
          <w:rFonts w:ascii="Times New Roman" w:eastAsia="Times New Roman" w:hAnsi="Times New Roman" w:cs="Times New Roman"/>
          <w:b/>
          <w:sz w:val="28"/>
          <w:szCs w:val="28"/>
        </w:rPr>
      </w:pPr>
    </w:p>
    <w:p w14:paraId="0C65A9CA" w14:textId="77777777" w:rsidR="008C2ABC" w:rsidRDefault="008C2ABC">
      <w:pPr>
        <w:spacing w:line="360" w:lineRule="auto"/>
        <w:jc w:val="both"/>
        <w:rPr>
          <w:rFonts w:ascii="Times New Roman" w:eastAsia="Times New Roman" w:hAnsi="Times New Roman" w:cs="Times New Roman"/>
          <w:b/>
          <w:sz w:val="28"/>
          <w:szCs w:val="28"/>
        </w:rPr>
      </w:pPr>
    </w:p>
    <w:p w14:paraId="332F5505" w14:textId="77777777" w:rsidR="0087646C" w:rsidRDefault="0087646C">
      <w:pPr>
        <w:spacing w:line="360" w:lineRule="auto"/>
        <w:jc w:val="both"/>
        <w:rPr>
          <w:rFonts w:ascii="Times New Roman" w:eastAsia="Times New Roman" w:hAnsi="Times New Roman" w:cs="Times New Roman"/>
          <w:b/>
          <w:sz w:val="28"/>
          <w:szCs w:val="28"/>
        </w:rPr>
      </w:pPr>
    </w:p>
    <w:p w14:paraId="39DD61DB" w14:textId="77777777" w:rsidR="008C2ABC" w:rsidRDefault="000764E7" w:rsidP="008C2ABC">
      <w:pPr>
        <w:pStyle w:val="Heading1"/>
      </w:pPr>
      <w:bookmarkStart w:id="9" w:name="_Toc213344241"/>
      <w:r>
        <w:t>References</w:t>
      </w:r>
      <w:bookmarkEnd w:id="9"/>
    </w:p>
    <w:p w14:paraId="7CFFDB82" w14:textId="77777777" w:rsidR="00F11A68" w:rsidRPr="004616E4" w:rsidRDefault="000764E7" w:rsidP="00F11A68">
      <w:pPr>
        <w:spacing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Al-Haddad, S. and </w:t>
      </w:r>
      <w:proofErr w:type="spellStart"/>
      <w:r w:rsidRPr="004616E4">
        <w:rPr>
          <w:rFonts w:ascii="Times New Roman" w:hAnsi="Times New Roman" w:cs="Times New Roman"/>
          <w:sz w:val="24"/>
          <w:szCs w:val="24"/>
        </w:rPr>
        <w:t>Kotnour</w:t>
      </w:r>
      <w:proofErr w:type="spellEnd"/>
      <w:r w:rsidRPr="004616E4">
        <w:rPr>
          <w:rFonts w:ascii="Times New Roman" w:hAnsi="Times New Roman" w:cs="Times New Roman"/>
          <w:sz w:val="24"/>
          <w:szCs w:val="24"/>
        </w:rPr>
        <w:t xml:space="preserve">, T., 2015. </w:t>
      </w:r>
      <w:r w:rsidRPr="004616E4">
        <w:rPr>
          <w:rFonts w:ascii="Times New Roman" w:hAnsi="Times New Roman" w:cs="Times New Roman"/>
          <w:i/>
          <w:sz w:val="24"/>
          <w:szCs w:val="24"/>
        </w:rPr>
        <w:t>Integrating the organisational change literature: a model for successful change</w:t>
      </w:r>
      <w:r w:rsidRPr="004616E4">
        <w:rPr>
          <w:rFonts w:ascii="Times New Roman" w:hAnsi="Times New Roman" w:cs="Times New Roman"/>
          <w:sz w:val="24"/>
          <w:szCs w:val="24"/>
        </w:rPr>
        <w:t>. Journal of Organisational Change Management, 28(2), pp.234–262.</w:t>
      </w:r>
    </w:p>
    <w:p w14:paraId="7E94F8F8" w14:textId="77777777" w:rsidR="00F11A68" w:rsidRPr="004616E4" w:rsidRDefault="000764E7" w:rsidP="00F11A68">
      <w:pPr>
        <w:spacing w:before="240"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Bondarouk, T. and Brewster, C., 2016. </w:t>
      </w:r>
      <w:r w:rsidRPr="004616E4">
        <w:rPr>
          <w:rFonts w:ascii="Times New Roman" w:hAnsi="Times New Roman" w:cs="Times New Roman"/>
          <w:i/>
          <w:sz w:val="24"/>
          <w:szCs w:val="24"/>
        </w:rPr>
        <w:t>Conceptualising the future of HRM and technology research</w:t>
      </w:r>
      <w:r w:rsidRPr="004616E4">
        <w:rPr>
          <w:rFonts w:ascii="Times New Roman" w:hAnsi="Times New Roman" w:cs="Times New Roman"/>
          <w:sz w:val="24"/>
          <w:szCs w:val="24"/>
        </w:rPr>
        <w:t>. The International Journal of Human Resource Management, 27(21), pp.2652–2671.</w:t>
      </w:r>
    </w:p>
    <w:p w14:paraId="34202DC4" w14:textId="77777777" w:rsidR="00F11A68" w:rsidRPr="004616E4" w:rsidRDefault="000764E7" w:rsidP="00F11A68">
      <w:pPr>
        <w:spacing w:before="240"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Cameron, E. and Green, M., 2020. </w:t>
      </w:r>
      <w:r w:rsidRPr="004616E4">
        <w:rPr>
          <w:rFonts w:ascii="Times New Roman" w:hAnsi="Times New Roman" w:cs="Times New Roman"/>
          <w:i/>
          <w:sz w:val="24"/>
          <w:szCs w:val="24"/>
        </w:rPr>
        <w:t>Making Sense of Change Management: A Complete Guide to the Models, Tools and Techniques of Organisational Change</w:t>
      </w:r>
      <w:r w:rsidRPr="004616E4">
        <w:rPr>
          <w:rFonts w:ascii="Times New Roman" w:hAnsi="Times New Roman" w:cs="Times New Roman"/>
          <w:sz w:val="24"/>
          <w:szCs w:val="24"/>
        </w:rPr>
        <w:t>. 5th ed. London: Kogan Page.</w:t>
      </w:r>
    </w:p>
    <w:p w14:paraId="518892CA" w14:textId="77777777" w:rsidR="00F11A68" w:rsidRPr="004616E4" w:rsidRDefault="000764E7" w:rsidP="00F11A68">
      <w:pPr>
        <w:spacing w:after="240" w:line="360" w:lineRule="auto"/>
        <w:jc w:val="both"/>
        <w:rPr>
          <w:rFonts w:ascii="Times New Roman" w:hAnsi="Times New Roman" w:cs="Times New Roman"/>
          <w:sz w:val="24"/>
          <w:szCs w:val="24"/>
        </w:rPr>
      </w:pPr>
      <w:proofErr w:type="spellStart"/>
      <w:r w:rsidRPr="004616E4">
        <w:rPr>
          <w:rFonts w:ascii="Times New Roman" w:hAnsi="Times New Roman" w:cs="Times New Roman"/>
          <w:sz w:val="24"/>
          <w:szCs w:val="24"/>
        </w:rPr>
        <w:t>Crooney</w:t>
      </w:r>
      <w:proofErr w:type="spellEnd"/>
      <w:r w:rsidRPr="004616E4">
        <w:rPr>
          <w:rFonts w:ascii="Times New Roman" w:hAnsi="Times New Roman" w:cs="Times New Roman"/>
          <w:sz w:val="24"/>
          <w:szCs w:val="24"/>
        </w:rPr>
        <w:t xml:space="preserve">, L., Tootell, B. and Scott, J. (2025). Employee Experiences and Productivity in Flexible Work Arrangements: A Job Demands–Resources Model Analysis from New Zealand. </w:t>
      </w:r>
      <w:r w:rsidRPr="004616E4">
        <w:rPr>
          <w:rFonts w:ascii="Times New Roman" w:hAnsi="Times New Roman" w:cs="Times New Roman"/>
          <w:i/>
          <w:sz w:val="24"/>
          <w:szCs w:val="24"/>
        </w:rPr>
        <w:t>Businesses</w:t>
      </w:r>
      <w:r w:rsidRPr="004616E4">
        <w:rPr>
          <w:rFonts w:ascii="Times New Roman" w:hAnsi="Times New Roman" w:cs="Times New Roman"/>
          <w:sz w:val="24"/>
          <w:szCs w:val="24"/>
        </w:rPr>
        <w:t>, [online] 5(3), p.41. Doi: https://doi.org/10.3390/businesses5030041.</w:t>
      </w:r>
    </w:p>
    <w:p w14:paraId="7F74405F" w14:textId="77777777" w:rsidR="00F11A68" w:rsidRDefault="000764E7" w:rsidP="00F11A68">
      <w:pPr>
        <w:pStyle w:val="NormalWeb"/>
        <w:spacing w:before="0" w:beforeAutospacing="0" w:after="240" w:afterAutospacing="0" w:line="360" w:lineRule="auto"/>
        <w:jc w:val="both"/>
      </w:pPr>
      <w:r>
        <w:t xml:space="preserve">HSBC UK (2024). </w:t>
      </w:r>
      <w:r>
        <w:rPr>
          <w:i/>
          <w:iCs/>
        </w:rPr>
        <w:t>HSBC UK is announcing no new branch closures until 2026</w:t>
      </w:r>
      <w:r>
        <w:t>. [online] Hsbc.co.uk. Available at: https://www.about.hsbc.co.uk/news-and-media/hsbc-uk-extends-commitment-to-announce-no-new-branch-closures-until-at-least-2026 [Accessed 3 Nov. 2025].</w:t>
      </w:r>
    </w:p>
    <w:p w14:paraId="29D6796B" w14:textId="77777777" w:rsidR="00F11A68" w:rsidRPr="004616E4" w:rsidRDefault="000764E7" w:rsidP="00F11A68">
      <w:pPr>
        <w:spacing w:before="240"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Kelliher, C. and Anderson, D., 2010. </w:t>
      </w:r>
      <w:r w:rsidRPr="004616E4">
        <w:rPr>
          <w:rFonts w:ascii="Times New Roman" w:hAnsi="Times New Roman" w:cs="Times New Roman"/>
          <w:i/>
          <w:sz w:val="24"/>
          <w:szCs w:val="24"/>
        </w:rPr>
        <w:t>Doing more with less? Flexible working practices and the intensification of work</w:t>
      </w:r>
      <w:r w:rsidRPr="004616E4">
        <w:rPr>
          <w:rFonts w:ascii="Times New Roman" w:hAnsi="Times New Roman" w:cs="Times New Roman"/>
          <w:sz w:val="24"/>
          <w:szCs w:val="24"/>
        </w:rPr>
        <w:t>. Human Relations, 63(1), pp.83–106.</w:t>
      </w:r>
    </w:p>
    <w:p w14:paraId="23FCCFEB" w14:textId="77777777" w:rsidR="00F11A68" w:rsidRDefault="000764E7" w:rsidP="00F11A68">
      <w:pPr>
        <w:pStyle w:val="NormalWeb"/>
        <w:spacing w:before="0" w:beforeAutospacing="0" w:after="240" w:afterAutospacing="0" w:line="360" w:lineRule="auto"/>
        <w:jc w:val="both"/>
      </w:pPr>
      <w:r>
        <w:t xml:space="preserve">Khaw, K.W., Alnoor, A., </w:t>
      </w:r>
      <w:proofErr w:type="spellStart"/>
      <w:r>
        <w:t>Abrrow</w:t>
      </w:r>
      <w:proofErr w:type="spellEnd"/>
      <w:r>
        <w:t xml:space="preserve">, H.A., Tiberius, V., Ganesan, Y. and Atshan, N.A. (2022). Reactions Towards Organisational Change: a Systematic Literature Review. </w:t>
      </w:r>
      <w:r>
        <w:rPr>
          <w:i/>
          <w:iCs/>
        </w:rPr>
        <w:t>Current Psychology</w:t>
      </w:r>
      <w:r>
        <w:t xml:space="preserve">, [online] 42. </w:t>
      </w:r>
      <w:proofErr w:type="spellStart"/>
      <w:r>
        <w:t>doi:https</w:t>
      </w:r>
      <w:proofErr w:type="spellEnd"/>
      <w:r>
        <w:t>://doi.org/10.1007/s12144-022-03070-6.</w:t>
      </w:r>
    </w:p>
    <w:p w14:paraId="34C1403D" w14:textId="77777777" w:rsidR="00F11A68" w:rsidRPr="004616E4" w:rsidRDefault="000764E7" w:rsidP="00F11A68">
      <w:pPr>
        <w:spacing w:before="240"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Kossek, E.E., Thompson, R.J. and </w:t>
      </w:r>
      <w:proofErr w:type="spellStart"/>
      <w:r w:rsidRPr="004616E4">
        <w:rPr>
          <w:rFonts w:ascii="Times New Roman" w:hAnsi="Times New Roman" w:cs="Times New Roman"/>
          <w:sz w:val="24"/>
          <w:szCs w:val="24"/>
        </w:rPr>
        <w:t>Lautsch</w:t>
      </w:r>
      <w:proofErr w:type="spellEnd"/>
      <w:r w:rsidRPr="004616E4">
        <w:rPr>
          <w:rFonts w:ascii="Times New Roman" w:hAnsi="Times New Roman" w:cs="Times New Roman"/>
          <w:sz w:val="24"/>
          <w:szCs w:val="24"/>
        </w:rPr>
        <w:t xml:space="preserve">, B.A., 2014. </w:t>
      </w:r>
      <w:r w:rsidRPr="004616E4">
        <w:rPr>
          <w:rFonts w:ascii="Times New Roman" w:hAnsi="Times New Roman" w:cs="Times New Roman"/>
          <w:i/>
          <w:sz w:val="24"/>
          <w:szCs w:val="24"/>
        </w:rPr>
        <w:t>Balanced workplace flexibility: Avoiding the traps</w:t>
      </w:r>
      <w:r w:rsidRPr="004616E4">
        <w:rPr>
          <w:rFonts w:ascii="Times New Roman" w:hAnsi="Times New Roman" w:cs="Times New Roman"/>
          <w:sz w:val="24"/>
          <w:szCs w:val="24"/>
        </w:rPr>
        <w:t>. California Management Review, 56(2), pp.5–25.</w:t>
      </w:r>
    </w:p>
    <w:p w14:paraId="74CA4424" w14:textId="77777777" w:rsidR="00F11A68" w:rsidRPr="004616E4" w:rsidRDefault="000764E7" w:rsidP="00F11A68">
      <w:pPr>
        <w:spacing w:before="240"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Marler, J.H. and Boudreau, J.W., 2017. </w:t>
      </w:r>
      <w:r w:rsidRPr="004616E4">
        <w:rPr>
          <w:rFonts w:ascii="Times New Roman" w:hAnsi="Times New Roman" w:cs="Times New Roman"/>
          <w:i/>
          <w:sz w:val="24"/>
          <w:szCs w:val="24"/>
        </w:rPr>
        <w:t>An evidence-based review of HR Analytics</w:t>
      </w:r>
      <w:r w:rsidRPr="004616E4">
        <w:rPr>
          <w:rFonts w:ascii="Times New Roman" w:hAnsi="Times New Roman" w:cs="Times New Roman"/>
          <w:sz w:val="24"/>
          <w:szCs w:val="24"/>
        </w:rPr>
        <w:t>. The International Journal of Human Resource Management, 28(1), pp.3–26.</w:t>
      </w:r>
    </w:p>
    <w:p w14:paraId="0EA50D12" w14:textId="77777777" w:rsidR="00F11A68" w:rsidRDefault="000764E7" w:rsidP="00F11A68">
      <w:pPr>
        <w:pStyle w:val="NormalWeb"/>
        <w:spacing w:before="0" w:beforeAutospacing="0" w:after="240" w:afterAutospacing="0" w:line="360" w:lineRule="auto"/>
        <w:jc w:val="both"/>
      </w:pPr>
      <w:r>
        <w:t xml:space="preserve">May, R.D. (2023). </w:t>
      </w:r>
      <w:r>
        <w:rPr>
          <w:i/>
          <w:iCs/>
        </w:rPr>
        <w:t>How HSBC fights money launderers with artificial intelligence</w:t>
      </w:r>
      <w:r>
        <w:t>. [online] Google Cloud Blog. Available at: https://cloud.google.com/blog/topics/financial-services/how-hsbc-fights-money-launderers-with-artificial-intelligence [Accessed 3 Nov. 2025].</w:t>
      </w:r>
    </w:p>
    <w:p w14:paraId="6CF325E8" w14:textId="77777777" w:rsidR="00F11A68" w:rsidRPr="004616E4" w:rsidRDefault="000764E7" w:rsidP="00F11A68">
      <w:pPr>
        <w:spacing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Milhem, M., Ateeq, A., Al </w:t>
      </w:r>
      <w:proofErr w:type="spellStart"/>
      <w:r w:rsidRPr="004616E4">
        <w:rPr>
          <w:rFonts w:ascii="Times New Roman" w:hAnsi="Times New Roman" w:cs="Times New Roman"/>
          <w:sz w:val="24"/>
          <w:szCs w:val="24"/>
        </w:rPr>
        <w:t>Astal</w:t>
      </w:r>
      <w:proofErr w:type="spellEnd"/>
      <w:r w:rsidRPr="004616E4">
        <w:rPr>
          <w:rFonts w:ascii="Times New Roman" w:hAnsi="Times New Roman" w:cs="Times New Roman"/>
          <w:sz w:val="24"/>
          <w:szCs w:val="24"/>
        </w:rPr>
        <w:t xml:space="preserve">, A. and Almeer, S. (2024). Digital Transformation in HRM: Navigating the Future of Human Resource Management. </w:t>
      </w:r>
      <w:r w:rsidRPr="004616E4">
        <w:rPr>
          <w:rFonts w:ascii="Times New Roman" w:hAnsi="Times New Roman" w:cs="Times New Roman"/>
          <w:i/>
          <w:sz w:val="24"/>
          <w:szCs w:val="24"/>
        </w:rPr>
        <w:t>Studies in Systems, Decision and Control</w:t>
      </w:r>
      <w:r w:rsidRPr="004616E4">
        <w:rPr>
          <w:rFonts w:ascii="Times New Roman" w:hAnsi="Times New Roman" w:cs="Times New Roman"/>
          <w:sz w:val="24"/>
          <w:szCs w:val="24"/>
        </w:rPr>
        <w:t xml:space="preserve">, 522, pp.23–33. </w:t>
      </w:r>
      <w:proofErr w:type="spellStart"/>
      <w:r w:rsidRPr="004616E4">
        <w:rPr>
          <w:rFonts w:ascii="Times New Roman" w:hAnsi="Times New Roman" w:cs="Times New Roman"/>
          <w:sz w:val="24"/>
          <w:szCs w:val="24"/>
        </w:rPr>
        <w:t>doi:https</w:t>
      </w:r>
      <w:proofErr w:type="spellEnd"/>
      <w:r w:rsidRPr="004616E4">
        <w:rPr>
          <w:rFonts w:ascii="Times New Roman" w:hAnsi="Times New Roman" w:cs="Times New Roman"/>
          <w:sz w:val="24"/>
          <w:szCs w:val="24"/>
        </w:rPr>
        <w:t>://doi.org/10.1007/978-3-031-71318-7_3.</w:t>
      </w:r>
    </w:p>
    <w:p w14:paraId="4702223A" w14:textId="77777777" w:rsidR="00F11A68" w:rsidRPr="004616E4" w:rsidRDefault="000764E7" w:rsidP="00F11A68">
      <w:pPr>
        <w:spacing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O’Brien, C., Li, Z., </w:t>
      </w:r>
      <w:proofErr w:type="spellStart"/>
      <w:r w:rsidRPr="004616E4">
        <w:rPr>
          <w:rFonts w:ascii="Times New Roman" w:hAnsi="Times New Roman" w:cs="Times New Roman"/>
          <w:sz w:val="24"/>
          <w:szCs w:val="24"/>
        </w:rPr>
        <w:t>Adotey</w:t>
      </w:r>
      <w:proofErr w:type="spellEnd"/>
      <w:r w:rsidRPr="004616E4">
        <w:rPr>
          <w:rFonts w:ascii="Times New Roman" w:hAnsi="Times New Roman" w:cs="Times New Roman"/>
          <w:sz w:val="24"/>
          <w:szCs w:val="24"/>
        </w:rPr>
        <w:t xml:space="preserve">, P.B. and </w:t>
      </w:r>
      <w:proofErr w:type="spellStart"/>
      <w:r w:rsidRPr="004616E4">
        <w:rPr>
          <w:rFonts w:ascii="Times New Roman" w:hAnsi="Times New Roman" w:cs="Times New Roman"/>
          <w:sz w:val="24"/>
          <w:szCs w:val="24"/>
        </w:rPr>
        <w:t>Yohuno</w:t>
      </w:r>
      <w:proofErr w:type="spellEnd"/>
      <w:r w:rsidRPr="004616E4">
        <w:rPr>
          <w:rFonts w:ascii="Times New Roman" w:hAnsi="Times New Roman" w:cs="Times New Roman"/>
          <w:sz w:val="24"/>
          <w:szCs w:val="24"/>
        </w:rPr>
        <w:t xml:space="preserve">, G. (2025). Mapping a decade of digital transformation in HRM: trends, implications, and future research directions. </w:t>
      </w:r>
      <w:r w:rsidRPr="004616E4">
        <w:rPr>
          <w:rFonts w:ascii="Times New Roman" w:hAnsi="Times New Roman" w:cs="Times New Roman"/>
          <w:i/>
          <w:sz w:val="24"/>
          <w:szCs w:val="24"/>
        </w:rPr>
        <w:t>Current Psychology</w:t>
      </w:r>
      <w:r w:rsidRPr="004616E4">
        <w:rPr>
          <w:rFonts w:ascii="Times New Roman" w:hAnsi="Times New Roman" w:cs="Times New Roman"/>
          <w:sz w:val="24"/>
          <w:szCs w:val="24"/>
        </w:rPr>
        <w:t>, 44, pp.13234–13253. Doi: https://doi.org/10.1007/s12144-025-08064-8.</w:t>
      </w:r>
    </w:p>
    <w:p w14:paraId="37E7E8F5" w14:textId="77777777" w:rsidR="00F11A68" w:rsidRDefault="000764E7" w:rsidP="00F11A68">
      <w:pPr>
        <w:pStyle w:val="NormalWeb"/>
        <w:spacing w:before="0" w:beforeAutospacing="0" w:after="240" w:afterAutospacing="0" w:line="360" w:lineRule="auto"/>
        <w:jc w:val="both"/>
      </w:pPr>
      <w:r>
        <w:t xml:space="preserve">Poláková, M., </w:t>
      </w:r>
      <w:proofErr w:type="spellStart"/>
      <w:r>
        <w:t>Suleimanová</w:t>
      </w:r>
      <w:proofErr w:type="spellEnd"/>
      <w:r>
        <w:t xml:space="preserve">, J.H., </w:t>
      </w:r>
      <w:proofErr w:type="spellStart"/>
      <w:r>
        <w:t>Madzík</w:t>
      </w:r>
      <w:proofErr w:type="spellEnd"/>
      <w:r>
        <w:t xml:space="preserve">, P., </w:t>
      </w:r>
      <w:proofErr w:type="spellStart"/>
      <w:r>
        <w:t>Copuš</w:t>
      </w:r>
      <w:proofErr w:type="spellEnd"/>
      <w:r>
        <w:t xml:space="preserve">, L., </w:t>
      </w:r>
      <w:proofErr w:type="spellStart"/>
      <w:r>
        <w:t>Molnárová</w:t>
      </w:r>
      <w:proofErr w:type="spellEnd"/>
      <w:r>
        <w:t xml:space="preserve">, I. and </w:t>
      </w:r>
      <w:proofErr w:type="spellStart"/>
      <w:r>
        <w:t>Polednová</w:t>
      </w:r>
      <w:proofErr w:type="spellEnd"/>
      <w:r>
        <w:t xml:space="preserve">, J. (2023). Soft skills and their importance in the labour market under the conditions of Industry 5.0. </w:t>
      </w:r>
      <w:proofErr w:type="spellStart"/>
      <w:r>
        <w:rPr>
          <w:i/>
          <w:iCs/>
        </w:rPr>
        <w:t>Heliyon</w:t>
      </w:r>
      <w:proofErr w:type="spellEnd"/>
      <w:r>
        <w:t xml:space="preserve">, [online] 9(8). </w:t>
      </w:r>
      <w:proofErr w:type="spellStart"/>
      <w:r>
        <w:t>doi:https</w:t>
      </w:r>
      <w:proofErr w:type="spellEnd"/>
      <w:r>
        <w:t>://doi.org/10.1016/j.heliyon.2023.e18670.</w:t>
      </w:r>
    </w:p>
    <w:p w14:paraId="56E0C955" w14:textId="77777777" w:rsidR="00F11A68" w:rsidRDefault="000764E7" w:rsidP="00F11A68">
      <w:pPr>
        <w:pStyle w:val="NormalWeb"/>
        <w:spacing w:before="0" w:beforeAutospacing="0" w:after="240" w:afterAutospacing="0" w:line="360" w:lineRule="auto"/>
        <w:jc w:val="both"/>
      </w:pPr>
      <w:r>
        <w:t xml:space="preserve">Ribeiro, J., Silva and Vieira, P.R. (2024). Remote workers' well-being: Are innovative organisations really concerned? A bibliometrics analysis. </w:t>
      </w:r>
      <w:r>
        <w:rPr>
          <w:i/>
          <w:iCs/>
        </w:rPr>
        <w:t>Journal of Innovation &amp; Knowledge</w:t>
      </w:r>
      <w:r>
        <w:t xml:space="preserve">, [online] 9(4), pp.100595-. </w:t>
      </w:r>
      <w:proofErr w:type="spellStart"/>
      <w:r>
        <w:t>doi:https</w:t>
      </w:r>
      <w:proofErr w:type="spellEnd"/>
      <w:r>
        <w:t>://doi.org/10.1016/j.jik.2024.100595.</w:t>
      </w:r>
    </w:p>
    <w:p w14:paraId="0898A2EA" w14:textId="77777777" w:rsidR="00F11A68" w:rsidRPr="004616E4" w:rsidRDefault="000764E7" w:rsidP="00F11A68">
      <w:pPr>
        <w:spacing w:after="240" w:line="360" w:lineRule="auto"/>
        <w:jc w:val="both"/>
        <w:rPr>
          <w:rFonts w:ascii="Times New Roman" w:hAnsi="Times New Roman" w:cs="Times New Roman"/>
          <w:sz w:val="24"/>
          <w:szCs w:val="24"/>
        </w:rPr>
      </w:pPr>
      <w:proofErr w:type="spellStart"/>
      <w:r w:rsidRPr="004616E4">
        <w:rPr>
          <w:rFonts w:ascii="Times New Roman" w:hAnsi="Times New Roman" w:cs="Times New Roman"/>
          <w:sz w:val="24"/>
          <w:szCs w:val="24"/>
        </w:rPr>
        <w:t>Sakib</w:t>
      </w:r>
      <w:proofErr w:type="spellEnd"/>
      <w:r w:rsidRPr="004616E4">
        <w:rPr>
          <w:rFonts w:ascii="Times New Roman" w:hAnsi="Times New Roman" w:cs="Times New Roman"/>
          <w:sz w:val="24"/>
          <w:szCs w:val="24"/>
        </w:rPr>
        <w:t xml:space="preserve">, Md.N., Ullah, M.S. and Rahman, M.M. (2025). Mapping the evolution of digital human resource management: a systematic review and bibliometric analysis. </w:t>
      </w:r>
      <w:r w:rsidRPr="004616E4">
        <w:rPr>
          <w:rFonts w:ascii="Times New Roman" w:hAnsi="Times New Roman" w:cs="Times New Roman"/>
          <w:i/>
          <w:sz w:val="24"/>
          <w:szCs w:val="24"/>
        </w:rPr>
        <w:t>Future Business Journal</w:t>
      </w:r>
      <w:r w:rsidRPr="004616E4">
        <w:rPr>
          <w:rFonts w:ascii="Times New Roman" w:hAnsi="Times New Roman" w:cs="Times New Roman"/>
          <w:sz w:val="24"/>
          <w:szCs w:val="24"/>
        </w:rPr>
        <w:t>, 11(1). Doi: https://doi.org/10.1186/s43093-025-00577-9.</w:t>
      </w:r>
    </w:p>
    <w:p w14:paraId="62AEA719" w14:textId="77777777" w:rsidR="00F11A68" w:rsidRDefault="000764E7" w:rsidP="00F11A68">
      <w:pPr>
        <w:spacing w:before="240" w:after="240" w:line="360" w:lineRule="auto"/>
        <w:jc w:val="both"/>
        <w:rPr>
          <w:rFonts w:ascii="Times New Roman" w:hAnsi="Times New Roman" w:cs="Times New Roman"/>
          <w:sz w:val="24"/>
          <w:szCs w:val="24"/>
        </w:rPr>
      </w:pPr>
      <w:r w:rsidRPr="004616E4">
        <w:rPr>
          <w:rFonts w:ascii="Times New Roman" w:hAnsi="Times New Roman" w:cs="Times New Roman"/>
          <w:sz w:val="24"/>
          <w:szCs w:val="24"/>
        </w:rPr>
        <w:t xml:space="preserve">Schiemann, W.A., 2014. </w:t>
      </w:r>
      <w:r w:rsidRPr="004616E4">
        <w:rPr>
          <w:rFonts w:ascii="Times New Roman" w:hAnsi="Times New Roman" w:cs="Times New Roman"/>
          <w:i/>
          <w:sz w:val="24"/>
          <w:szCs w:val="24"/>
        </w:rPr>
        <w:t>From talent management to talent optimisation</w:t>
      </w:r>
      <w:r w:rsidRPr="004616E4">
        <w:rPr>
          <w:rFonts w:ascii="Times New Roman" w:hAnsi="Times New Roman" w:cs="Times New Roman"/>
          <w:sz w:val="24"/>
          <w:szCs w:val="24"/>
        </w:rPr>
        <w:t>. Journal of World Business, 49(2), pp.281–288.</w:t>
      </w:r>
    </w:p>
    <w:p w14:paraId="614D5DD8" w14:textId="77777777" w:rsidR="00F11A68" w:rsidRPr="004616E4" w:rsidRDefault="000764E7" w:rsidP="00F11A68">
      <w:pPr>
        <w:pStyle w:val="NormalWeb"/>
        <w:spacing w:before="0" w:beforeAutospacing="0" w:after="240" w:afterAutospacing="0" w:line="360" w:lineRule="auto"/>
        <w:jc w:val="both"/>
      </w:pPr>
      <w:r>
        <w:t xml:space="preserve">Supriyadi, T., </w:t>
      </w:r>
      <w:proofErr w:type="spellStart"/>
      <w:r>
        <w:t>Sulistiasih</w:t>
      </w:r>
      <w:proofErr w:type="spellEnd"/>
      <w:r>
        <w:t xml:space="preserve">, S., Rahmi, K.H., Fahrudin, A. and </w:t>
      </w:r>
      <w:proofErr w:type="spellStart"/>
      <w:r>
        <w:t>Pramono</w:t>
      </w:r>
      <w:proofErr w:type="spellEnd"/>
      <w:r>
        <w:t xml:space="preserve">, B. (2025). The impact of digital fatigue on employee productivity and well-being: A scoping literature review. </w:t>
      </w:r>
      <w:r>
        <w:rPr>
          <w:i/>
          <w:iCs/>
        </w:rPr>
        <w:t>Environment and Social Psychology</w:t>
      </w:r>
      <w:r>
        <w:t xml:space="preserve">, [online] 10(2). </w:t>
      </w:r>
      <w:proofErr w:type="spellStart"/>
      <w:r>
        <w:t>doi:https</w:t>
      </w:r>
      <w:proofErr w:type="spellEnd"/>
      <w:r>
        <w:t>://doi.org/10.59429/esp.v10i2.3420.</w:t>
      </w:r>
    </w:p>
    <w:sectPr w:rsidR="00F11A68" w:rsidRPr="004616E4" w:rsidSect="008C2ABC">
      <w:foot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214D1" w14:textId="77777777" w:rsidR="00A26546" w:rsidRDefault="00A26546">
      <w:pPr>
        <w:spacing w:line="240" w:lineRule="auto"/>
      </w:pPr>
      <w:r>
        <w:separator/>
      </w:r>
    </w:p>
  </w:endnote>
  <w:endnote w:type="continuationSeparator" w:id="0">
    <w:p w14:paraId="2BC8B6BE" w14:textId="77777777" w:rsidR="00A26546" w:rsidRDefault="00A265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A9AB78A2-915D-F04C-88FE-078A41E5BECD}"/>
    <w:embedBold r:id="rId2" w:fontKey="{10F56F97-AA76-924E-B7B2-92C790C11B34}"/>
    <w:embedItalic r:id="rId3" w:fontKey="{2BD455A2-F573-6C46-B55F-AD9236242526}"/>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7" w:fontKey="{8511099D-2622-0F49-A3F2-6942B8CAB631}"/>
    <w:embedBold r:id="rId8" w:fontKey="{27305FE2-3DA5-E341-855C-F7C1E9D905BF}"/>
  </w:font>
  <w:font w:name="Tahoma">
    <w:panose1 w:val="020B0604030504040204"/>
    <w:charset w:val="00"/>
    <w:family w:val="swiss"/>
    <w:pitch w:val="variable"/>
    <w:sig w:usb0="E1002EFF" w:usb1="C000605B" w:usb2="00000029" w:usb3="00000000" w:csb0="000101FF" w:csb1="00000000"/>
    <w:embedRegular r:id="rId9" w:fontKey="{A859E536-85AE-7D42-B65A-7CE1704F2B22}"/>
  </w:font>
  <w:font w:name="-webkit-standard">
    <w:altName w:val="Times New Roman"/>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7107313"/>
      <w:docPartObj>
        <w:docPartGallery w:val="Page Numbers (Bottom of Page)"/>
        <w:docPartUnique/>
      </w:docPartObj>
    </w:sdtPr>
    <w:sdtEndPr>
      <w:rPr>
        <w:noProof/>
      </w:rPr>
    </w:sdtEndPr>
    <w:sdtContent>
      <w:p w14:paraId="6B6323AE" w14:textId="77777777" w:rsidR="008C2ABC" w:rsidRDefault="000764E7">
        <w:pPr>
          <w:pStyle w:val="Footer"/>
          <w:jc w:val="right"/>
        </w:pPr>
        <w:r>
          <w:fldChar w:fldCharType="begin"/>
        </w:r>
        <w:r>
          <w:instrText xml:space="preserve"> PAGE   \* MERGEFORMAT </w:instrText>
        </w:r>
        <w:r>
          <w:fldChar w:fldCharType="separate"/>
        </w:r>
        <w:r w:rsidR="004D6D18">
          <w:rPr>
            <w:noProof/>
          </w:rPr>
          <w:t>9</w:t>
        </w:r>
        <w:r>
          <w:rPr>
            <w:noProof/>
          </w:rPr>
          <w:fldChar w:fldCharType="end"/>
        </w:r>
      </w:p>
    </w:sdtContent>
  </w:sdt>
  <w:p w14:paraId="555CB608" w14:textId="77777777" w:rsidR="008C2ABC" w:rsidRDefault="008C2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0EE7C" w14:textId="77777777" w:rsidR="00A26546" w:rsidRDefault="00A26546">
      <w:pPr>
        <w:spacing w:line="240" w:lineRule="auto"/>
      </w:pPr>
      <w:r>
        <w:separator/>
      </w:r>
    </w:p>
  </w:footnote>
  <w:footnote w:type="continuationSeparator" w:id="0">
    <w:p w14:paraId="452FEDB0" w14:textId="77777777" w:rsidR="00A26546" w:rsidRDefault="00A265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0DD"/>
    <w:rsid w:val="000764E7"/>
    <w:rsid w:val="001279C7"/>
    <w:rsid w:val="00293156"/>
    <w:rsid w:val="004616E4"/>
    <w:rsid w:val="004D6D18"/>
    <w:rsid w:val="005870DD"/>
    <w:rsid w:val="00764759"/>
    <w:rsid w:val="0087646C"/>
    <w:rsid w:val="008C2ABC"/>
    <w:rsid w:val="00956944"/>
    <w:rsid w:val="00984B03"/>
    <w:rsid w:val="009A32F6"/>
    <w:rsid w:val="00A26546"/>
    <w:rsid w:val="00B33D8D"/>
    <w:rsid w:val="00BA0AB6"/>
    <w:rsid w:val="00C63640"/>
    <w:rsid w:val="00E0055D"/>
    <w:rsid w:val="00E75CB5"/>
    <w:rsid w:val="00F11A68"/>
    <w:rsid w:val="00F56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DB113"/>
  <w15:docId w15:val="{1BB39B58-8FF5-6849-BFB8-5C3144C82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C2AB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8C2ABC"/>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C2ABC"/>
    <w:pPr>
      <w:tabs>
        <w:tab w:val="center" w:pos="4513"/>
        <w:tab w:val="right" w:pos="9026"/>
      </w:tabs>
      <w:spacing w:line="240" w:lineRule="auto"/>
    </w:pPr>
  </w:style>
  <w:style w:type="character" w:customStyle="1" w:styleId="HeaderChar">
    <w:name w:val="Header Char"/>
    <w:basedOn w:val="DefaultParagraphFont"/>
    <w:link w:val="Header"/>
    <w:uiPriority w:val="99"/>
    <w:rsid w:val="008C2ABC"/>
  </w:style>
  <w:style w:type="paragraph" w:styleId="Footer">
    <w:name w:val="footer"/>
    <w:basedOn w:val="Normal"/>
    <w:link w:val="FooterChar"/>
    <w:uiPriority w:val="99"/>
    <w:unhideWhenUsed/>
    <w:rsid w:val="008C2ABC"/>
    <w:pPr>
      <w:tabs>
        <w:tab w:val="center" w:pos="4513"/>
        <w:tab w:val="right" w:pos="9026"/>
      </w:tabs>
      <w:spacing w:line="240" w:lineRule="auto"/>
    </w:pPr>
  </w:style>
  <w:style w:type="character" w:customStyle="1" w:styleId="FooterChar">
    <w:name w:val="Footer Char"/>
    <w:basedOn w:val="DefaultParagraphFont"/>
    <w:link w:val="Footer"/>
    <w:uiPriority w:val="99"/>
    <w:rsid w:val="008C2ABC"/>
  </w:style>
  <w:style w:type="paragraph" w:styleId="TOCHeading">
    <w:name w:val="TOC Heading"/>
    <w:basedOn w:val="Heading1"/>
    <w:next w:val="Normal"/>
    <w:uiPriority w:val="39"/>
    <w:semiHidden/>
    <w:unhideWhenUsed/>
    <w:qFormat/>
    <w:rsid w:val="008C2ABC"/>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8C2ABC"/>
    <w:pPr>
      <w:spacing w:after="100"/>
    </w:pPr>
  </w:style>
  <w:style w:type="paragraph" w:styleId="TOC2">
    <w:name w:val="toc 2"/>
    <w:basedOn w:val="Normal"/>
    <w:next w:val="Normal"/>
    <w:autoRedefine/>
    <w:uiPriority w:val="39"/>
    <w:unhideWhenUsed/>
    <w:rsid w:val="008C2ABC"/>
    <w:pPr>
      <w:spacing w:after="100"/>
      <w:ind w:left="220"/>
    </w:pPr>
  </w:style>
  <w:style w:type="character" w:styleId="Hyperlink">
    <w:name w:val="Hyperlink"/>
    <w:basedOn w:val="DefaultParagraphFont"/>
    <w:uiPriority w:val="99"/>
    <w:unhideWhenUsed/>
    <w:rsid w:val="008C2ABC"/>
    <w:rPr>
      <w:color w:val="0000FF" w:themeColor="hyperlink"/>
      <w:u w:val="single"/>
    </w:rPr>
  </w:style>
  <w:style w:type="paragraph" w:styleId="BalloonText">
    <w:name w:val="Balloon Text"/>
    <w:basedOn w:val="Normal"/>
    <w:link w:val="BalloonTextChar"/>
    <w:uiPriority w:val="99"/>
    <w:semiHidden/>
    <w:unhideWhenUsed/>
    <w:rsid w:val="008C2A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ABC"/>
    <w:rPr>
      <w:rFonts w:ascii="Tahoma" w:hAnsi="Tahoma" w:cs="Tahoma"/>
      <w:sz w:val="16"/>
      <w:szCs w:val="16"/>
    </w:rPr>
  </w:style>
  <w:style w:type="paragraph" w:styleId="NormalWeb">
    <w:name w:val="Normal (Web)"/>
    <w:basedOn w:val="Normal"/>
    <w:uiPriority w:val="99"/>
    <w:unhideWhenUsed/>
    <w:rsid w:val="00F11A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eChar">
    <w:name w:val="Title Char"/>
    <w:basedOn w:val="DefaultParagraphFont"/>
    <w:link w:val="Title"/>
    <w:uiPriority w:val="10"/>
    <w:rsid w:val="009A32F6"/>
    <w:rPr>
      <w:sz w:val="52"/>
      <w:szCs w:val="52"/>
    </w:rPr>
  </w:style>
  <w:style w:type="character" w:customStyle="1" w:styleId="s11">
    <w:name w:val="s11"/>
    <w:basedOn w:val="DefaultParagraphFont"/>
    <w:rsid w:val="009A32F6"/>
  </w:style>
  <w:style w:type="paragraph" w:customStyle="1" w:styleId="s6">
    <w:name w:val="s6"/>
    <w:basedOn w:val="Normal"/>
    <w:rsid w:val="009A32F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5">
    <w:name w:val="s5"/>
    <w:basedOn w:val="DefaultParagraphFont"/>
    <w:rsid w:val="009A32F6"/>
  </w:style>
  <w:style w:type="character" w:customStyle="1" w:styleId="apple-converted-space">
    <w:name w:val="apple-converted-space"/>
    <w:basedOn w:val="DefaultParagraphFont"/>
    <w:rsid w:val="009A3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699C59-B047-4E81-BB18-E33FE0403D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3020</Words>
  <Characters>17217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halima hussein</cp:lastModifiedBy>
  <cp:revision>2</cp:revision>
  <dcterms:created xsi:type="dcterms:W3CDTF">2025-11-09T13:34:00Z</dcterms:created>
  <dcterms:modified xsi:type="dcterms:W3CDTF">2025-11-09T13:34:00Z</dcterms:modified>
</cp:coreProperties>
</file>