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74AFA5" w14:textId="75F23722" w:rsidR="00A96766" w:rsidRDefault="00941442">
      <w:r>
        <w:t>24</w:t>
      </w:r>
      <w:r w:rsidRPr="00941442">
        <w:rPr>
          <w:vertAlign w:val="superscript"/>
        </w:rPr>
        <w:t>th</w:t>
      </w:r>
      <w:r>
        <w:t xml:space="preserve"> October 2019: ‘A compare and contrast on the San and Mbuti’:</w:t>
      </w:r>
      <w:r w:rsidR="00062166">
        <w:t xml:space="preserve"> Jasmine Williams.</w:t>
      </w:r>
      <w:bookmarkStart w:id="0" w:name="_GoBack"/>
      <w:bookmarkEnd w:id="0"/>
    </w:p>
    <w:p w14:paraId="768387C8" w14:textId="2EFCFFBD" w:rsidR="00941442" w:rsidRDefault="00941442"/>
    <w:p w14:paraId="601A54AC" w14:textId="0968A569" w:rsidR="00062166" w:rsidRDefault="00062166" w:rsidP="00062166">
      <w:pPr>
        <w:spacing w:line="360" w:lineRule="auto"/>
      </w:pPr>
      <w:r>
        <w:t>The San are indigenous hunter-gathers in southern Africa, with wide-spanning territory due to their geographically mobile livelihood, (Peters-Golden, 2011). Compared to the Mbuti another indigenous group located in the Congo (Turnbull, 1961), the San has shown to adapt to their environmental challenges differently to the Mbuti. The San use the shells of animal eggs in order to collect and transport water for the day – with only ten water sources available between the varied wet and dry season the San have adopted a seasonal pattern of travel throughout the Kalahari desert, in the wet season they move geographically and follow their water supply, until the dry season where they settle within the vicinity a few permanent water wholes available to them – thus securing the water source all year round, the San do not fear their environment but live with its changes. (MarshallThomas, 1959). Dissimilar to this the Mbuti’s traditional dwelling is within the forest of the congo river meaning a water source is a constant variable to the group- The forest “supplies the with their needs” the Mbuti live in service to the forest that protects them (Turnbull, 1961. P14). This shows the environmental impacts of their geographical location on the indigenous groups in different ways, the san lives in search of water but adapt to appease the land, as the mbuti live to appease the forest. Similarly, both groups are shown to work with the world rather than use it – “bodies can not exist without engagement with materials” (Ingold, 2000), adopting spiritual practices that animate the world. For example, the Mbuti use instruments such as the Molimo as a way of communication and pleasing their ‘parental’ forest – “we are the children of the forest” (Turnbull, 1961. P72). The San also follows practices of animism, for example, they believe lions cause an eclipse, thus giving darkness for hunting, (MarshallThomas, 1959). Both groups work with the materials provided to them to survive and in exchange die there to feed the land in return.</w:t>
      </w:r>
    </w:p>
    <w:p w14:paraId="62ADD49D" w14:textId="599377D2" w:rsidR="00062166" w:rsidRDefault="00062166" w:rsidP="00062166">
      <w:pPr>
        <w:spacing w:line="360" w:lineRule="auto"/>
      </w:pPr>
      <w:r>
        <w:t>In relation to death the Mbuti do not fear it, rather belive it is their spirit returning to the forest, with age the grief surrounding a death is increased, for example in ‘the forest people’ when a child dies it is seen as due to poor parenting and only mourned by the family, “crying is a matter for immediate family” (Turnbull, 1961. P59) However when an elder member of the group passes on it is mourned throughout the group as they had lived a full life which is valued more than a child's. However, the San fears death as they believe it is the spirits of their ancestors wanting to bring their family with them in the afterlife, (Peters-Golden, 2011). Both groups hold a similar belief in that there is a spiritual afterlife however each interacts with death differently.</w:t>
      </w:r>
    </w:p>
    <w:p w14:paraId="688F0D6D" w14:textId="41C2646D" w:rsidR="00F33A6A" w:rsidRDefault="00062166" w:rsidP="00062166">
      <w:pPr>
        <w:spacing w:line="360" w:lineRule="auto"/>
      </w:pPr>
      <w:r>
        <w:t>Overall both indigenous groups have similar practices in how they conduct their livelihood, however, this varies depending on factors such as location, cosmology, and history.</w:t>
      </w:r>
    </w:p>
    <w:p w14:paraId="353F3875" w14:textId="723475E0" w:rsidR="00F33A6A" w:rsidRDefault="00F33A6A" w:rsidP="00062166">
      <w:pPr>
        <w:spacing w:line="360" w:lineRule="auto"/>
      </w:pPr>
      <w:r>
        <w:lastRenderedPageBreak/>
        <w:t>Bibliography:</w:t>
      </w:r>
    </w:p>
    <w:p w14:paraId="40B67497" w14:textId="13C19935" w:rsidR="00B44266" w:rsidRDefault="00B44266" w:rsidP="00062166">
      <w:pPr>
        <w:pStyle w:val="ListParagraph"/>
        <w:numPr>
          <w:ilvl w:val="0"/>
          <w:numId w:val="1"/>
        </w:numPr>
        <w:spacing w:line="360" w:lineRule="auto"/>
      </w:pPr>
      <w:r w:rsidRPr="00B44266">
        <w:t>Ingold, T. (2000) ‘The Perception of the Enviroment, Essays on livelihood, dwelling and skill). London: Routledge.</w:t>
      </w:r>
    </w:p>
    <w:p w14:paraId="3B8483DA" w14:textId="7935FA2D" w:rsidR="00F33A6A" w:rsidRDefault="00B44266" w:rsidP="00062166">
      <w:pPr>
        <w:pStyle w:val="ListParagraph"/>
        <w:numPr>
          <w:ilvl w:val="0"/>
          <w:numId w:val="1"/>
        </w:numPr>
        <w:spacing w:line="360" w:lineRule="auto"/>
      </w:pPr>
      <w:r>
        <w:t>Peters-Golden, H. (2011) ‘</w:t>
      </w:r>
      <w:r w:rsidRPr="00B44266">
        <w:rPr>
          <w:i/>
          <w:iCs/>
        </w:rPr>
        <w:t>Cultural Sketches: Case Studies in Anthropology</w:t>
      </w:r>
      <w:r>
        <w:t>’. New york: McGraw-Hill Education.</w:t>
      </w:r>
    </w:p>
    <w:p w14:paraId="26CB9BF1" w14:textId="25801C67" w:rsidR="00B44266" w:rsidRDefault="00B44266" w:rsidP="00062166">
      <w:pPr>
        <w:pStyle w:val="ListParagraph"/>
        <w:numPr>
          <w:ilvl w:val="0"/>
          <w:numId w:val="1"/>
        </w:numPr>
        <w:spacing w:line="360" w:lineRule="auto"/>
      </w:pPr>
      <w:r w:rsidRPr="00B44266">
        <w:t>Marshall-Thomas, E. (1959) ‘The Harmless People’. New york: Vintage Books.</w:t>
      </w:r>
    </w:p>
    <w:p w14:paraId="20EF1CB9" w14:textId="597DE831" w:rsidR="00B44266" w:rsidRDefault="00B44266" w:rsidP="00062166">
      <w:pPr>
        <w:pStyle w:val="ListParagraph"/>
        <w:numPr>
          <w:ilvl w:val="0"/>
          <w:numId w:val="1"/>
        </w:numPr>
        <w:spacing w:line="360" w:lineRule="auto"/>
      </w:pPr>
      <w:r>
        <w:t>Turnbull, C. (1961) ‘</w:t>
      </w:r>
      <w:r w:rsidRPr="00B44266">
        <w:rPr>
          <w:i/>
          <w:iCs/>
        </w:rPr>
        <w:t>the forest people’</w:t>
      </w:r>
      <w:r>
        <w:rPr>
          <w:i/>
          <w:iCs/>
        </w:rPr>
        <w:t xml:space="preserve">. </w:t>
      </w:r>
      <w:r>
        <w:t>New york: Simon &amp; Schuster.</w:t>
      </w:r>
    </w:p>
    <w:p w14:paraId="669207DC" w14:textId="051F36A9" w:rsidR="00B44266" w:rsidRDefault="00B44266" w:rsidP="00062166">
      <w:pPr>
        <w:pStyle w:val="ListParagraph"/>
        <w:spacing w:line="360" w:lineRule="auto"/>
      </w:pPr>
    </w:p>
    <w:sectPr w:rsidR="00B442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C209B2"/>
    <w:multiLevelType w:val="hybridMultilevel"/>
    <w:tmpl w:val="79A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442"/>
    <w:rsid w:val="00023B92"/>
    <w:rsid w:val="00062166"/>
    <w:rsid w:val="004E33B7"/>
    <w:rsid w:val="005A0EBA"/>
    <w:rsid w:val="006B3348"/>
    <w:rsid w:val="00737906"/>
    <w:rsid w:val="008D0281"/>
    <w:rsid w:val="00941442"/>
    <w:rsid w:val="009C01F5"/>
    <w:rsid w:val="00A3445F"/>
    <w:rsid w:val="00A96766"/>
    <w:rsid w:val="00B1624B"/>
    <w:rsid w:val="00B44266"/>
    <w:rsid w:val="00F33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1CC2C"/>
  <w15:chartTrackingRefBased/>
  <w15:docId w15:val="{586072B4-F45E-4282-9FA4-96DD54A06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A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TotalTime>
  <Pages>2</Pages>
  <Words>517</Words>
  <Characters>2953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williams</dc:creator>
  <cp:keywords/>
  <dc:description/>
  <cp:lastModifiedBy>jasmine williams</cp:lastModifiedBy>
  <cp:revision>2</cp:revision>
  <dcterms:created xsi:type="dcterms:W3CDTF">2019-10-25T13:35:00Z</dcterms:created>
  <dcterms:modified xsi:type="dcterms:W3CDTF">2019-10-25T22:05:00Z</dcterms:modified>
</cp:coreProperties>
</file>