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D7BFE1" w14:textId="79F6D657" w:rsidR="00951F9E" w:rsidRPr="00951F9E" w:rsidRDefault="00951F9E" w:rsidP="00B3797B">
      <w:pPr>
        <w:spacing w:before="100" w:beforeAutospacing="1" w:after="100" w:afterAutospacing="1" w:line="240" w:lineRule="auto"/>
        <w:outlineLvl w:val="1"/>
        <w:rPr>
          <w:rFonts w:ascii="Arial" w:eastAsia="Times New Roman" w:hAnsi="Arial" w:cs="Arial"/>
          <w:b/>
          <w:bCs/>
          <w:kern w:val="0"/>
          <w:lang w:eastAsia="en-GB"/>
          <w14:ligatures w14:val="none"/>
        </w:rPr>
      </w:pPr>
      <w:r w:rsidRPr="00951F9E">
        <w:rPr>
          <w:rFonts w:ascii="Arial" w:eastAsia="Times New Roman" w:hAnsi="Arial" w:cs="Arial"/>
          <w:b/>
          <w:bCs/>
          <w:kern w:val="0"/>
          <w:lang w:eastAsia="en-GB"/>
          <w14:ligatures w14:val="none"/>
        </w:rPr>
        <w:t>Gender Bias in Early Years Play: A Literature Review</w:t>
      </w:r>
    </w:p>
    <w:p w14:paraId="143C7157" w14:textId="6250F98D" w:rsidR="00796288" w:rsidRDefault="00057658" w:rsidP="00057658">
      <w:pPr>
        <w:spacing w:before="100" w:beforeAutospacing="1" w:after="100" w:afterAutospacing="1" w:line="240" w:lineRule="auto"/>
        <w:jc w:val="center"/>
        <w:rPr>
          <w:rFonts w:ascii="Arial" w:eastAsia="Times New Roman" w:hAnsi="Arial" w:cs="Arial"/>
          <w:b/>
          <w:bCs/>
          <w:kern w:val="0"/>
          <w:u w:val="single"/>
          <w:lang w:eastAsia="en-GB"/>
          <w14:ligatures w14:val="none"/>
        </w:rPr>
      </w:pPr>
      <w:r w:rsidRPr="00796288">
        <w:rPr>
          <w:rFonts w:ascii="Arial" w:eastAsia="Times New Roman" w:hAnsi="Arial" w:cs="Arial"/>
          <w:b/>
          <w:bCs/>
          <w:kern w:val="0"/>
          <w:u w:val="single"/>
          <w:lang w:eastAsia="en-GB"/>
          <w14:ligatures w14:val="none"/>
        </w:rPr>
        <w:t>Abstract</w:t>
      </w:r>
    </w:p>
    <w:p w14:paraId="4C507270" w14:textId="77777777" w:rsidR="00796288" w:rsidRDefault="00796288" w:rsidP="00951F9E">
      <w:pPr>
        <w:spacing w:before="100" w:beforeAutospacing="1" w:after="100" w:afterAutospacing="1" w:line="240" w:lineRule="auto"/>
        <w:rPr>
          <w:rFonts w:ascii="Arial" w:eastAsia="Times New Roman" w:hAnsi="Arial" w:cs="Arial"/>
          <w:b/>
          <w:bCs/>
          <w:kern w:val="0"/>
          <w:u w:val="single"/>
          <w:lang w:eastAsia="en-GB"/>
          <w14:ligatures w14:val="none"/>
        </w:rPr>
      </w:pPr>
    </w:p>
    <w:p w14:paraId="3689BCA2" w14:textId="77777777" w:rsidR="00796288" w:rsidRDefault="00796288" w:rsidP="00951F9E">
      <w:pPr>
        <w:spacing w:before="100" w:beforeAutospacing="1" w:after="100" w:afterAutospacing="1" w:line="240" w:lineRule="auto"/>
        <w:rPr>
          <w:rFonts w:ascii="Arial" w:eastAsia="Times New Roman" w:hAnsi="Arial" w:cs="Arial"/>
          <w:b/>
          <w:bCs/>
          <w:kern w:val="0"/>
          <w:u w:val="single"/>
          <w:lang w:eastAsia="en-GB"/>
          <w14:ligatures w14:val="none"/>
        </w:rPr>
      </w:pPr>
    </w:p>
    <w:p w14:paraId="3DA2B303" w14:textId="77777777" w:rsidR="00796288" w:rsidRPr="00796288" w:rsidRDefault="00796288" w:rsidP="00951F9E">
      <w:pPr>
        <w:spacing w:before="100" w:beforeAutospacing="1" w:after="100" w:afterAutospacing="1" w:line="240" w:lineRule="auto"/>
        <w:rPr>
          <w:rFonts w:ascii="Arial" w:eastAsia="Times New Roman" w:hAnsi="Arial" w:cs="Arial"/>
          <w:b/>
          <w:bCs/>
          <w:kern w:val="0"/>
          <w:u w:val="single"/>
          <w:lang w:eastAsia="en-GB"/>
          <w14:ligatures w14:val="none"/>
        </w:rPr>
      </w:pPr>
    </w:p>
    <w:p w14:paraId="5EF4E473" w14:textId="77777777" w:rsidR="00057658" w:rsidRPr="00951F9E" w:rsidRDefault="00796288" w:rsidP="00057658">
      <w:pPr>
        <w:spacing w:before="100" w:beforeAutospacing="1" w:after="100" w:afterAutospacing="1" w:line="240" w:lineRule="auto"/>
        <w:jc w:val="center"/>
        <w:outlineLvl w:val="2"/>
        <w:rPr>
          <w:rFonts w:ascii="Arial" w:eastAsia="Times New Roman" w:hAnsi="Arial" w:cs="Arial"/>
          <w:b/>
          <w:bCs/>
          <w:kern w:val="0"/>
          <w:u w:val="single"/>
          <w:lang w:eastAsia="en-GB"/>
          <w14:ligatures w14:val="none"/>
        </w:rPr>
      </w:pPr>
      <w:r w:rsidRPr="00057658">
        <w:rPr>
          <w:rFonts w:ascii="Arial" w:eastAsia="Times New Roman" w:hAnsi="Arial" w:cs="Arial"/>
          <w:b/>
          <w:bCs/>
          <w:kern w:val="0"/>
          <w:u w:val="single"/>
          <w:lang w:eastAsia="en-GB"/>
          <w14:ligatures w14:val="none"/>
        </w:rPr>
        <w:t xml:space="preserve">Literature </w:t>
      </w:r>
      <w:r w:rsidR="00057658" w:rsidRPr="00057658">
        <w:rPr>
          <w:rFonts w:ascii="Arial" w:eastAsia="Times New Roman" w:hAnsi="Arial" w:cs="Arial"/>
          <w:b/>
          <w:bCs/>
          <w:kern w:val="0"/>
          <w:u w:val="single"/>
          <w:lang w:eastAsia="en-GB"/>
          <w14:ligatures w14:val="none"/>
        </w:rPr>
        <w:t xml:space="preserve">Review </w:t>
      </w:r>
      <w:r w:rsidR="00057658" w:rsidRPr="00951F9E">
        <w:rPr>
          <w:rFonts w:ascii="Arial" w:eastAsia="Times New Roman" w:hAnsi="Arial" w:cs="Arial"/>
          <w:b/>
          <w:bCs/>
          <w:kern w:val="0"/>
          <w:u w:val="single"/>
          <w:lang w:eastAsia="en-GB"/>
          <w14:ligatures w14:val="none"/>
        </w:rPr>
        <w:t>Gender Bias in Early Years Play</w:t>
      </w:r>
    </w:p>
    <w:p w14:paraId="1B7E0995" w14:textId="73ECFB4C" w:rsidR="00796288" w:rsidRPr="00057658" w:rsidRDefault="00796288" w:rsidP="00951F9E">
      <w:pPr>
        <w:spacing w:before="100" w:beforeAutospacing="1" w:after="100" w:afterAutospacing="1" w:line="240" w:lineRule="auto"/>
        <w:rPr>
          <w:rFonts w:ascii="Arial" w:eastAsia="Times New Roman" w:hAnsi="Arial" w:cs="Arial"/>
          <w:b/>
          <w:bCs/>
          <w:kern w:val="0"/>
          <w:u w:val="single"/>
          <w:lang w:eastAsia="en-GB"/>
          <w14:ligatures w14:val="none"/>
        </w:rPr>
      </w:pPr>
    </w:p>
    <w:p w14:paraId="7DE9171E" w14:textId="6DD4E5BA" w:rsidR="00951F9E" w:rsidRPr="00951F9E" w:rsidRDefault="00951F9E" w:rsidP="00951F9E">
      <w:pPr>
        <w:spacing w:before="100" w:beforeAutospacing="1" w:after="100" w:afterAutospacing="1" w:line="240" w:lineRule="auto"/>
        <w:rPr>
          <w:rFonts w:ascii="Arial" w:eastAsia="Times New Roman" w:hAnsi="Arial" w:cs="Arial"/>
          <w:kern w:val="0"/>
          <w:lang w:eastAsia="en-GB"/>
          <w14:ligatures w14:val="none"/>
        </w:rPr>
      </w:pPr>
      <w:r w:rsidRPr="00951F9E">
        <w:rPr>
          <w:rFonts w:ascii="Arial" w:eastAsia="Times New Roman" w:hAnsi="Arial" w:cs="Arial"/>
          <w:kern w:val="0"/>
          <w:lang w:eastAsia="en-GB"/>
          <w14:ligatures w14:val="none"/>
        </w:rPr>
        <w:t xml:space="preserve">Gender bias in early years settings is a complex issue with far-reaching implications for children's development. This literature review explores the research evidence on gender bias within early years play, examining how practitioners can influence this phenomenon. By </w:t>
      </w:r>
      <w:r w:rsidR="00876E00" w:rsidRPr="00796288">
        <w:rPr>
          <w:rFonts w:ascii="Arial" w:eastAsia="Times New Roman" w:hAnsi="Arial" w:cs="Arial"/>
          <w:kern w:val="0"/>
          <w:lang w:eastAsia="en-GB"/>
          <w14:ligatures w14:val="none"/>
        </w:rPr>
        <w:t>analysing</w:t>
      </w:r>
      <w:r w:rsidRPr="00951F9E">
        <w:rPr>
          <w:rFonts w:ascii="Arial" w:eastAsia="Times New Roman" w:hAnsi="Arial" w:cs="Arial"/>
          <w:kern w:val="0"/>
          <w:lang w:eastAsia="en-GB"/>
          <w14:ligatures w14:val="none"/>
        </w:rPr>
        <w:t xml:space="preserve"> current research, policy, and curriculum requirements, this review aims to identify key findings, </w:t>
      </w:r>
      <w:proofErr w:type="gramStart"/>
      <w:r w:rsidRPr="00951F9E">
        <w:rPr>
          <w:rFonts w:ascii="Arial" w:eastAsia="Times New Roman" w:hAnsi="Arial" w:cs="Arial"/>
          <w:kern w:val="0"/>
          <w:lang w:eastAsia="en-GB"/>
          <w14:ligatures w14:val="none"/>
        </w:rPr>
        <w:t>compare and contrast</w:t>
      </w:r>
      <w:proofErr w:type="gramEnd"/>
      <w:r w:rsidRPr="00951F9E">
        <w:rPr>
          <w:rFonts w:ascii="Arial" w:eastAsia="Times New Roman" w:hAnsi="Arial" w:cs="Arial"/>
          <w:kern w:val="0"/>
          <w:lang w:eastAsia="en-GB"/>
          <w14:ligatures w14:val="none"/>
        </w:rPr>
        <w:t xml:space="preserve"> different perspectives, and ultimately contribute to a deeper understanding of this critical area.</w:t>
      </w:r>
    </w:p>
    <w:p w14:paraId="218688C0" w14:textId="77777777" w:rsidR="00951F9E" w:rsidRPr="00951F9E" w:rsidRDefault="00951F9E" w:rsidP="00951F9E">
      <w:pPr>
        <w:spacing w:before="100" w:beforeAutospacing="1" w:after="100" w:afterAutospacing="1" w:line="240" w:lineRule="auto"/>
        <w:rPr>
          <w:rFonts w:ascii="Arial" w:eastAsia="Times New Roman" w:hAnsi="Arial" w:cs="Arial"/>
          <w:kern w:val="0"/>
          <w:lang w:eastAsia="en-GB"/>
          <w14:ligatures w14:val="none"/>
        </w:rPr>
      </w:pPr>
      <w:r w:rsidRPr="00951F9E">
        <w:rPr>
          <w:rFonts w:ascii="Arial" w:eastAsia="Times New Roman" w:hAnsi="Arial" w:cs="Arial"/>
          <w:kern w:val="0"/>
          <w:lang w:eastAsia="en-GB"/>
          <w14:ligatures w14:val="none"/>
        </w:rPr>
        <w:t>Research has consistently highlighted the prevalence of gender stereotypes in early childhood settings, which can significantly impact children's play and learning experiences (Levine and Levy, 2005). Play is a crucial avenue for children to explore their identities, develop social skills, and learn about the world around them. However, traditional gender roles often dictate which toys, activities, and spaces are deemed appropriate for boys and girls (Martin and Ruble, 2004).</w:t>
      </w:r>
    </w:p>
    <w:p w14:paraId="4138EFE9" w14:textId="77777777" w:rsidR="00951F9E" w:rsidRPr="00951F9E" w:rsidRDefault="00951F9E" w:rsidP="00951F9E">
      <w:pPr>
        <w:spacing w:before="100" w:beforeAutospacing="1" w:after="100" w:afterAutospacing="1" w:line="240" w:lineRule="auto"/>
        <w:rPr>
          <w:rFonts w:ascii="Arial" w:eastAsia="Times New Roman" w:hAnsi="Arial" w:cs="Arial"/>
          <w:kern w:val="0"/>
          <w:lang w:eastAsia="en-GB"/>
          <w14:ligatures w14:val="none"/>
        </w:rPr>
      </w:pPr>
      <w:r w:rsidRPr="00951F9E">
        <w:rPr>
          <w:rFonts w:ascii="Arial" w:eastAsia="Times New Roman" w:hAnsi="Arial" w:cs="Arial"/>
          <w:kern w:val="0"/>
          <w:lang w:eastAsia="en-GB"/>
          <w14:ligatures w14:val="none"/>
        </w:rPr>
        <w:t xml:space="preserve">Studies have shown that early </w:t>
      </w:r>
      <w:proofErr w:type="gramStart"/>
      <w:r w:rsidRPr="00951F9E">
        <w:rPr>
          <w:rFonts w:ascii="Arial" w:eastAsia="Times New Roman" w:hAnsi="Arial" w:cs="Arial"/>
          <w:kern w:val="0"/>
          <w:lang w:eastAsia="en-GB"/>
          <w14:ligatures w14:val="none"/>
        </w:rPr>
        <w:t>years</w:t>
      </w:r>
      <w:proofErr w:type="gramEnd"/>
      <w:r w:rsidRPr="00951F9E">
        <w:rPr>
          <w:rFonts w:ascii="Arial" w:eastAsia="Times New Roman" w:hAnsi="Arial" w:cs="Arial"/>
          <w:kern w:val="0"/>
          <w:lang w:eastAsia="en-GB"/>
          <w14:ligatures w14:val="none"/>
        </w:rPr>
        <w:t xml:space="preserve"> environments are frequently segregated by gender, with boys and girls engaging in different types of play. For example, boys are often encouraged to participate in physical and competitive activities, while girls are directed towards domestic and caring roles (Gilligan and Richards, 2002). Such divisions can limit children's opportunities to develop a wide range of skills and interests, potentially perpetuating gender stereotypes into adulthood.</w:t>
      </w:r>
    </w:p>
    <w:p w14:paraId="4058A665" w14:textId="77777777" w:rsidR="00951F9E" w:rsidRPr="00951F9E" w:rsidRDefault="00951F9E" w:rsidP="00951F9E">
      <w:pPr>
        <w:spacing w:before="100" w:beforeAutospacing="1" w:after="100" w:afterAutospacing="1" w:line="240" w:lineRule="auto"/>
        <w:outlineLvl w:val="2"/>
        <w:rPr>
          <w:rFonts w:ascii="Arial" w:eastAsia="Times New Roman" w:hAnsi="Arial" w:cs="Arial"/>
          <w:b/>
          <w:bCs/>
          <w:kern w:val="0"/>
          <w:lang w:eastAsia="en-GB"/>
          <w14:ligatures w14:val="none"/>
        </w:rPr>
      </w:pPr>
      <w:r w:rsidRPr="00951F9E">
        <w:rPr>
          <w:rFonts w:ascii="Arial" w:eastAsia="Times New Roman" w:hAnsi="Arial" w:cs="Arial"/>
          <w:b/>
          <w:bCs/>
          <w:kern w:val="0"/>
          <w:lang w:eastAsia="en-GB"/>
          <w14:ligatures w14:val="none"/>
        </w:rPr>
        <w:t>The Role of Practitioners</w:t>
      </w:r>
    </w:p>
    <w:p w14:paraId="23F447FC" w14:textId="77777777" w:rsidR="00951F9E" w:rsidRPr="00951F9E" w:rsidRDefault="00951F9E" w:rsidP="00951F9E">
      <w:pPr>
        <w:spacing w:before="100" w:beforeAutospacing="1" w:after="100" w:afterAutospacing="1" w:line="240" w:lineRule="auto"/>
        <w:rPr>
          <w:rFonts w:ascii="Arial" w:eastAsia="Times New Roman" w:hAnsi="Arial" w:cs="Arial"/>
          <w:kern w:val="0"/>
          <w:lang w:eastAsia="en-GB"/>
          <w14:ligatures w14:val="none"/>
        </w:rPr>
      </w:pPr>
      <w:r w:rsidRPr="00951F9E">
        <w:rPr>
          <w:rFonts w:ascii="Arial" w:eastAsia="Times New Roman" w:hAnsi="Arial" w:cs="Arial"/>
          <w:kern w:val="0"/>
          <w:lang w:eastAsia="en-GB"/>
          <w14:ligatures w14:val="none"/>
        </w:rPr>
        <w:t xml:space="preserve">Early years practitioners play a pivotal role in challenging and dismantling gender stereotypes. By creating inclusive and equitable play environments, practitioners can foster children's sense of self and respect for others (Epstein, Power, and </w:t>
      </w:r>
      <w:proofErr w:type="spellStart"/>
      <w:r w:rsidRPr="00951F9E">
        <w:rPr>
          <w:rFonts w:ascii="Arial" w:eastAsia="Times New Roman" w:hAnsi="Arial" w:cs="Arial"/>
          <w:kern w:val="0"/>
          <w:lang w:eastAsia="en-GB"/>
          <w14:ligatures w14:val="none"/>
        </w:rPr>
        <w:t>Jurowski</w:t>
      </w:r>
      <w:proofErr w:type="spellEnd"/>
      <w:r w:rsidRPr="00951F9E">
        <w:rPr>
          <w:rFonts w:ascii="Arial" w:eastAsia="Times New Roman" w:hAnsi="Arial" w:cs="Arial"/>
          <w:kern w:val="0"/>
          <w:lang w:eastAsia="en-GB"/>
          <w14:ligatures w14:val="none"/>
        </w:rPr>
        <w:t xml:space="preserve">, 2006). Research suggests that practitioners who adopt a gender-neutral approach, model inclusive </w:t>
      </w:r>
      <w:proofErr w:type="spellStart"/>
      <w:r w:rsidRPr="00951F9E">
        <w:rPr>
          <w:rFonts w:ascii="Arial" w:eastAsia="Times New Roman" w:hAnsi="Arial" w:cs="Arial"/>
          <w:kern w:val="0"/>
          <w:lang w:eastAsia="en-GB"/>
          <w14:ligatures w14:val="none"/>
        </w:rPr>
        <w:t>behaviors</w:t>
      </w:r>
      <w:proofErr w:type="spellEnd"/>
      <w:r w:rsidRPr="00951F9E">
        <w:rPr>
          <w:rFonts w:ascii="Arial" w:eastAsia="Times New Roman" w:hAnsi="Arial" w:cs="Arial"/>
          <w:kern w:val="0"/>
          <w:lang w:eastAsia="en-GB"/>
          <w14:ligatures w14:val="none"/>
        </w:rPr>
        <w:t>, and actively challenge gender stereotypes can make a significant difference (Lloyd, 2008).</w:t>
      </w:r>
    </w:p>
    <w:p w14:paraId="6D7A5979" w14:textId="77777777" w:rsidR="00951F9E" w:rsidRPr="00951F9E" w:rsidRDefault="00951F9E" w:rsidP="00951F9E">
      <w:pPr>
        <w:spacing w:before="100" w:beforeAutospacing="1" w:after="100" w:afterAutospacing="1" w:line="240" w:lineRule="auto"/>
        <w:rPr>
          <w:rFonts w:ascii="Arial" w:eastAsia="Times New Roman" w:hAnsi="Arial" w:cs="Arial"/>
          <w:kern w:val="0"/>
          <w:lang w:eastAsia="en-GB"/>
          <w14:ligatures w14:val="none"/>
        </w:rPr>
      </w:pPr>
      <w:r w:rsidRPr="00951F9E">
        <w:rPr>
          <w:rFonts w:ascii="Arial" w:eastAsia="Times New Roman" w:hAnsi="Arial" w:cs="Arial"/>
          <w:kern w:val="0"/>
          <w:lang w:eastAsia="en-GB"/>
          <w14:ligatures w14:val="none"/>
        </w:rPr>
        <w:t xml:space="preserve">Moreover, practitioners can encourage </w:t>
      </w:r>
      <w:proofErr w:type="gramStart"/>
      <w:r w:rsidRPr="00951F9E">
        <w:rPr>
          <w:rFonts w:ascii="Arial" w:eastAsia="Times New Roman" w:hAnsi="Arial" w:cs="Arial"/>
          <w:kern w:val="0"/>
          <w:lang w:eastAsia="en-GB"/>
          <w14:ligatures w14:val="none"/>
        </w:rPr>
        <w:t>mixed-gender</w:t>
      </w:r>
      <w:proofErr w:type="gramEnd"/>
      <w:r w:rsidRPr="00951F9E">
        <w:rPr>
          <w:rFonts w:ascii="Arial" w:eastAsia="Times New Roman" w:hAnsi="Arial" w:cs="Arial"/>
          <w:kern w:val="0"/>
          <w:lang w:eastAsia="en-GB"/>
          <w14:ligatures w14:val="none"/>
        </w:rPr>
        <w:t xml:space="preserve"> play by providing opportunities for collaboration and cooperation. Offering a diverse range of toys, resources, and activities can also help to break down traditional gender roles (Serbin and Karp, 1999). By being mindful of their own language and actions, practitioners can create a positive and supportive environment for all children.</w:t>
      </w:r>
    </w:p>
    <w:p w14:paraId="09C76960" w14:textId="77777777" w:rsidR="00951F9E" w:rsidRPr="00951F9E" w:rsidRDefault="00951F9E" w:rsidP="00951F9E">
      <w:pPr>
        <w:spacing w:before="100" w:beforeAutospacing="1" w:after="100" w:afterAutospacing="1" w:line="240" w:lineRule="auto"/>
        <w:outlineLvl w:val="2"/>
        <w:rPr>
          <w:rFonts w:ascii="Arial" w:eastAsia="Times New Roman" w:hAnsi="Arial" w:cs="Arial"/>
          <w:b/>
          <w:bCs/>
          <w:kern w:val="0"/>
          <w:lang w:eastAsia="en-GB"/>
          <w14:ligatures w14:val="none"/>
        </w:rPr>
      </w:pPr>
      <w:r w:rsidRPr="00951F9E">
        <w:rPr>
          <w:rFonts w:ascii="Arial" w:eastAsia="Times New Roman" w:hAnsi="Arial" w:cs="Arial"/>
          <w:b/>
          <w:bCs/>
          <w:kern w:val="0"/>
          <w:lang w:eastAsia="en-GB"/>
          <w14:ligatures w14:val="none"/>
        </w:rPr>
        <w:lastRenderedPageBreak/>
        <w:t>Policy and Curriculum Requirements</w:t>
      </w:r>
    </w:p>
    <w:p w14:paraId="42224970" w14:textId="77777777" w:rsidR="00951F9E" w:rsidRPr="00951F9E" w:rsidRDefault="00951F9E" w:rsidP="00951F9E">
      <w:pPr>
        <w:spacing w:before="100" w:beforeAutospacing="1" w:after="100" w:afterAutospacing="1" w:line="240" w:lineRule="auto"/>
        <w:rPr>
          <w:rFonts w:ascii="Arial" w:eastAsia="Times New Roman" w:hAnsi="Arial" w:cs="Arial"/>
          <w:kern w:val="0"/>
          <w:lang w:eastAsia="en-GB"/>
          <w14:ligatures w14:val="none"/>
        </w:rPr>
      </w:pPr>
      <w:r w:rsidRPr="00951F9E">
        <w:rPr>
          <w:rFonts w:ascii="Arial" w:eastAsia="Times New Roman" w:hAnsi="Arial" w:cs="Arial"/>
          <w:kern w:val="0"/>
          <w:lang w:eastAsia="en-GB"/>
          <w14:ligatures w14:val="none"/>
        </w:rPr>
        <w:t xml:space="preserve">The Early Years Foundation Stage (EYFS) framework in England provides a broad and inclusive curriculum for children from birth to five years old. It emphasizes the importance of equality and </w:t>
      </w:r>
      <w:proofErr w:type="gramStart"/>
      <w:r w:rsidRPr="00951F9E">
        <w:rPr>
          <w:rFonts w:ascii="Arial" w:eastAsia="Times New Roman" w:hAnsi="Arial" w:cs="Arial"/>
          <w:kern w:val="0"/>
          <w:lang w:eastAsia="en-GB"/>
          <w14:ligatures w14:val="none"/>
        </w:rPr>
        <w:t>diversity, and</w:t>
      </w:r>
      <w:proofErr w:type="gramEnd"/>
      <w:r w:rsidRPr="00951F9E">
        <w:rPr>
          <w:rFonts w:ascii="Arial" w:eastAsia="Times New Roman" w:hAnsi="Arial" w:cs="Arial"/>
          <w:kern w:val="0"/>
          <w:lang w:eastAsia="en-GB"/>
          <w14:ligatures w14:val="none"/>
        </w:rPr>
        <w:t xml:space="preserve"> encourages practitioners to create learning environments that respect individual differences (Department for Education, 2017). While the EYFS does not explicitly address gender bias, it provides a foundation for practitioners to challenge stereotypes and promote gender equality.</w:t>
      </w:r>
    </w:p>
    <w:p w14:paraId="3868250E" w14:textId="77777777" w:rsidR="00951F9E" w:rsidRPr="00951F9E" w:rsidRDefault="00951F9E" w:rsidP="00951F9E">
      <w:pPr>
        <w:spacing w:before="100" w:beforeAutospacing="1" w:after="100" w:afterAutospacing="1" w:line="240" w:lineRule="auto"/>
        <w:rPr>
          <w:rFonts w:ascii="Arial" w:eastAsia="Times New Roman" w:hAnsi="Arial" w:cs="Arial"/>
          <w:kern w:val="0"/>
          <w:lang w:eastAsia="en-GB"/>
          <w14:ligatures w14:val="none"/>
        </w:rPr>
      </w:pPr>
      <w:r w:rsidRPr="00951F9E">
        <w:rPr>
          <w:rFonts w:ascii="Arial" w:eastAsia="Times New Roman" w:hAnsi="Arial" w:cs="Arial"/>
          <w:kern w:val="0"/>
          <w:lang w:eastAsia="en-GB"/>
          <w14:ligatures w14:val="none"/>
        </w:rPr>
        <w:t>Other countries have implemented specific policies and guidelines to address gender bias in early childhood education. For example, in Australia, the Early Years Learning Framework (EYLF) explicitly promotes gender equality and encourages educators to challenge stereotypes (Australian Government Department of Education, 2018).</w:t>
      </w:r>
    </w:p>
    <w:p w14:paraId="0E625BFC" w14:textId="77777777" w:rsidR="00951F9E" w:rsidRPr="00951F9E" w:rsidRDefault="00951F9E" w:rsidP="00951F9E">
      <w:pPr>
        <w:spacing w:before="100" w:beforeAutospacing="1" w:after="100" w:afterAutospacing="1" w:line="240" w:lineRule="auto"/>
        <w:outlineLvl w:val="2"/>
        <w:rPr>
          <w:rFonts w:ascii="Arial" w:eastAsia="Times New Roman" w:hAnsi="Arial" w:cs="Arial"/>
          <w:b/>
          <w:bCs/>
          <w:kern w:val="0"/>
          <w:lang w:eastAsia="en-GB"/>
          <w14:ligatures w14:val="none"/>
        </w:rPr>
      </w:pPr>
      <w:r w:rsidRPr="00951F9E">
        <w:rPr>
          <w:rFonts w:ascii="Arial" w:eastAsia="Times New Roman" w:hAnsi="Arial" w:cs="Arial"/>
          <w:b/>
          <w:bCs/>
          <w:kern w:val="0"/>
          <w:lang w:eastAsia="en-GB"/>
          <w14:ligatures w14:val="none"/>
        </w:rPr>
        <w:t>Comparison and Contrast of Findings</w:t>
      </w:r>
    </w:p>
    <w:p w14:paraId="6E6F9A7A" w14:textId="77777777" w:rsidR="00951F9E" w:rsidRPr="00951F9E" w:rsidRDefault="00951F9E" w:rsidP="00951F9E">
      <w:pPr>
        <w:spacing w:before="100" w:beforeAutospacing="1" w:after="100" w:afterAutospacing="1" w:line="240" w:lineRule="auto"/>
        <w:rPr>
          <w:rFonts w:ascii="Arial" w:eastAsia="Times New Roman" w:hAnsi="Arial" w:cs="Arial"/>
          <w:kern w:val="0"/>
          <w:lang w:eastAsia="en-GB"/>
          <w14:ligatures w14:val="none"/>
        </w:rPr>
      </w:pPr>
      <w:r w:rsidRPr="00951F9E">
        <w:rPr>
          <w:rFonts w:ascii="Arial" w:eastAsia="Times New Roman" w:hAnsi="Arial" w:cs="Arial"/>
          <w:kern w:val="0"/>
          <w:lang w:eastAsia="en-GB"/>
          <w14:ligatures w14:val="none"/>
        </w:rPr>
        <w:t xml:space="preserve">The research evidence consistently demonstrates the existence of gender bias in early years play and the importance of practitioner intervention. While there is </w:t>
      </w:r>
      <w:proofErr w:type="gramStart"/>
      <w:r w:rsidRPr="00951F9E">
        <w:rPr>
          <w:rFonts w:ascii="Arial" w:eastAsia="Times New Roman" w:hAnsi="Arial" w:cs="Arial"/>
          <w:kern w:val="0"/>
          <w:lang w:eastAsia="en-GB"/>
          <w14:ligatures w14:val="none"/>
        </w:rPr>
        <w:t>a general consensus</w:t>
      </w:r>
      <w:proofErr w:type="gramEnd"/>
      <w:r w:rsidRPr="00951F9E">
        <w:rPr>
          <w:rFonts w:ascii="Arial" w:eastAsia="Times New Roman" w:hAnsi="Arial" w:cs="Arial"/>
          <w:kern w:val="0"/>
          <w:lang w:eastAsia="en-GB"/>
          <w14:ligatures w14:val="none"/>
        </w:rPr>
        <w:t xml:space="preserve"> on these issues, the specific focus and depth of research vary across studies. Some studies prioritize the impact of gender stereotypes on children's development, while others concentrate on the role of practitioners in creating inclusive environments.</w:t>
      </w:r>
    </w:p>
    <w:p w14:paraId="4A86228C" w14:textId="77777777" w:rsidR="00951F9E" w:rsidRPr="00951F9E" w:rsidRDefault="00951F9E" w:rsidP="00951F9E">
      <w:pPr>
        <w:spacing w:before="100" w:beforeAutospacing="1" w:after="100" w:afterAutospacing="1" w:line="240" w:lineRule="auto"/>
        <w:rPr>
          <w:rFonts w:ascii="Arial" w:eastAsia="Times New Roman" w:hAnsi="Arial" w:cs="Arial"/>
          <w:kern w:val="0"/>
          <w:lang w:eastAsia="en-GB"/>
          <w14:ligatures w14:val="none"/>
        </w:rPr>
      </w:pPr>
      <w:r w:rsidRPr="00951F9E">
        <w:rPr>
          <w:rFonts w:ascii="Arial" w:eastAsia="Times New Roman" w:hAnsi="Arial" w:cs="Arial"/>
          <w:kern w:val="0"/>
          <w:lang w:eastAsia="en-GB"/>
          <w14:ligatures w14:val="none"/>
        </w:rPr>
        <w:t xml:space="preserve">There is also some variation in terms of the specific strategies recommended for addressing gender bias. While most studies emphasize the importance of creating </w:t>
      </w:r>
      <w:proofErr w:type="gramStart"/>
      <w:r w:rsidRPr="00951F9E">
        <w:rPr>
          <w:rFonts w:ascii="Arial" w:eastAsia="Times New Roman" w:hAnsi="Arial" w:cs="Arial"/>
          <w:kern w:val="0"/>
          <w:lang w:eastAsia="en-GB"/>
          <w14:ligatures w14:val="none"/>
        </w:rPr>
        <w:t>mixed-gender</w:t>
      </w:r>
      <w:proofErr w:type="gramEnd"/>
      <w:r w:rsidRPr="00951F9E">
        <w:rPr>
          <w:rFonts w:ascii="Arial" w:eastAsia="Times New Roman" w:hAnsi="Arial" w:cs="Arial"/>
          <w:kern w:val="0"/>
          <w:lang w:eastAsia="en-GB"/>
          <w14:ligatures w14:val="none"/>
        </w:rPr>
        <w:t xml:space="preserve"> play opportunities and challenging stereotypes, there is less consensus on the effectiveness of specific interventions. Further research is needed to evaluate the impact of different approaches on children's outcomes.</w:t>
      </w:r>
    </w:p>
    <w:p w14:paraId="16E821D0" w14:textId="77777777" w:rsidR="00951F9E" w:rsidRPr="00951F9E" w:rsidRDefault="00951F9E" w:rsidP="00951F9E">
      <w:pPr>
        <w:spacing w:before="100" w:beforeAutospacing="1" w:after="100" w:afterAutospacing="1" w:line="240" w:lineRule="auto"/>
        <w:outlineLvl w:val="2"/>
        <w:rPr>
          <w:rFonts w:ascii="Arial" w:eastAsia="Times New Roman" w:hAnsi="Arial" w:cs="Arial"/>
          <w:b/>
          <w:bCs/>
          <w:kern w:val="0"/>
          <w:lang w:eastAsia="en-GB"/>
          <w14:ligatures w14:val="none"/>
        </w:rPr>
      </w:pPr>
      <w:r w:rsidRPr="00951F9E">
        <w:rPr>
          <w:rFonts w:ascii="Arial" w:eastAsia="Times New Roman" w:hAnsi="Arial" w:cs="Arial"/>
          <w:b/>
          <w:bCs/>
          <w:kern w:val="0"/>
          <w:lang w:eastAsia="en-GB"/>
          <w14:ligatures w14:val="none"/>
        </w:rPr>
        <w:t>Analysis and Evaluation of Evidence</w:t>
      </w:r>
    </w:p>
    <w:p w14:paraId="6265F0F1" w14:textId="77777777" w:rsidR="00951F9E" w:rsidRPr="00951F9E" w:rsidRDefault="00951F9E" w:rsidP="00951F9E">
      <w:pPr>
        <w:spacing w:before="100" w:beforeAutospacing="1" w:after="100" w:afterAutospacing="1" w:line="240" w:lineRule="auto"/>
        <w:rPr>
          <w:rFonts w:ascii="Arial" w:eastAsia="Times New Roman" w:hAnsi="Arial" w:cs="Arial"/>
          <w:kern w:val="0"/>
          <w:lang w:eastAsia="en-GB"/>
          <w14:ligatures w14:val="none"/>
        </w:rPr>
      </w:pPr>
      <w:r w:rsidRPr="00951F9E">
        <w:rPr>
          <w:rFonts w:ascii="Arial" w:eastAsia="Times New Roman" w:hAnsi="Arial" w:cs="Arial"/>
          <w:kern w:val="0"/>
          <w:lang w:eastAsia="en-GB"/>
          <w14:ligatures w14:val="none"/>
        </w:rPr>
        <w:t>The findings of this literature review highlight the complex interplay between gender, play, and early childhood education. It is evident that gender stereotypes are deeply ingrained in society and continue to shape children's experiences. While the EYFS provides a broad framework for inclusive practice, there is a need for more specific guidance on addressing gender bias.</w:t>
      </w:r>
    </w:p>
    <w:p w14:paraId="7BD93938" w14:textId="77777777" w:rsidR="00951F9E" w:rsidRPr="00796288" w:rsidRDefault="00951F9E" w:rsidP="00951F9E">
      <w:pPr>
        <w:spacing w:before="100" w:beforeAutospacing="1" w:after="100" w:afterAutospacing="1" w:line="240" w:lineRule="auto"/>
        <w:rPr>
          <w:rFonts w:ascii="Arial" w:eastAsia="Times New Roman" w:hAnsi="Arial" w:cs="Arial"/>
          <w:kern w:val="0"/>
          <w:lang w:eastAsia="en-GB"/>
          <w14:ligatures w14:val="none"/>
        </w:rPr>
      </w:pPr>
      <w:r w:rsidRPr="00951F9E">
        <w:rPr>
          <w:rFonts w:ascii="Arial" w:eastAsia="Times New Roman" w:hAnsi="Arial" w:cs="Arial"/>
          <w:kern w:val="0"/>
          <w:lang w:eastAsia="en-GB"/>
          <w14:ligatures w14:val="none"/>
        </w:rPr>
        <w:t>Practitioners require ongoing professional development to develop the knowledge and skills necessary to create gender-equitable environments. Additionally, research is needed to explore the long-term impact of early interventions on children's gender identities and attitudes. By addressing these issues, we can work towards creating a more inclusive and equitable future for all children.</w:t>
      </w:r>
    </w:p>
    <w:p w14:paraId="1F8AA041" w14:textId="77777777" w:rsidR="00796288" w:rsidRPr="00057658" w:rsidRDefault="00796288" w:rsidP="00796288">
      <w:pPr>
        <w:spacing w:before="100" w:beforeAutospacing="1" w:after="100" w:afterAutospacing="1" w:line="240" w:lineRule="auto"/>
        <w:jc w:val="center"/>
        <w:outlineLvl w:val="1"/>
        <w:rPr>
          <w:rFonts w:ascii="Arial" w:eastAsia="Times New Roman" w:hAnsi="Arial" w:cs="Arial"/>
          <w:b/>
          <w:bCs/>
          <w:kern w:val="0"/>
          <w:u w:val="single"/>
          <w:lang w:eastAsia="en-GB"/>
          <w14:ligatures w14:val="none"/>
        </w:rPr>
      </w:pPr>
      <w:r w:rsidRPr="00057658">
        <w:rPr>
          <w:rFonts w:ascii="Arial" w:eastAsia="Times New Roman" w:hAnsi="Arial" w:cs="Arial"/>
          <w:b/>
          <w:bCs/>
          <w:kern w:val="0"/>
          <w:u w:val="single"/>
          <w:lang w:eastAsia="en-GB"/>
          <w14:ligatures w14:val="none"/>
        </w:rPr>
        <w:t>Methodology:</w:t>
      </w:r>
    </w:p>
    <w:p w14:paraId="243293DD" w14:textId="77777777" w:rsidR="00796288" w:rsidRPr="00796288" w:rsidRDefault="00796288" w:rsidP="00796288">
      <w:pPr>
        <w:spacing w:before="100" w:beforeAutospacing="1" w:after="100" w:afterAutospacing="1" w:line="240" w:lineRule="auto"/>
        <w:outlineLvl w:val="1"/>
        <w:rPr>
          <w:rFonts w:ascii="Arial" w:eastAsia="Times New Roman" w:hAnsi="Arial" w:cs="Arial"/>
          <w:kern w:val="0"/>
          <w:lang w:eastAsia="en-GB"/>
          <w14:ligatures w14:val="none"/>
        </w:rPr>
      </w:pPr>
      <w:r w:rsidRPr="00796288">
        <w:rPr>
          <w:rFonts w:ascii="Arial" w:eastAsia="Times New Roman" w:hAnsi="Arial" w:cs="Arial"/>
          <w:kern w:val="0"/>
          <w:lang w:eastAsia="en-GB"/>
          <w14:ligatures w14:val="none"/>
        </w:rPr>
        <w:t>This research will employ a mixed methods approach, combining qualitative and quantitative data collection techniques. This allows for a comprehensive understanding of the phenomenon, capturing both the lived experiences of children and educators (Creswell &amp; Plano Clark, 2018).</w:t>
      </w:r>
    </w:p>
    <w:p w14:paraId="435F4C3E" w14:textId="77777777" w:rsidR="00796288" w:rsidRPr="00057658" w:rsidRDefault="00796288" w:rsidP="00796288">
      <w:pPr>
        <w:spacing w:before="100" w:beforeAutospacing="1" w:after="100" w:afterAutospacing="1" w:line="240" w:lineRule="auto"/>
        <w:outlineLvl w:val="1"/>
        <w:rPr>
          <w:rFonts w:ascii="Arial" w:eastAsia="Times New Roman" w:hAnsi="Arial" w:cs="Arial"/>
          <w:b/>
          <w:bCs/>
          <w:kern w:val="0"/>
          <w:lang w:eastAsia="en-GB"/>
          <w14:ligatures w14:val="none"/>
        </w:rPr>
      </w:pPr>
      <w:r w:rsidRPr="00057658">
        <w:rPr>
          <w:rFonts w:ascii="Arial" w:eastAsia="Times New Roman" w:hAnsi="Arial" w:cs="Arial"/>
          <w:b/>
          <w:bCs/>
          <w:kern w:val="0"/>
          <w:lang w:eastAsia="en-GB"/>
          <w14:ligatures w14:val="none"/>
        </w:rPr>
        <w:lastRenderedPageBreak/>
        <w:t>Data Collection:</w:t>
      </w:r>
    </w:p>
    <w:p w14:paraId="39FCC0E3" w14:textId="77777777" w:rsidR="00796288" w:rsidRPr="00796288" w:rsidRDefault="00796288" w:rsidP="00796288">
      <w:pPr>
        <w:spacing w:before="100" w:beforeAutospacing="1" w:after="100" w:afterAutospacing="1" w:line="240" w:lineRule="auto"/>
        <w:outlineLvl w:val="1"/>
        <w:rPr>
          <w:rFonts w:ascii="Arial" w:eastAsia="Times New Roman" w:hAnsi="Arial" w:cs="Arial"/>
          <w:kern w:val="0"/>
          <w:lang w:eastAsia="en-GB"/>
          <w14:ligatures w14:val="none"/>
        </w:rPr>
      </w:pPr>
      <w:r w:rsidRPr="00796288">
        <w:rPr>
          <w:rFonts w:ascii="Arial" w:eastAsia="Times New Roman" w:hAnsi="Arial" w:cs="Arial"/>
          <w:kern w:val="0"/>
          <w:lang w:eastAsia="en-GB"/>
          <w14:ligatures w14:val="none"/>
        </w:rPr>
        <w:t>•. The research will include carefully monitoring how children and teachers interact, as well as the different play options, in a variety of early childhood environments. Observers will use a pre-designed observational tool to record instances of gender bias, such as comments on appropriate toys or activities for each gender (Ainsworth, M., Blewitt, M., &amp; Clough, P., 2011).</w:t>
      </w:r>
    </w:p>
    <w:p w14:paraId="3080A08E" w14:textId="77777777" w:rsidR="00796288" w:rsidRPr="00796288" w:rsidRDefault="00796288" w:rsidP="00796288">
      <w:pPr>
        <w:spacing w:before="100" w:beforeAutospacing="1" w:after="100" w:afterAutospacing="1" w:line="240" w:lineRule="auto"/>
        <w:outlineLvl w:val="1"/>
        <w:rPr>
          <w:rFonts w:ascii="Arial" w:eastAsia="Times New Roman" w:hAnsi="Arial" w:cs="Arial"/>
          <w:kern w:val="0"/>
          <w:lang w:eastAsia="en-GB"/>
          <w14:ligatures w14:val="none"/>
        </w:rPr>
      </w:pPr>
      <w:r w:rsidRPr="00796288">
        <w:rPr>
          <w:rFonts w:ascii="Arial" w:eastAsia="Times New Roman" w:hAnsi="Arial" w:cs="Arial"/>
          <w:kern w:val="0"/>
          <w:lang w:eastAsia="en-GB"/>
          <w14:ligatures w14:val="none"/>
        </w:rPr>
        <w:t>Semi-structured Interviews: Semi-structured interviews will be conducted with educators and parents. This approach allows for flexibility in exploring individual experiences and perspectives on gender bias in play (Rubin &amp; Rubin, 2012). Interviews will delve into educators' awareness of gender bias and their strategies to promote inclusive play environments.</w:t>
      </w:r>
    </w:p>
    <w:p w14:paraId="519C2421" w14:textId="77777777" w:rsidR="00796288" w:rsidRPr="00796288" w:rsidRDefault="00796288" w:rsidP="00796288">
      <w:pPr>
        <w:spacing w:before="100" w:beforeAutospacing="1" w:after="100" w:afterAutospacing="1" w:line="240" w:lineRule="auto"/>
        <w:outlineLvl w:val="1"/>
        <w:rPr>
          <w:rFonts w:ascii="Arial" w:eastAsia="Times New Roman" w:hAnsi="Arial" w:cs="Arial"/>
          <w:b/>
          <w:bCs/>
          <w:kern w:val="0"/>
          <w:u w:val="single"/>
          <w:lang w:eastAsia="en-GB"/>
          <w14:ligatures w14:val="none"/>
        </w:rPr>
      </w:pPr>
      <w:r w:rsidRPr="00796288">
        <w:rPr>
          <w:rFonts w:ascii="Arial" w:eastAsia="Times New Roman" w:hAnsi="Arial" w:cs="Arial"/>
          <w:b/>
          <w:bCs/>
          <w:kern w:val="0"/>
          <w:u w:val="single"/>
          <w:lang w:eastAsia="en-GB"/>
          <w14:ligatures w14:val="none"/>
        </w:rPr>
        <w:t>Sample:</w:t>
      </w:r>
    </w:p>
    <w:p w14:paraId="6E22D6D5" w14:textId="77777777" w:rsidR="00796288" w:rsidRPr="00796288" w:rsidRDefault="00796288" w:rsidP="00796288">
      <w:pPr>
        <w:spacing w:before="100" w:beforeAutospacing="1" w:after="100" w:afterAutospacing="1" w:line="240" w:lineRule="auto"/>
        <w:outlineLvl w:val="1"/>
        <w:rPr>
          <w:rFonts w:ascii="Arial" w:eastAsia="Times New Roman" w:hAnsi="Arial" w:cs="Arial"/>
          <w:kern w:val="0"/>
          <w:lang w:eastAsia="en-GB"/>
          <w14:ligatures w14:val="none"/>
        </w:rPr>
      </w:pPr>
      <w:r w:rsidRPr="00796288">
        <w:rPr>
          <w:rFonts w:ascii="Arial" w:eastAsia="Times New Roman" w:hAnsi="Arial" w:cs="Arial"/>
          <w:kern w:val="0"/>
          <w:lang w:eastAsia="en-GB"/>
          <w14:ligatures w14:val="none"/>
        </w:rPr>
        <w:t xml:space="preserve">A purposive sampling technique will be utilized to select participants. This ensures the sample reflects a diverse range of early childhood settings, including daycare </w:t>
      </w:r>
      <w:proofErr w:type="spellStart"/>
      <w:r w:rsidRPr="00796288">
        <w:rPr>
          <w:rFonts w:ascii="Arial" w:eastAsia="Times New Roman" w:hAnsi="Arial" w:cs="Arial"/>
          <w:kern w:val="0"/>
          <w:lang w:eastAsia="en-GB"/>
          <w14:ligatures w14:val="none"/>
        </w:rPr>
        <w:t>centers</w:t>
      </w:r>
      <w:proofErr w:type="spellEnd"/>
      <w:r w:rsidRPr="00796288">
        <w:rPr>
          <w:rFonts w:ascii="Arial" w:eastAsia="Times New Roman" w:hAnsi="Arial" w:cs="Arial"/>
          <w:kern w:val="0"/>
          <w:lang w:eastAsia="en-GB"/>
          <w14:ligatures w14:val="none"/>
        </w:rPr>
        <w:t>, preschools, and public/private institutions. Participant inclusion will also consider factors like socioeconomic background to ensure a richer understanding of potential variations in gender bias across settings. The specific sample size will depend on data saturation, meaning recruitment will continue until no new information emerges (Guest, Bunce, &amp; Johnson, 2006).</w:t>
      </w:r>
    </w:p>
    <w:p w14:paraId="4998A935" w14:textId="77777777" w:rsidR="00796288" w:rsidRPr="00796288" w:rsidRDefault="00796288" w:rsidP="00796288">
      <w:pPr>
        <w:spacing w:before="100" w:beforeAutospacing="1" w:after="100" w:afterAutospacing="1" w:line="240" w:lineRule="auto"/>
        <w:outlineLvl w:val="1"/>
        <w:rPr>
          <w:rFonts w:ascii="Arial" w:eastAsia="Times New Roman" w:hAnsi="Arial" w:cs="Arial"/>
          <w:b/>
          <w:bCs/>
          <w:kern w:val="0"/>
          <w:lang w:eastAsia="en-GB"/>
          <w14:ligatures w14:val="none"/>
        </w:rPr>
      </w:pPr>
      <w:r w:rsidRPr="00796288">
        <w:rPr>
          <w:rFonts w:ascii="Arial" w:eastAsia="Times New Roman" w:hAnsi="Arial" w:cs="Arial"/>
          <w:b/>
          <w:bCs/>
          <w:kern w:val="0"/>
          <w:lang w:eastAsia="en-GB"/>
          <w14:ligatures w14:val="none"/>
        </w:rPr>
        <w:t>Evaluation of Methods:</w:t>
      </w:r>
    </w:p>
    <w:p w14:paraId="00A02B9A" w14:textId="77777777" w:rsidR="00796288" w:rsidRPr="00796288" w:rsidRDefault="00796288" w:rsidP="00796288">
      <w:pPr>
        <w:spacing w:before="100" w:beforeAutospacing="1" w:after="100" w:afterAutospacing="1" w:line="240" w:lineRule="auto"/>
        <w:outlineLvl w:val="1"/>
        <w:rPr>
          <w:rFonts w:ascii="Arial" w:eastAsia="Times New Roman" w:hAnsi="Arial" w:cs="Arial"/>
          <w:kern w:val="0"/>
          <w:lang w:eastAsia="en-GB"/>
          <w14:ligatures w14:val="none"/>
        </w:rPr>
      </w:pPr>
      <w:r w:rsidRPr="00796288">
        <w:rPr>
          <w:rFonts w:ascii="Arial" w:eastAsia="Times New Roman" w:hAnsi="Arial" w:cs="Arial"/>
          <w:kern w:val="0"/>
          <w:lang w:eastAsia="en-GB"/>
          <w14:ligatures w14:val="none"/>
        </w:rPr>
        <w:t xml:space="preserve">The chosen methods offer several advantages. Observations allow capturing actual </w:t>
      </w:r>
      <w:proofErr w:type="spellStart"/>
      <w:r w:rsidRPr="00796288">
        <w:rPr>
          <w:rFonts w:ascii="Arial" w:eastAsia="Times New Roman" w:hAnsi="Arial" w:cs="Arial"/>
          <w:kern w:val="0"/>
          <w:lang w:eastAsia="en-GB"/>
          <w14:ligatures w14:val="none"/>
        </w:rPr>
        <w:t>behavior</w:t>
      </w:r>
      <w:proofErr w:type="spellEnd"/>
      <w:r w:rsidRPr="00796288">
        <w:rPr>
          <w:rFonts w:ascii="Arial" w:eastAsia="Times New Roman" w:hAnsi="Arial" w:cs="Arial"/>
          <w:kern w:val="0"/>
          <w:lang w:eastAsia="en-GB"/>
          <w14:ligatures w14:val="none"/>
        </w:rPr>
        <w:t xml:space="preserve"> and interaction within the natural play environment (Heath &amp; Montgomery, 2009). Semi-structured interviews provide in-depth insights into educators' and parents' perceptions, thereby enriching the understanding of the observed </w:t>
      </w:r>
      <w:proofErr w:type="spellStart"/>
      <w:r w:rsidRPr="00796288">
        <w:rPr>
          <w:rFonts w:ascii="Arial" w:eastAsia="Times New Roman" w:hAnsi="Arial" w:cs="Arial"/>
          <w:kern w:val="0"/>
          <w:lang w:eastAsia="en-GB"/>
          <w14:ligatures w14:val="none"/>
        </w:rPr>
        <w:t>behaviors</w:t>
      </w:r>
      <w:proofErr w:type="spellEnd"/>
      <w:r w:rsidRPr="00796288">
        <w:rPr>
          <w:rFonts w:ascii="Arial" w:eastAsia="Times New Roman" w:hAnsi="Arial" w:cs="Arial"/>
          <w:kern w:val="0"/>
          <w:lang w:eastAsia="en-GB"/>
          <w14:ligatures w14:val="none"/>
        </w:rPr>
        <w:t>. The mixed methods approach allows for triangulation, which entails combining data from different sources to strengthen the study's validity and provide a more nuanced picture of the phenomenon (Flick, 2018).</w:t>
      </w:r>
    </w:p>
    <w:p w14:paraId="1BB56227" w14:textId="77777777" w:rsidR="00796288" w:rsidRPr="00796288" w:rsidRDefault="00796288" w:rsidP="00796288">
      <w:pPr>
        <w:spacing w:before="100" w:beforeAutospacing="1" w:after="100" w:afterAutospacing="1" w:line="240" w:lineRule="auto"/>
        <w:outlineLvl w:val="1"/>
        <w:rPr>
          <w:rFonts w:ascii="Arial" w:eastAsia="Times New Roman" w:hAnsi="Arial" w:cs="Arial"/>
          <w:b/>
          <w:bCs/>
          <w:kern w:val="0"/>
          <w:u w:val="single"/>
          <w:lang w:eastAsia="en-GB"/>
          <w14:ligatures w14:val="none"/>
        </w:rPr>
      </w:pPr>
      <w:r w:rsidRPr="00796288">
        <w:rPr>
          <w:rFonts w:ascii="Arial" w:eastAsia="Times New Roman" w:hAnsi="Arial" w:cs="Arial"/>
          <w:b/>
          <w:bCs/>
          <w:kern w:val="0"/>
          <w:u w:val="single"/>
          <w:lang w:eastAsia="en-GB"/>
          <w14:ligatures w14:val="none"/>
        </w:rPr>
        <w:t>Limitations and Ethical Considerations:</w:t>
      </w:r>
    </w:p>
    <w:p w14:paraId="18833648" w14:textId="77777777" w:rsidR="00796288" w:rsidRPr="00796288" w:rsidRDefault="00796288" w:rsidP="00796288">
      <w:pPr>
        <w:spacing w:before="100" w:beforeAutospacing="1" w:after="100" w:afterAutospacing="1" w:line="240" w:lineRule="auto"/>
        <w:outlineLvl w:val="1"/>
        <w:rPr>
          <w:rFonts w:ascii="Arial" w:eastAsia="Times New Roman" w:hAnsi="Arial" w:cs="Arial"/>
          <w:kern w:val="0"/>
          <w:lang w:eastAsia="en-GB"/>
          <w14:ligatures w14:val="none"/>
        </w:rPr>
      </w:pPr>
      <w:r w:rsidRPr="00796288">
        <w:rPr>
          <w:rFonts w:ascii="Arial" w:eastAsia="Times New Roman" w:hAnsi="Arial" w:cs="Arial"/>
          <w:kern w:val="0"/>
          <w:lang w:eastAsia="en-GB"/>
          <w14:ligatures w14:val="none"/>
        </w:rPr>
        <w:t xml:space="preserve">Observations pose the risk of the Hawthorne effect, where participants modify their </w:t>
      </w:r>
      <w:proofErr w:type="spellStart"/>
      <w:r w:rsidRPr="00796288">
        <w:rPr>
          <w:rFonts w:ascii="Arial" w:eastAsia="Times New Roman" w:hAnsi="Arial" w:cs="Arial"/>
          <w:kern w:val="0"/>
          <w:lang w:eastAsia="en-GB"/>
          <w14:ligatures w14:val="none"/>
        </w:rPr>
        <w:t>behavior</w:t>
      </w:r>
      <w:proofErr w:type="spellEnd"/>
      <w:r w:rsidRPr="00796288">
        <w:rPr>
          <w:rFonts w:ascii="Arial" w:eastAsia="Times New Roman" w:hAnsi="Arial" w:cs="Arial"/>
          <w:kern w:val="0"/>
          <w:lang w:eastAsia="en-GB"/>
          <w14:ligatures w14:val="none"/>
        </w:rPr>
        <w:t xml:space="preserve"> due to being observed (McGrath, J., &amp; Hollander, M., 2006). To mitigate this, the observer will familiarize themselves with the setting and maintain a consistent presence to minimize disruption. The potential for the Halo effect, where positive or negative first impressions influence perceptions, will be addressed through a structured observation tool and ongoing training for data collection (Rosenthal, R., &amp; Jacobson, L., 1992).</w:t>
      </w:r>
    </w:p>
    <w:p w14:paraId="7CC62B67" w14:textId="77777777" w:rsidR="00796288" w:rsidRPr="00796288" w:rsidRDefault="00796288" w:rsidP="00796288">
      <w:pPr>
        <w:spacing w:before="100" w:beforeAutospacing="1" w:after="100" w:afterAutospacing="1" w:line="240" w:lineRule="auto"/>
        <w:outlineLvl w:val="1"/>
        <w:rPr>
          <w:rFonts w:ascii="Arial" w:eastAsia="Times New Roman" w:hAnsi="Arial" w:cs="Arial"/>
          <w:kern w:val="0"/>
          <w:lang w:eastAsia="en-GB"/>
          <w14:ligatures w14:val="none"/>
        </w:rPr>
      </w:pPr>
      <w:r w:rsidRPr="00796288">
        <w:rPr>
          <w:rFonts w:ascii="Arial" w:eastAsia="Times New Roman" w:hAnsi="Arial" w:cs="Arial"/>
          <w:kern w:val="0"/>
          <w:lang w:eastAsia="en-GB"/>
          <w14:ligatures w14:val="none"/>
        </w:rPr>
        <w:t>Informed consent will be obtained from all participants, and anonymity will be guaranteed throughout the research process. Ethical guidelines set by relevant research bodies will be strictly followed.</w:t>
      </w:r>
    </w:p>
    <w:p w14:paraId="597BFC4D" w14:textId="77777777" w:rsidR="00796288" w:rsidRPr="00796288" w:rsidRDefault="00796288" w:rsidP="00796288">
      <w:pPr>
        <w:spacing w:before="100" w:beforeAutospacing="1" w:after="100" w:afterAutospacing="1" w:line="240" w:lineRule="auto"/>
        <w:outlineLvl w:val="1"/>
        <w:rPr>
          <w:rFonts w:ascii="Arial" w:eastAsia="Times New Roman" w:hAnsi="Arial" w:cs="Arial"/>
          <w:kern w:val="0"/>
          <w:lang w:eastAsia="en-GB"/>
          <w14:ligatures w14:val="none"/>
        </w:rPr>
      </w:pPr>
      <w:r w:rsidRPr="00796288">
        <w:rPr>
          <w:rFonts w:ascii="Arial" w:eastAsia="Times New Roman" w:hAnsi="Arial" w:cs="Arial"/>
          <w:kern w:val="0"/>
          <w:lang w:eastAsia="en-GB"/>
          <w14:ligatures w14:val="none"/>
        </w:rPr>
        <w:t>Justification for Chosen Method and Comparison to Previous Studies:</w:t>
      </w:r>
    </w:p>
    <w:p w14:paraId="048AEB2C" w14:textId="77777777" w:rsidR="00796288" w:rsidRPr="00796288" w:rsidRDefault="00796288" w:rsidP="00796288">
      <w:pPr>
        <w:spacing w:before="100" w:beforeAutospacing="1" w:after="100" w:afterAutospacing="1" w:line="240" w:lineRule="auto"/>
        <w:outlineLvl w:val="1"/>
        <w:rPr>
          <w:rFonts w:ascii="Arial" w:eastAsia="Times New Roman" w:hAnsi="Arial" w:cs="Arial"/>
          <w:kern w:val="0"/>
          <w:lang w:eastAsia="en-GB"/>
          <w14:ligatures w14:val="none"/>
        </w:rPr>
      </w:pPr>
      <w:r w:rsidRPr="00796288">
        <w:rPr>
          <w:rFonts w:ascii="Arial" w:eastAsia="Times New Roman" w:hAnsi="Arial" w:cs="Arial"/>
          <w:kern w:val="0"/>
          <w:lang w:eastAsia="en-GB"/>
          <w14:ligatures w14:val="none"/>
        </w:rPr>
        <w:lastRenderedPageBreak/>
        <w:t xml:space="preserve">This research builds upon existing studies on gender bias in play. Previous research by Lindberg, Olson, and Bacharach (2005) utilized surveys to identify teacher attitudes towards gender roles in play. While this study provided valuable insights into educators' beliefs, it lacked observation of actual interactions. More recently, Moen, Russell, and Han (2014) investigated the relationship between play environments and children's gender-stereotyped </w:t>
      </w:r>
      <w:proofErr w:type="spellStart"/>
      <w:r w:rsidRPr="00796288">
        <w:rPr>
          <w:rFonts w:ascii="Arial" w:eastAsia="Times New Roman" w:hAnsi="Arial" w:cs="Arial"/>
          <w:kern w:val="0"/>
          <w:lang w:eastAsia="en-GB"/>
          <w14:ligatures w14:val="none"/>
        </w:rPr>
        <w:t>behaviors</w:t>
      </w:r>
      <w:proofErr w:type="spellEnd"/>
      <w:r w:rsidRPr="00796288">
        <w:rPr>
          <w:rFonts w:ascii="Arial" w:eastAsia="Times New Roman" w:hAnsi="Arial" w:cs="Arial"/>
          <w:kern w:val="0"/>
          <w:lang w:eastAsia="en-GB"/>
          <w14:ligatures w14:val="none"/>
        </w:rPr>
        <w:t xml:space="preserve"> through a combination of observations and parent surveys. This study highlighted the influence of the physical layout and available materials on play choices. However, it did not explore the specific ways educators might subtly reinforce gender bias through interactions or language.</w:t>
      </w:r>
    </w:p>
    <w:p w14:paraId="606C9840" w14:textId="77777777" w:rsidR="00796288" w:rsidRPr="00796288" w:rsidRDefault="00796288" w:rsidP="00796288">
      <w:pPr>
        <w:spacing w:before="100" w:beforeAutospacing="1" w:after="100" w:afterAutospacing="1" w:line="240" w:lineRule="auto"/>
        <w:outlineLvl w:val="1"/>
        <w:rPr>
          <w:rFonts w:ascii="Arial" w:eastAsia="Times New Roman" w:hAnsi="Arial" w:cs="Arial"/>
          <w:kern w:val="0"/>
          <w:lang w:eastAsia="en-GB"/>
          <w14:ligatures w14:val="none"/>
        </w:rPr>
      </w:pPr>
      <w:r w:rsidRPr="00796288">
        <w:rPr>
          <w:rFonts w:ascii="Arial" w:eastAsia="Times New Roman" w:hAnsi="Arial" w:cs="Arial"/>
          <w:kern w:val="0"/>
          <w:lang w:eastAsia="en-GB"/>
          <w14:ligatures w14:val="none"/>
        </w:rPr>
        <w:t>The proposed research aims to bridge these gaps by utilizing a mixed methods approach that captures both the context and interaction within play environments. This allows for a more comprehensive understanding of how gender bias manifests within early childhood settings, including through subtle cues and unconscious behaviour.</w:t>
      </w:r>
    </w:p>
    <w:p w14:paraId="4119C1F7" w14:textId="77777777" w:rsidR="00796288" w:rsidRPr="00796288" w:rsidRDefault="00796288" w:rsidP="00796288">
      <w:pPr>
        <w:spacing w:before="100" w:beforeAutospacing="1" w:after="100" w:afterAutospacing="1" w:line="240" w:lineRule="auto"/>
        <w:outlineLvl w:val="1"/>
        <w:rPr>
          <w:rFonts w:ascii="Arial" w:eastAsia="Times New Roman" w:hAnsi="Arial" w:cs="Arial"/>
          <w:kern w:val="0"/>
          <w:lang w:eastAsia="en-GB"/>
          <w14:ligatures w14:val="none"/>
        </w:rPr>
      </w:pPr>
      <w:r w:rsidRPr="00796288">
        <w:rPr>
          <w:rFonts w:ascii="Arial" w:eastAsia="Times New Roman" w:hAnsi="Arial" w:cs="Arial"/>
          <w:kern w:val="0"/>
          <w:lang w:eastAsia="en-GB"/>
          <w14:ligatures w14:val="none"/>
        </w:rPr>
        <w:t xml:space="preserve">The mosaic approach provides a valuable framework through which to investigate gender bias within the context of play research. Researchers </w:t>
      </w:r>
      <w:proofErr w:type="gramStart"/>
      <w:r w:rsidRPr="00796288">
        <w:rPr>
          <w:rFonts w:ascii="Arial" w:eastAsia="Times New Roman" w:hAnsi="Arial" w:cs="Arial"/>
          <w:kern w:val="0"/>
          <w:lang w:eastAsia="en-GB"/>
          <w14:ligatures w14:val="none"/>
        </w:rPr>
        <w:t>have the opportunity to</w:t>
      </w:r>
      <w:proofErr w:type="gramEnd"/>
      <w:r w:rsidRPr="00796288">
        <w:rPr>
          <w:rFonts w:ascii="Arial" w:eastAsia="Times New Roman" w:hAnsi="Arial" w:cs="Arial"/>
          <w:kern w:val="0"/>
          <w:lang w:eastAsia="en-GB"/>
          <w14:ligatures w14:val="none"/>
        </w:rPr>
        <w:t xml:space="preserve"> gain a comprehensive understanding of how children navigate play environments and construct their sense of self by acknowledging the complex nature of gender and its interaction with other societal identities. This approach ultimately facilitates the development of more inclusive play experiences for all children.</w:t>
      </w:r>
    </w:p>
    <w:p w14:paraId="1432FE18" w14:textId="77777777" w:rsidR="00796288" w:rsidRPr="00796288" w:rsidRDefault="00796288" w:rsidP="00796288">
      <w:pPr>
        <w:spacing w:before="100" w:beforeAutospacing="1" w:after="100" w:afterAutospacing="1" w:line="240" w:lineRule="auto"/>
        <w:outlineLvl w:val="1"/>
        <w:rPr>
          <w:rFonts w:ascii="Arial" w:eastAsia="Times New Roman" w:hAnsi="Arial" w:cs="Arial"/>
          <w:kern w:val="0"/>
          <w:lang w:eastAsia="en-GB"/>
          <w14:ligatures w14:val="none"/>
        </w:rPr>
      </w:pPr>
      <w:r w:rsidRPr="00796288">
        <w:rPr>
          <w:rFonts w:ascii="Arial" w:eastAsia="Times New Roman" w:hAnsi="Arial" w:cs="Arial"/>
          <w:kern w:val="0"/>
          <w:lang w:eastAsia="en-GB"/>
          <w14:ligatures w14:val="none"/>
        </w:rPr>
        <w:t>Other methods such as relying solely on survey data may result in an oversimplified understanding of the nuanced ways in which gender bias manifests in real-world contexts. Moreover, exclusive emphasis on observations may fail to capture the fundamental beliefs and attitudes of educators. The utilization of a mixed-methods approach enables a more comprehensive and in-depth analysis of the phenomenon.</w:t>
      </w:r>
    </w:p>
    <w:p w14:paraId="034A9EA3" w14:textId="77777777" w:rsidR="00796288" w:rsidRPr="00796288" w:rsidRDefault="00796288" w:rsidP="00796288">
      <w:pPr>
        <w:spacing w:before="100" w:beforeAutospacing="1" w:after="100" w:afterAutospacing="1" w:line="240" w:lineRule="auto"/>
        <w:outlineLvl w:val="1"/>
        <w:rPr>
          <w:rFonts w:ascii="Arial" w:eastAsia="Times New Roman" w:hAnsi="Arial" w:cs="Arial"/>
          <w:kern w:val="0"/>
          <w:lang w:eastAsia="en-GB"/>
          <w14:ligatures w14:val="none"/>
        </w:rPr>
      </w:pPr>
      <w:r w:rsidRPr="00796288">
        <w:rPr>
          <w:rFonts w:ascii="Arial" w:eastAsia="Times New Roman" w:hAnsi="Arial" w:cs="Arial"/>
          <w:kern w:val="0"/>
          <w:lang w:eastAsia="en-GB"/>
          <w14:ligatures w14:val="none"/>
        </w:rPr>
        <w:t>By employing a mixed methods approach with careful consideration of sample selection, ethical considerations, and research limitations, this study aims to provide a comprehensive understanding of how gender bias manifests within play environments in early childhood settings. The findings can inform the development of strategies to promote inclusive play spaces that nurture the development of all children,</w:t>
      </w:r>
    </w:p>
    <w:p w14:paraId="60B4845E" w14:textId="77777777" w:rsidR="00796288" w:rsidRPr="00796288" w:rsidRDefault="00796288" w:rsidP="00796288">
      <w:pPr>
        <w:spacing w:before="100" w:beforeAutospacing="1" w:after="100" w:afterAutospacing="1" w:line="240" w:lineRule="auto"/>
        <w:outlineLvl w:val="1"/>
        <w:rPr>
          <w:rFonts w:ascii="Arial" w:eastAsia="Times New Roman" w:hAnsi="Arial" w:cs="Arial"/>
          <w:b/>
          <w:bCs/>
          <w:kern w:val="0"/>
          <w:u w:val="single"/>
          <w:lang w:eastAsia="en-GB"/>
          <w14:ligatures w14:val="none"/>
        </w:rPr>
      </w:pPr>
      <w:r w:rsidRPr="00796288">
        <w:rPr>
          <w:rFonts w:ascii="Arial" w:eastAsia="Times New Roman" w:hAnsi="Arial" w:cs="Arial"/>
          <w:b/>
          <w:bCs/>
          <w:kern w:val="0"/>
          <w:u w:val="single"/>
          <w:lang w:eastAsia="en-GB"/>
          <w14:ligatures w14:val="none"/>
        </w:rPr>
        <w:t>Triangulation in Research</w:t>
      </w:r>
    </w:p>
    <w:p w14:paraId="0846E9FD" w14:textId="77777777" w:rsidR="00796288" w:rsidRPr="00796288" w:rsidRDefault="00796288" w:rsidP="00796288">
      <w:pPr>
        <w:spacing w:before="100" w:beforeAutospacing="1" w:after="100" w:afterAutospacing="1" w:line="240" w:lineRule="auto"/>
        <w:outlineLvl w:val="1"/>
        <w:rPr>
          <w:rFonts w:ascii="Arial" w:eastAsia="Times New Roman" w:hAnsi="Arial" w:cs="Arial"/>
          <w:kern w:val="0"/>
          <w:lang w:eastAsia="en-GB"/>
          <w14:ligatures w14:val="none"/>
        </w:rPr>
      </w:pPr>
      <w:r w:rsidRPr="00796288">
        <w:rPr>
          <w:rFonts w:ascii="Arial" w:eastAsia="Times New Roman" w:hAnsi="Arial" w:cs="Arial"/>
          <w:kern w:val="0"/>
          <w:lang w:eastAsia="en-GB"/>
          <w14:ligatures w14:val="none"/>
        </w:rPr>
        <w:t>Research forms the bedrock of scholarly inquiry, fuelled by the desire to gain knowledge and comprehension. Achieving this goal may be difficult due to the influence of various factors. Triangulation, frequently employed in empirical research, is acknowledged for its strong ability to enhance the credibility and validity of research findings. This paper delves into the use of triangulation in research, emphasizing its aims, significance, and potential challenges within the research field.</w:t>
      </w:r>
    </w:p>
    <w:p w14:paraId="238B3F3E" w14:textId="77777777" w:rsidR="00796288" w:rsidRPr="00796288" w:rsidRDefault="00796288" w:rsidP="00796288">
      <w:pPr>
        <w:spacing w:before="100" w:beforeAutospacing="1" w:after="100" w:afterAutospacing="1" w:line="240" w:lineRule="auto"/>
        <w:outlineLvl w:val="1"/>
        <w:rPr>
          <w:rFonts w:ascii="Arial" w:eastAsia="Times New Roman" w:hAnsi="Arial" w:cs="Arial"/>
          <w:kern w:val="0"/>
          <w:lang w:eastAsia="en-GB"/>
          <w14:ligatures w14:val="none"/>
        </w:rPr>
      </w:pPr>
      <w:r w:rsidRPr="00796288">
        <w:rPr>
          <w:rFonts w:ascii="Arial" w:eastAsia="Times New Roman" w:hAnsi="Arial" w:cs="Arial"/>
          <w:kern w:val="0"/>
          <w:lang w:eastAsia="en-GB"/>
          <w14:ligatures w14:val="none"/>
        </w:rPr>
        <w:t xml:space="preserve">The concept of triangulation encompasses the incorporation of varied data sources, research methods, theoretical perspectives, or researchers within the scope of a singular research </w:t>
      </w:r>
      <w:proofErr w:type="spellStart"/>
      <w:r w:rsidRPr="00796288">
        <w:rPr>
          <w:rFonts w:ascii="Arial" w:eastAsia="Times New Roman" w:hAnsi="Arial" w:cs="Arial"/>
          <w:kern w:val="0"/>
          <w:lang w:eastAsia="en-GB"/>
          <w14:ligatures w14:val="none"/>
        </w:rPr>
        <w:t>endeavor</w:t>
      </w:r>
      <w:proofErr w:type="spellEnd"/>
      <w:r w:rsidRPr="00796288">
        <w:rPr>
          <w:rFonts w:ascii="Arial" w:eastAsia="Times New Roman" w:hAnsi="Arial" w:cs="Arial"/>
          <w:kern w:val="0"/>
          <w:lang w:eastAsia="en-GB"/>
          <w14:ligatures w14:val="none"/>
        </w:rPr>
        <w:t xml:space="preserve">.   Using multiple triangulation points allows researchers to gain a more accurate and thorough understanding, going beyond the constraints </w:t>
      </w:r>
      <w:r w:rsidRPr="00796288">
        <w:rPr>
          <w:rFonts w:ascii="Arial" w:eastAsia="Times New Roman" w:hAnsi="Arial" w:cs="Arial"/>
          <w:kern w:val="0"/>
          <w:lang w:eastAsia="en-GB"/>
          <w14:ligatures w14:val="none"/>
        </w:rPr>
        <w:lastRenderedPageBreak/>
        <w:t>of relying on just one reference point. In the field of research, the use of triangulation enables researchers to examine a phenomenon from multiple angles, thereby reducing the risk of biases associated with a single approach.</w:t>
      </w:r>
    </w:p>
    <w:p w14:paraId="21002B0C" w14:textId="77777777" w:rsidR="000B5195" w:rsidRPr="000B5195" w:rsidRDefault="000B5195" w:rsidP="000B5195">
      <w:pPr>
        <w:jc w:val="center"/>
        <w:rPr>
          <w:rFonts w:ascii="Arial" w:hAnsi="Arial" w:cs="Arial"/>
          <w:b/>
          <w:bCs/>
          <w:u w:val="single"/>
        </w:rPr>
      </w:pPr>
      <w:r w:rsidRPr="000B5195">
        <w:rPr>
          <w:rFonts w:ascii="Arial" w:hAnsi="Arial" w:cs="Arial"/>
          <w:b/>
          <w:bCs/>
          <w:u w:val="single"/>
        </w:rPr>
        <w:t>Ethical Considerations in Working and Researching with Young Children</w:t>
      </w:r>
    </w:p>
    <w:p w14:paraId="1E803B03" w14:textId="77777777" w:rsidR="000B5195" w:rsidRPr="000B5195" w:rsidRDefault="000B5195" w:rsidP="000B5195">
      <w:pPr>
        <w:rPr>
          <w:rFonts w:ascii="Arial" w:hAnsi="Arial" w:cs="Arial"/>
        </w:rPr>
      </w:pPr>
      <w:r w:rsidRPr="000B5195">
        <w:rPr>
          <w:rFonts w:ascii="Arial" w:hAnsi="Arial" w:cs="Arial"/>
        </w:rPr>
        <w:t>Working and researching with young children presents a unique set of ethical challenges. Their developing capacity for understanding, vulnerability, and dependence on adults necessitates careful consideration to ensure their well-being and respect for their rights. This paper critically examines these issues, exploring key policies, procedures, and best practices for obtaining informed consent, protecting confidentiality and anonymity, mitigating risks, and fostering openness throughout the research process.</w:t>
      </w:r>
    </w:p>
    <w:p w14:paraId="386498CA" w14:textId="77777777" w:rsidR="000B5195" w:rsidRPr="000B5195" w:rsidRDefault="000B5195" w:rsidP="000B5195">
      <w:pPr>
        <w:rPr>
          <w:rFonts w:ascii="Arial" w:hAnsi="Arial" w:cs="Arial"/>
        </w:rPr>
      </w:pPr>
    </w:p>
    <w:p w14:paraId="064647CA" w14:textId="77777777" w:rsidR="000B5195" w:rsidRPr="000B5195" w:rsidRDefault="000B5195" w:rsidP="000B5195">
      <w:pPr>
        <w:rPr>
          <w:rFonts w:ascii="Arial" w:hAnsi="Arial" w:cs="Arial"/>
          <w:b/>
          <w:bCs/>
        </w:rPr>
      </w:pPr>
      <w:r w:rsidRPr="000B5195">
        <w:rPr>
          <w:rFonts w:ascii="Arial" w:hAnsi="Arial" w:cs="Arial"/>
          <w:b/>
          <w:bCs/>
        </w:rPr>
        <w:t>Consent: Balancing Parental Authority and Child Assent</w:t>
      </w:r>
    </w:p>
    <w:p w14:paraId="513CD205" w14:textId="77777777" w:rsidR="000B5195" w:rsidRPr="000B5195" w:rsidRDefault="000B5195" w:rsidP="000B5195">
      <w:pPr>
        <w:rPr>
          <w:rFonts w:ascii="Arial" w:hAnsi="Arial" w:cs="Arial"/>
        </w:rPr>
      </w:pPr>
    </w:p>
    <w:p w14:paraId="2551E827" w14:textId="77777777" w:rsidR="000B5195" w:rsidRPr="000B5195" w:rsidRDefault="000B5195" w:rsidP="000B5195">
      <w:pPr>
        <w:rPr>
          <w:rFonts w:ascii="Arial" w:hAnsi="Arial" w:cs="Arial"/>
        </w:rPr>
      </w:pPr>
      <w:r w:rsidRPr="000B5195">
        <w:rPr>
          <w:rFonts w:ascii="Arial" w:hAnsi="Arial" w:cs="Arial"/>
        </w:rPr>
        <w:t>Obtaining informed consent is a cornerstone of ethical research. However, with young children, their limited cognitive abilities necessitate a two-pronged approach. Parental consent is crucial, ensuring guardians understand the research purpose, procedures, and potential risks and benefits. National Institutes of Health (NIH) guidelines [1] emphasize the importance of providing parents with written information sheets detailing this information in clear, concise language.</w:t>
      </w:r>
    </w:p>
    <w:p w14:paraId="5243EDF1" w14:textId="77777777" w:rsidR="000B5195" w:rsidRPr="000B5195" w:rsidRDefault="000B5195" w:rsidP="000B5195">
      <w:pPr>
        <w:rPr>
          <w:rFonts w:ascii="Arial" w:hAnsi="Arial" w:cs="Arial"/>
        </w:rPr>
      </w:pPr>
    </w:p>
    <w:p w14:paraId="130C2539" w14:textId="77777777" w:rsidR="000B5195" w:rsidRPr="000B5195" w:rsidRDefault="000B5195" w:rsidP="000B5195">
      <w:pPr>
        <w:rPr>
          <w:rFonts w:ascii="Arial" w:hAnsi="Arial" w:cs="Arial"/>
        </w:rPr>
      </w:pPr>
      <w:r w:rsidRPr="000B5195">
        <w:rPr>
          <w:rFonts w:ascii="Arial" w:hAnsi="Arial" w:cs="Arial"/>
        </w:rPr>
        <w:t>Beyond parental consent, researchers should strive for assent from children whenever possible. This involves explaining the research in an age-appropriate manner, allowing children to ask questions, and respecting their right to refuse participation. The Belmont Report [2], a cornerstone document in human research ethics, emphasizes the importance of respecting children's developing autonomy.</w:t>
      </w:r>
    </w:p>
    <w:p w14:paraId="53FCBA0C" w14:textId="77777777" w:rsidR="000B5195" w:rsidRPr="000B5195" w:rsidRDefault="000B5195" w:rsidP="000B5195">
      <w:pPr>
        <w:rPr>
          <w:rFonts w:ascii="Arial" w:hAnsi="Arial" w:cs="Arial"/>
        </w:rPr>
      </w:pPr>
    </w:p>
    <w:p w14:paraId="217A3CFF" w14:textId="77777777" w:rsidR="000B5195" w:rsidRPr="000B5195" w:rsidRDefault="000B5195" w:rsidP="000B5195">
      <w:pPr>
        <w:rPr>
          <w:rFonts w:ascii="Arial" w:hAnsi="Arial" w:cs="Arial"/>
          <w:b/>
          <w:bCs/>
        </w:rPr>
      </w:pPr>
      <w:r w:rsidRPr="000B5195">
        <w:rPr>
          <w:rFonts w:ascii="Arial" w:hAnsi="Arial" w:cs="Arial"/>
          <w:b/>
          <w:bCs/>
        </w:rPr>
        <w:t>Confidentiality and Anonymity: Protecting the Vulnerable</w:t>
      </w:r>
    </w:p>
    <w:p w14:paraId="6982C5EC" w14:textId="77777777" w:rsidR="000B5195" w:rsidRPr="000B5195" w:rsidRDefault="000B5195" w:rsidP="000B5195">
      <w:pPr>
        <w:rPr>
          <w:rFonts w:ascii="Arial" w:hAnsi="Arial" w:cs="Arial"/>
        </w:rPr>
      </w:pPr>
    </w:p>
    <w:p w14:paraId="58EFCCEB" w14:textId="77777777" w:rsidR="000B5195" w:rsidRPr="000B5195" w:rsidRDefault="000B5195" w:rsidP="000B5195">
      <w:pPr>
        <w:rPr>
          <w:rFonts w:ascii="Arial" w:hAnsi="Arial" w:cs="Arial"/>
        </w:rPr>
      </w:pPr>
      <w:r w:rsidRPr="000B5195">
        <w:rPr>
          <w:rFonts w:ascii="Arial" w:hAnsi="Arial" w:cs="Arial"/>
        </w:rPr>
        <w:t>Protecting children's privacy is paramount. Researchers must ensure data confidentiality by anonymizing collected information wherever possible. This may involve using pseudonyms instead of real names and removing any personally identifiable information (PII) from data sets.  The UK's General Data Protection Regulation (GDPR) [3] outlines strict regulations regarding data protection and privacy, which are essential to consider when working with children.</w:t>
      </w:r>
    </w:p>
    <w:p w14:paraId="02953994" w14:textId="77777777" w:rsidR="000B5195" w:rsidRPr="000B5195" w:rsidRDefault="000B5195" w:rsidP="000B5195">
      <w:pPr>
        <w:rPr>
          <w:rFonts w:ascii="Arial" w:hAnsi="Arial" w:cs="Arial"/>
        </w:rPr>
      </w:pPr>
    </w:p>
    <w:p w14:paraId="31CE8CF4" w14:textId="77777777" w:rsidR="000B5195" w:rsidRPr="000B5195" w:rsidRDefault="000B5195" w:rsidP="000B5195">
      <w:pPr>
        <w:rPr>
          <w:rFonts w:ascii="Arial" w:hAnsi="Arial" w:cs="Arial"/>
        </w:rPr>
      </w:pPr>
      <w:r w:rsidRPr="000B5195">
        <w:rPr>
          <w:rFonts w:ascii="Arial" w:hAnsi="Arial" w:cs="Arial"/>
        </w:rPr>
        <w:lastRenderedPageBreak/>
        <w:t>Maintaining anonymity, especially for sensitive research topics, may be crucial. This involves ensuring no participant can be easily identified from the research findings. Researchers should carefully consider the potential impact of their findings on children's social standing or future opportunities.</w:t>
      </w:r>
    </w:p>
    <w:p w14:paraId="5C022A3C" w14:textId="77777777" w:rsidR="000B5195" w:rsidRPr="000B5195" w:rsidRDefault="000B5195" w:rsidP="000B5195">
      <w:pPr>
        <w:rPr>
          <w:rFonts w:ascii="Arial" w:hAnsi="Arial" w:cs="Arial"/>
          <w:b/>
          <w:bCs/>
        </w:rPr>
      </w:pPr>
    </w:p>
    <w:p w14:paraId="5A1B161D" w14:textId="77777777" w:rsidR="000B5195" w:rsidRPr="000B5195" w:rsidRDefault="000B5195" w:rsidP="000B5195">
      <w:pPr>
        <w:rPr>
          <w:rFonts w:ascii="Arial" w:hAnsi="Arial" w:cs="Arial"/>
          <w:b/>
          <w:bCs/>
        </w:rPr>
      </w:pPr>
      <w:r w:rsidRPr="000B5195">
        <w:rPr>
          <w:rFonts w:ascii="Arial" w:hAnsi="Arial" w:cs="Arial"/>
          <w:b/>
          <w:bCs/>
        </w:rPr>
        <w:t>Mitigating Risks: Foreseeing and Minimizing Harm</w:t>
      </w:r>
    </w:p>
    <w:p w14:paraId="5C2C39F7" w14:textId="77777777" w:rsidR="000B5195" w:rsidRPr="000B5195" w:rsidRDefault="000B5195" w:rsidP="000B5195">
      <w:pPr>
        <w:rPr>
          <w:rFonts w:ascii="Arial" w:hAnsi="Arial" w:cs="Arial"/>
        </w:rPr>
      </w:pPr>
    </w:p>
    <w:p w14:paraId="27B893FF" w14:textId="77777777" w:rsidR="000B5195" w:rsidRPr="000B5195" w:rsidRDefault="000B5195" w:rsidP="000B5195">
      <w:pPr>
        <w:rPr>
          <w:rFonts w:ascii="Arial" w:hAnsi="Arial" w:cs="Arial"/>
        </w:rPr>
      </w:pPr>
      <w:r w:rsidRPr="000B5195">
        <w:rPr>
          <w:rFonts w:ascii="Arial" w:hAnsi="Arial" w:cs="Arial"/>
        </w:rPr>
        <w:t>Research should not expose children to undue risks. This includes potential emotional distress, social stigmas, or pressure to participate. The research design should prioritize minimal intrusion into children's lives. Additionally, researchers must have clear procedures in place to address any unforeseen risks that may arise during the research process.</w:t>
      </w:r>
    </w:p>
    <w:p w14:paraId="6F125A40" w14:textId="77777777" w:rsidR="000B5195" w:rsidRPr="000B5195" w:rsidRDefault="000B5195" w:rsidP="000B5195">
      <w:pPr>
        <w:rPr>
          <w:rFonts w:ascii="Arial" w:hAnsi="Arial" w:cs="Arial"/>
        </w:rPr>
      </w:pPr>
    </w:p>
    <w:p w14:paraId="2E1D476E" w14:textId="77777777" w:rsidR="000B5195" w:rsidRPr="000B5195" w:rsidRDefault="000B5195" w:rsidP="000B5195">
      <w:pPr>
        <w:rPr>
          <w:rFonts w:ascii="Arial" w:hAnsi="Arial" w:cs="Arial"/>
        </w:rPr>
      </w:pPr>
      <w:r w:rsidRPr="000B5195">
        <w:rPr>
          <w:rFonts w:ascii="Arial" w:hAnsi="Arial" w:cs="Arial"/>
        </w:rPr>
        <w:t>The Australian National Statement on Ethical Conduct in Human Research [4] emphasizes the importance of minimizing risk to participants. Researchers should conduct thorough risk assessments and have clear plans for managing potential hazards. This can include having qualified personnel readily available to address any emotional or psychological concerns that may arise.</w:t>
      </w:r>
    </w:p>
    <w:p w14:paraId="344A1C4E" w14:textId="77777777" w:rsidR="000B5195" w:rsidRPr="000B5195" w:rsidRDefault="000B5195" w:rsidP="000B5195">
      <w:pPr>
        <w:rPr>
          <w:rFonts w:ascii="Arial" w:hAnsi="Arial" w:cs="Arial"/>
        </w:rPr>
      </w:pPr>
    </w:p>
    <w:p w14:paraId="1A2CB1E8" w14:textId="77777777" w:rsidR="000B5195" w:rsidRPr="000B5195" w:rsidRDefault="000B5195" w:rsidP="000B5195">
      <w:pPr>
        <w:rPr>
          <w:rFonts w:ascii="Arial" w:hAnsi="Arial" w:cs="Arial"/>
          <w:b/>
          <w:bCs/>
        </w:rPr>
      </w:pPr>
      <w:r w:rsidRPr="000B5195">
        <w:rPr>
          <w:rFonts w:ascii="Arial" w:hAnsi="Arial" w:cs="Arial"/>
          <w:b/>
          <w:bCs/>
        </w:rPr>
        <w:t>Openness: Building Trust and Transparency</w:t>
      </w:r>
    </w:p>
    <w:p w14:paraId="3FB1D564" w14:textId="77777777" w:rsidR="000B5195" w:rsidRPr="000B5195" w:rsidRDefault="000B5195" w:rsidP="000B5195">
      <w:pPr>
        <w:rPr>
          <w:rFonts w:ascii="Arial" w:hAnsi="Arial" w:cs="Arial"/>
        </w:rPr>
      </w:pPr>
    </w:p>
    <w:p w14:paraId="24543B71" w14:textId="77777777" w:rsidR="000B5195" w:rsidRPr="000B5195" w:rsidRDefault="000B5195" w:rsidP="000B5195">
      <w:pPr>
        <w:rPr>
          <w:rFonts w:ascii="Arial" w:hAnsi="Arial" w:cs="Arial"/>
        </w:rPr>
      </w:pPr>
      <w:r w:rsidRPr="000B5195">
        <w:rPr>
          <w:rFonts w:ascii="Arial" w:hAnsi="Arial" w:cs="Arial"/>
        </w:rPr>
        <w:t>Open and honest communication is vital throughout the research process. Researchers should be readily available to answer children's (and parents') questions and address any concerns. This fosters trust and allows for informed decision-making. Additionally, researchers should provide participants with clear information about how research findings will be disseminated and used.</w:t>
      </w:r>
    </w:p>
    <w:p w14:paraId="4E7916EC" w14:textId="77777777" w:rsidR="000B5195" w:rsidRPr="000B5195" w:rsidRDefault="000B5195" w:rsidP="000B5195">
      <w:pPr>
        <w:rPr>
          <w:rFonts w:ascii="Arial" w:hAnsi="Arial" w:cs="Arial"/>
        </w:rPr>
      </w:pPr>
    </w:p>
    <w:p w14:paraId="16713068" w14:textId="77777777" w:rsidR="000B5195" w:rsidRPr="000B5195" w:rsidRDefault="000B5195" w:rsidP="000B5195">
      <w:pPr>
        <w:rPr>
          <w:rFonts w:ascii="Arial" w:hAnsi="Arial" w:cs="Arial"/>
          <w:b/>
          <w:bCs/>
        </w:rPr>
      </w:pPr>
      <w:r w:rsidRPr="000B5195">
        <w:rPr>
          <w:rFonts w:ascii="Arial" w:hAnsi="Arial" w:cs="Arial"/>
          <w:b/>
          <w:bCs/>
        </w:rPr>
        <w:t>Information Sheet Content: Transparency and Clarity</w:t>
      </w:r>
    </w:p>
    <w:p w14:paraId="0F5AC300" w14:textId="77777777" w:rsidR="000B5195" w:rsidRPr="000B5195" w:rsidRDefault="000B5195" w:rsidP="000B5195">
      <w:pPr>
        <w:rPr>
          <w:rFonts w:ascii="Arial" w:hAnsi="Arial" w:cs="Arial"/>
        </w:rPr>
      </w:pPr>
    </w:p>
    <w:p w14:paraId="27F799D6" w14:textId="77777777" w:rsidR="000B5195" w:rsidRPr="000B5195" w:rsidRDefault="000B5195" w:rsidP="000B5195">
      <w:pPr>
        <w:rPr>
          <w:rFonts w:ascii="Arial" w:hAnsi="Arial" w:cs="Arial"/>
        </w:rPr>
      </w:pPr>
      <w:r w:rsidRPr="000B5195">
        <w:rPr>
          <w:rFonts w:ascii="Arial" w:hAnsi="Arial" w:cs="Arial"/>
        </w:rPr>
        <w:t xml:space="preserve">The information sheet provided to parents and children (when applicable) should be clear, concise, and </w:t>
      </w:r>
      <w:proofErr w:type="gramStart"/>
      <w:r w:rsidRPr="000B5195">
        <w:rPr>
          <w:rFonts w:ascii="Arial" w:hAnsi="Arial" w:cs="Arial"/>
        </w:rPr>
        <w:t>age-appropriate</w:t>
      </w:r>
      <w:proofErr w:type="gramEnd"/>
      <w:r w:rsidRPr="000B5195">
        <w:rPr>
          <w:rFonts w:ascii="Arial" w:hAnsi="Arial" w:cs="Arial"/>
        </w:rPr>
        <w:t>. It should detail the research purpose, procedures, potential risks and benefits, confidentiality measures, and the right to withdraw from the research at any point.</w:t>
      </w:r>
    </w:p>
    <w:p w14:paraId="60D5817B" w14:textId="77777777" w:rsidR="000B5195" w:rsidRPr="000B5195" w:rsidRDefault="000B5195" w:rsidP="000B5195">
      <w:pPr>
        <w:rPr>
          <w:rFonts w:ascii="Arial" w:hAnsi="Arial" w:cs="Arial"/>
        </w:rPr>
      </w:pPr>
    </w:p>
    <w:p w14:paraId="79D5243F" w14:textId="77777777" w:rsidR="000B5195" w:rsidRPr="000B5195" w:rsidRDefault="000B5195" w:rsidP="000B5195">
      <w:pPr>
        <w:rPr>
          <w:rFonts w:ascii="Arial" w:hAnsi="Arial" w:cs="Arial"/>
        </w:rPr>
      </w:pPr>
      <w:r w:rsidRPr="000B5195">
        <w:rPr>
          <w:rFonts w:ascii="Arial" w:hAnsi="Arial" w:cs="Arial"/>
        </w:rPr>
        <w:lastRenderedPageBreak/>
        <w:t xml:space="preserve">The United States Department of Health and Human Services (HHS) [5] provides resources on developing information sheets for human </w:t>
      </w:r>
      <w:proofErr w:type="gramStart"/>
      <w:r w:rsidRPr="000B5195">
        <w:rPr>
          <w:rFonts w:ascii="Arial" w:hAnsi="Arial" w:cs="Arial"/>
        </w:rPr>
        <w:t>subjects</w:t>
      </w:r>
      <w:proofErr w:type="gramEnd"/>
      <w:r w:rsidRPr="000B5195">
        <w:rPr>
          <w:rFonts w:ascii="Arial" w:hAnsi="Arial" w:cs="Arial"/>
        </w:rPr>
        <w:t xml:space="preserve"> research. These resources can be particularly helpful when crafting information sheets for research involving young children.</w:t>
      </w:r>
    </w:p>
    <w:p w14:paraId="00DC798E" w14:textId="77777777" w:rsidR="000B5195" w:rsidRPr="000B5195" w:rsidRDefault="000B5195" w:rsidP="000B5195">
      <w:pPr>
        <w:rPr>
          <w:rFonts w:ascii="Arial" w:hAnsi="Arial" w:cs="Arial"/>
        </w:rPr>
      </w:pPr>
    </w:p>
    <w:p w14:paraId="252FE905" w14:textId="77777777" w:rsidR="000B5195" w:rsidRPr="000B5195" w:rsidRDefault="000B5195" w:rsidP="000B5195">
      <w:pPr>
        <w:rPr>
          <w:rFonts w:ascii="Arial" w:hAnsi="Arial" w:cs="Arial"/>
          <w:b/>
          <w:bCs/>
        </w:rPr>
      </w:pPr>
      <w:r w:rsidRPr="000B5195">
        <w:rPr>
          <w:rFonts w:ascii="Arial" w:hAnsi="Arial" w:cs="Arial"/>
          <w:b/>
          <w:bCs/>
        </w:rPr>
        <w:t>Voluntary Consent: Ensuring Freedom from Coercion</w:t>
      </w:r>
    </w:p>
    <w:p w14:paraId="3A0B33A5" w14:textId="77777777" w:rsidR="000B5195" w:rsidRPr="000B5195" w:rsidRDefault="000B5195" w:rsidP="000B5195">
      <w:pPr>
        <w:rPr>
          <w:rFonts w:ascii="Arial" w:hAnsi="Arial" w:cs="Arial"/>
        </w:rPr>
      </w:pPr>
    </w:p>
    <w:p w14:paraId="5AC90337" w14:textId="77777777" w:rsidR="000B5195" w:rsidRPr="000B5195" w:rsidRDefault="000B5195" w:rsidP="000B5195">
      <w:pPr>
        <w:rPr>
          <w:rFonts w:ascii="Arial" w:hAnsi="Arial" w:cs="Arial"/>
        </w:rPr>
      </w:pPr>
      <w:r w:rsidRPr="000B5195">
        <w:rPr>
          <w:rFonts w:ascii="Arial" w:hAnsi="Arial" w:cs="Arial"/>
        </w:rPr>
        <w:t>Consent from both parents and (when applicable) children must be voluntary. Researchers should avoid any form of coercion or pressure to participate. This may involve ensuring that participation does not offer undue benefits to children or their families. Additionally, researchers should be mindful not to exploit children's power dynamics within their environments (e.g., schools).</w:t>
      </w:r>
    </w:p>
    <w:p w14:paraId="6C8D3509" w14:textId="77777777" w:rsidR="000B5195" w:rsidRPr="000B5195" w:rsidRDefault="000B5195" w:rsidP="000B5195">
      <w:pPr>
        <w:rPr>
          <w:rFonts w:ascii="Arial" w:hAnsi="Arial" w:cs="Arial"/>
        </w:rPr>
      </w:pPr>
    </w:p>
    <w:p w14:paraId="0038953B" w14:textId="77777777" w:rsidR="000B5195" w:rsidRPr="000B5195" w:rsidRDefault="000B5195" w:rsidP="000B5195">
      <w:pPr>
        <w:rPr>
          <w:rFonts w:ascii="Arial" w:hAnsi="Arial" w:cs="Arial"/>
          <w:b/>
          <w:bCs/>
        </w:rPr>
      </w:pPr>
      <w:r w:rsidRPr="000B5195">
        <w:rPr>
          <w:rFonts w:ascii="Arial" w:hAnsi="Arial" w:cs="Arial"/>
          <w:b/>
          <w:bCs/>
        </w:rPr>
        <w:t>Data Collection and Storage: Responsible Practices</w:t>
      </w:r>
    </w:p>
    <w:p w14:paraId="15C1AEC2" w14:textId="77777777" w:rsidR="000B5195" w:rsidRPr="000B5195" w:rsidRDefault="000B5195" w:rsidP="000B5195">
      <w:pPr>
        <w:rPr>
          <w:rFonts w:ascii="Arial" w:hAnsi="Arial" w:cs="Arial"/>
        </w:rPr>
      </w:pPr>
    </w:p>
    <w:p w14:paraId="425A1667" w14:textId="77777777" w:rsidR="000B5195" w:rsidRPr="000B5195" w:rsidRDefault="000B5195" w:rsidP="000B5195">
      <w:pPr>
        <w:rPr>
          <w:rFonts w:ascii="Arial" w:hAnsi="Arial" w:cs="Arial"/>
        </w:rPr>
      </w:pPr>
      <w:r w:rsidRPr="000B5195">
        <w:rPr>
          <w:rFonts w:ascii="Arial" w:hAnsi="Arial" w:cs="Arial"/>
        </w:rPr>
        <w:t>Data collection methods should be age-appropriate and minimize disruption to children's lives. Researchers should ensure informed consent is obtained for any audio or video recordings. Data storage practices must comply with relevant government regulations, such as GDPR [6] in the UK or HIPAA [7] in the US, which require secure storage and data protection measures.</w:t>
      </w:r>
    </w:p>
    <w:p w14:paraId="151A5208" w14:textId="77777777" w:rsidR="000B5195" w:rsidRPr="000B5195" w:rsidRDefault="000B5195" w:rsidP="000B5195">
      <w:pPr>
        <w:rPr>
          <w:rFonts w:ascii="Arial" w:hAnsi="Arial" w:cs="Arial"/>
        </w:rPr>
      </w:pPr>
    </w:p>
    <w:p w14:paraId="2DC9B614" w14:textId="77777777" w:rsidR="000B5195" w:rsidRPr="000B5195" w:rsidRDefault="000B5195" w:rsidP="000B5195">
      <w:pPr>
        <w:rPr>
          <w:rFonts w:ascii="Arial" w:hAnsi="Arial" w:cs="Arial"/>
          <w:b/>
          <w:bCs/>
        </w:rPr>
      </w:pPr>
      <w:r w:rsidRPr="000B5195">
        <w:rPr>
          <w:rFonts w:ascii="Arial" w:hAnsi="Arial" w:cs="Arial"/>
          <w:b/>
          <w:bCs/>
        </w:rPr>
        <w:t>Conclusion</w:t>
      </w:r>
    </w:p>
    <w:p w14:paraId="2E5AE772" w14:textId="77777777" w:rsidR="000B5195" w:rsidRPr="000B5195" w:rsidRDefault="000B5195" w:rsidP="000B5195">
      <w:pPr>
        <w:rPr>
          <w:rFonts w:ascii="Arial" w:hAnsi="Arial" w:cs="Arial"/>
        </w:rPr>
      </w:pPr>
    </w:p>
    <w:p w14:paraId="706DD382" w14:textId="77777777" w:rsidR="000B5195" w:rsidRPr="000B5195" w:rsidRDefault="000B5195" w:rsidP="000B5195">
      <w:pPr>
        <w:rPr>
          <w:rFonts w:ascii="Arial" w:hAnsi="Arial" w:cs="Arial"/>
        </w:rPr>
      </w:pPr>
      <w:r w:rsidRPr="000B5195">
        <w:rPr>
          <w:rFonts w:ascii="Arial" w:hAnsi="Arial" w:cs="Arial"/>
        </w:rPr>
        <w:t>Working and researching with young children necessitates a nuanced approach to ethical considerations. By prioritizing informed consent, protecting confidentiality and anonymity, minimizing risks, fostering openness, and ensuring data security, researchers can conduct valuable research while upholding the rights and well-being of young participants.</w:t>
      </w:r>
    </w:p>
    <w:p w14:paraId="79783E19" w14:textId="77777777" w:rsidR="00796288" w:rsidRPr="000B5195" w:rsidRDefault="00796288" w:rsidP="00951F9E">
      <w:pPr>
        <w:spacing w:before="100" w:beforeAutospacing="1" w:after="100" w:afterAutospacing="1" w:line="240" w:lineRule="auto"/>
        <w:rPr>
          <w:rFonts w:ascii="Arial" w:eastAsia="Times New Roman" w:hAnsi="Arial" w:cs="Arial"/>
          <w:kern w:val="0"/>
          <w:lang w:eastAsia="en-GB"/>
          <w14:ligatures w14:val="none"/>
        </w:rPr>
      </w:pPr>
    </w:p>
    <w:p w14:paraId="6E199EE2" w14:textId="77777777" w:rsidR="00951F9E" w:rsidRPr="000B5195" w:rsidRDefault="00951F9E">
      <w:pPr>
        <w:rPr>
          <w:rFonts w:ascii="Arial" w:hAnsi="Arial" w:cs="Arial"/>
        </w:rPr>
      </w:pPr>
    </w:p>
    <w:sectPr w:rsidR="00951F9E" w:rsidRPr="000B51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F9E"/>
    <w:rsid w:val="00057658"/>
    <w:rsid w:val="000B5195"/>
    <w:rsid w:val="002B62CE"/>
    <w:rsid w:val="00796288"/>
    <w:rsid w:val="008401E6"/>
    <w:rsid w:val="00876E00"/>
    <w:rsid w:val="008C5C8A"/>
    <w:rsid w:val="00951F9E"/>
    <w:rsid w:val="00B379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D7DA4E"/>
  <w15:chartTrackingRefBased/>
  <w15:docId w15:val="{64C7A44B-96C7-4784-9DAE-DF118F4143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1F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1F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1F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1F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1F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1F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1F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1F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1F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1F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1F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1F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1F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1F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1F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1F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1F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1F9E"/>
    <w:rPr>
      <w:rFonts w:eastAsiaTheme="majorEastAsia" w:cstheme="majorBidi"/>
      <w:color w:val="272727" w:themeColor="text1" w:themeTint="D8"/>
    </w:rPr>
  </w:style>
  <w:style w:type="paragraph" w:styleId="Title">
    <w:name w:val="Title"/>
    <w:basedOn w:val="Normal"/>
    <w:next w:val="Normal"/>
    <w:link w:val="TitleChar"/>
    <w:uiPriority w:val="10"/>
    <w:qFormat/>
    <w:rsid w:val="00951F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1F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1F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1F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1F9E"/>
    <w:pPr>
      <w:spacing w:before="160"/>
      <w:jc w:val="center"/>
    </w:pPr>
    <w:rPr>
      <w:i/>
      <w:iCs/>
      <w:color w:val="404040" w:themeColor="text1" w:themeTint="BF"/>
    </w:rPr>
  </w:style>
  <w:style w:type="character" w:customStyle="1" w:styleId="QuoteChar">
    <w:name w:val="Quote Char"/>
    <w:basedOn w:val="DefaultParagraphFont"/>
    <w:link w:val="Quote"/>
    <w:uiPriority w:val="29"/>
    <w:rsid w:val="00951F9E"/>
    <w:rPr>
      <w:i/>
      <w:iCs/>
      <w:color w:val="404040" w:themeColor="text1" w:themeTint="BF"/>
    </w:rPr>
  </w:style>
  <w:style w:type="paragraph" w:styleId="ListParagraph">
    <w:name w:val="List Paragraph"/>
    <w:basedOn w:val="Normal"/>
    <w:uiPriority w:val="34"/>
    <w:qFormat/>
    <w:rsid w:val="00951F9E"/>
    <w:pPr>
      <w:ind w:left="720"/>
      <w:contextualSpacing/>
    </w:pPr>
  </w:style>
  <w:style w:type="character" w:styleId="IntenseEmphasis">
    <w:name w:val="Intense Emphasis"/>
    <w:basedOn w:val="DefaultParagraphFont"/>
    <w:uiPriority w:val="21"/>
    <w:qFormat/>
    <w:rsid w:val="00951F9E"/>
    <w:rPr>
      <w:i/>
      <w:iCs/>
      <w:color w:val="0F4761" w:themeColor="accent1" w:themeShade="BF"/>
    </w:rPr>
  </w:style>
  <w:style w:type="paragraph" w:styleId="IntenseQuote">
    <w:name w:val="Intense Quote"/>
    <w:basedOn w:val="Normal"/>
    <w:next w:val="Normal"/>
    <w:link w:val="IntenseQuoteChar"/>
    <w:uiPriority w:val="30"/>
    <w:qFormat/>
    <w:rsid w:val="00951F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1F9E"/>
    <w:rPr>
      <w:i/>
      <w:iCs/>
      <w:color w:val="0F4761" w:themeColor="accent1" w:themeShade="BF"/>
    </w:rPr>
  </w:style>
  <w:style w:type="character" w:styleId="IntenseReference">
    <w:name w:val="Intense Reference"/>
    <w:basedOn w:val="DefaultParagraphFont"/>
    <w:uiPriority w:val="32"/>
    <w:qFormat/>
    <w:rsid w:val="00951F9E"/>
    <w:rPr>
      <w:b/>
      <w:bCs/>
      <w:smallCaps/>
      <w:color w:val="0F4761" w:themeColor="accent1" w:themeShade="BF"/>
      <w:spacing w:val="5"/>
    </w:rPr>
  </w:style>
  <w:style w:type="character" w:styleId="Hyperlink">
    <w:name w:val="Hyperlink"/>
    <w:basedOn w:val="DefaultParagraphFont"/>
    <w:uiPriority w:val="99"/>
    <w:semiHidden/>
    <w:unhideWhenUsed/>
    <w:rsid w:val="00951F9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96722396">
      <w:bodyDiv w:val="1"/>
      <w:marLeft w:val="0"/>
      <w:marRight w:val="0"/>
      <w:marTop w:val="0"/>
      <w:marBottom w:val="0"/>
      <w:divBdr>
        <w:top w:val="none" w:sz="0" w:space="0" w:color="auto"/>
        <w:left w:val="none" w:sz="0" w:space="0" w:color="auto"/>
        <w:bottom w:val="none" w:sz="0" w:space="0" w:color="auto"/>
        <w:right w:val="none" w:sz="0" w:space="0" w:color="auto"/>
      </w:divBdr>
      <w:divsChild>
        <w:div w:id="1648590295">
          <w:marLeft w:val="0"/>
          <w:marRight w:val="0"/>
          <w:marTop w:val="0"/>
          <w:marBottom w:val="0"/>
          <w:divBdr>
            <w:top w:val="none" w:sz="0" w:space="0" w:color="auto"/>
            <w:left w:val="none" w:sz="0" w:space="0" w:color="auto"/>
            <w:bottom w:val="none" w:sz="0" w:space="0" w:color="auto"/>
            <w:right w:val="none" w:sz="0" w:space="0" w:color="auto"/>
          </w:divBdr>
          <w:divsChild>
            <w:div w:id="1832216529">
              <w:marLeft w:val="0"/>
              <w:marRight w:val="0"/>
              <w:marTop w:val="0"/>
              <w:marBottom w:val="0"/>
              <w:divBdr>
                <w:top w:val="none" w:sz="0" w:space="0" w:color="auto"/>
                <w:left w:val="none" w:sz="0" w:space="0" w:color="auto"/>
                <w:bottom w:val="none" w:sz="0" w:space="0" w:color="auto"/>
                <w:right w:val="none" w:sz="0" w:space="0" w:color="auto"/>
              </w:divBdr>
              <w:divsChild>
                <w:div w:id="983240998">
                  <w:marLeft w:val="0"/>
                  <w:marRight w:val="0"/>
                  <w:marTop w:val="0"/>
                  <w:marBottom w:val="0"/>
                  <w:divBdr>
                    <w:top w:val="none" w:sz="0" w:space="0" w:color="auto"/>
                    <w:left w:val="none" w:sz="0" w:space="0" w:color="auto"/>
                    <w:bottom w:val="none" w:sz="0" w:space="0" w:color="auto"/>
                    <w:right w:val="none" w:sz="0" w:space="0" w:color="auto"/>
                  </w:divBdr>
                  <w:divsChild>
                    <w:div w:id="1441947659">
                      <w:marLeft w:val="0"/>
                      <w:marRight w:val="0"/>
                      <w:marTop w:val="0"/>
                      <w:marBottom w:val="0"/>
                      <w:divBdr>
                        <w:top w:val="none" w:sz="0" w:space="0" w:color="auto"/>
                        <w:left w:val="none" w:sz="0" w:space="0" w:color="auto"/>
                        <w:bottom w:val="none" w:sz="0" w:space="0" w:color="auto"/>
                        <w:right w:val="none" w:sz="0" w:space="0" w:color="auto"/>
                      </w:divBdr>
                      <w:divsChild>
                        <w:div w:id="2143186370">
                          <w:marLeft w:val="0"/>
                          <w:marRight w:val="0"/>
                          <w:marTop w:val="0"/>
                          <w:marBottom w:val="0"/>
                          <w:divBdr>
                            <w:top w:val="none" w:sz="0" w:space="0" w:color="auto"/>
                            <w:left w:val="none" w:sz="0" w:space="0" w:color="auto"/>
                            <w:bottom w:val="none" w:sz="0" w:space="0" w:color="auto"/>
                            <w:right w:val="none" w:sz="0" w:space="0" w:color="auto"/>
                          </w:divBdr>
                          <w:divsChild>
                            <w:div w:id="1932156544">
                              <w:marLeft w:val="0"/>
                              <w:marRight w:val="0"/>
                              <w:marTop w:val="0"/>
                              <w:marBottom w:val="0"/>
                              <w:divBdr>
                                <w:top w:val="none" w:sz="0" w:space="0" w:color="auto"/>
                                <w:left w:val="none" w:sz="0" w:space="0" w:color="auto"/>
                                <w:bottom w:val="none" w:sz="0" w:space="0" w:color="auto"/>
                                <w:right w:val="none" w:sz="0" w:space="0" w:color="auto"/>
                              </w:divBdr>
                              <w:divsChild>
                                <w:div w:id="933786087">
                                  <w:marLeft w:val="0"/>
                                  <w:marRight w:val="0"/>
                                  <w:marTop w:val="0"/>
                                  <w:marBottom w:val="0"/>
                                  <w:divBdr>
                                    <w:top w:val="none" w:sz="0" w:space="0" w:color="auto"/>
                                    <w:left w:val="none" w:sz="0" w:space="0" w:color="auto"/>
                                    <w:bottom w:val="none" w:sz="0" w:space="0" w:color="auto"/>
                                    <w:right w:val="none" w:sz="0" w:space="0" w:color="auto"/>
                                  </w:divBdr>
                                  <w:divsChild>
                                    <w:div w:id="278799781">
                                      <w:marLeft w:val="0"/>
                                      <w:marRight w:val="0"/>
                                      <w:marTop w:val="0"/>
                                      <w:marBottom w:val="0"/>
                                      <w:divBdr>
                                        <w:top w:val="none" w:sz="0" w:space="0" w:color="auto"/>
                                        <w:left w:val="none" w:sz="0" w:space="0" w:color="auto"/>
                                        <w:bottom w:val="none" w:sz="0" w:space="0" w:color="auto"/>
                                        <w:right w:val="none" w:sz="0" w:space="0" w:color="auto"/>
                                      </w:divBdr>
                                      <w:divsChild>
                                        <w:div w:id="783429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875439">
                                  <w:marLeft w:val="0"/>
                                  <w:marRight w:val="0"/>
                                  <w:marTop w:val="0"/>
                                  <w:marBottom w:val="0"/>
                                  <w:divBdr>
                                    <w:top w:val="none" w:sz="0" w:space="0" w:color="auto"/>
                                    <w:left w:val="none" w:sz="0" w:space="0" w:color="auto"/>
                                    <w:bottom w:val="none" w:sz="0" w:space="0" w:color="auto"/>
                                    <w:right w:val="none" w:sz="0" w:space="0" w:color="auto"/>
                                  </w:divBdr>
                                  <w:divsChild>
                                    <w:div w:id="1211190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34</TotalTime>
  <Pages>7</Pages>
  <Words>2504</Words>
  <Characters>14276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oneill</dc:creator>
  <cp:keywords/>
  <dc:description/>
  <cp:lastModifiedBy>rachel oneill</cp:lastModifiedBy>
  <cp:revision>6</cp:revision>
  <dcterms:created xsi:type="dcterms:W3CDTF">2024-08-16T13:11:00Z</dcterms:created>
  <dcterms:modified xsi:type="dcterms:W3CDTF">2024-08-16T13:52:00Z</dcterms:modified>
</cp:coreProperties>
</file>