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F0A7A1D" w14:textId="77777777" w:rsidR="00DC323E" w:rsidRDefault="00935F3E">
      <w:pPr>
        <w:jc w:val="center"/>
      </w:pPr>
      <w:bookmarkStart w:id="0" w:name="_7tdft9blw2cq" w:colFirst="0" w:colLast="0"/>
      <w:bookmarkEnd w:id="0"/>
      <w:r>
        <w:rPr>
          <w:noProof/>
        </w:rPr>
        <w:drawing>
          <wp:inline distT="114300" distB="114300" distL="114300" distR="114300" wp14:anchorId="2F0A7B33" wp14:editId="2F0A7B34">
            <wp:extent cx="3629025" cy="15144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8"/>
                    <a:srcRect/>
                    <a:stretch>
                      <a:fillRect/>
                    </a:stretch>
                  </pic:blipFill>
                  <pic:spPr>
                    <a:xfrm>
                      <a:off x="0" y="0"/>
                      <a:ext cx="3629025" cy="1514475"/>
                    </a:xfrm>
                    <a:prstGeom prst="rect">
                      <a:avLst/>
                    </a:prstGeom>
                  </pic:spPr>
                </pic:pic>
              </a:graphicData>
            </a:graphic>
          </wp:inline>
        </w:drawing>
      </w:r>
    </w:p>
    <w:p w14:paraId="2F0A7A1E" w14:textId="77777777" w:rsidR="00DC323E" w:rsidRDefault="00DC323E">
      <w:pPr>
        <w:jc w:val="left"/>
        <w:rPr>
          <w:b/>
          <w:sz w:val="32"/>
          <w:szCs w:val="32"/>
        </w:rPr>
      </w:pPr>
    </w:p>
    <w:p w14:paraId="2F0A7A1F" w14:textId="77777777" w:rsidR="00DC323E" w:rsidRDefault="00DC323E">
      <w:pPr>
        <w:jc w:val="left"/>
        <w:rPr>
          <w:b/>
          <w:sz w:val="32"/>
          <w:szCs w:val="32"/>
        </w:rPr>
      </w:pPr>
    </w:p>
    <w:p w14:paraId="2F0A7A20" w14:textId="77777777" w:rsidR="00DC323E" w:rsidRDefault="00935F3E">
      <w:pPr>
        <w:jc w:val="left"/>
        <w:rPr>
          <w:b/>
          <w:sz w:val="32"/>
          <w:szCs w:val="32"/>
          <w:lang w:val="en-IN"/>
        </w:rPr>
      </w:pPr>
      <w:r>
        <w:rPr>
          <w:b/>
          <w:sz w:val="32"/>
          <w:szCs w:val="32"/>
          <w:lang w:val="en-IN"/>
        </w:rPr>
        <w:t xml:space="preserve">Master </w:t>
      </w:r>
      <w:proofErr w:type="gramStart"/>
      <w:r>
        <w:rPr>
          <w:b/>
          <w:sz w:val="32"/>
          <w:szCs w:val="32"/>
          <w:lang w:val="en-IN"/>
        </w:rPr>
        <w:t>Of  Business</w:t>
      </w:r>
      <w:proofErr w:type="gramEnd"/>
      <w:r>
        <w:rPr>
          <w:b/>
          <w:sz w:val="32"/>
          <w:szCs w:val="32"/>
          <w:lang w:val="en-IN"/>
        </w:rPr>
        <w:t xml:space="preserve"> Administration</w:t>
      </w:r>
    </w:p>
    <w:p w14:paraId="2F0A7A21" w14:textId="77777777" w:rsidR="00DC323E" w:rsidRDefault="00DC323E">
      <w:pPr>
        <w:jc w:val="left"/>
        <w:rPr>
          <w:b/>
          <w:sz w:val="32"/>
          <w:szCs w:val="32"/>
        </w:rPr>
      </w:pPr>
    </w:p>
    <w:p w14:paraId="2F0A7A22" w14:textId="77777777" w:rsidR="00DC323E" w:rsidRDefault="00935F3E">
      <w:pPr>
        <w:jc w:val="left"/>
        <w:rPr>
          <w:b/>
          <w:sz w:val="28"/>
          <w:szCs w:val="28"/>
        </w:rPr>
      </w:pPr>
      <w:r>
        <w:rPr>
          <w:b/>
          <w:sz w:val="28"/>
          <w:szCs w:val="28"/>
        </w:rPr>
        <w:t>THE ROLE OF AI IN PREDICTIVE MARKETING IN RECYCLING AND MATERIAL RECOVERY</w:t>
      </w:r>
    </w:p>
    <w:p w14:paraId="2F0A7A23" w14:textId="77777777" w:rsidR="00DC323E" w:rsidRDefault="00DC323E">
      <w:pPr>
        <w:rPr>
          <w:b/>
          <w:sz w:val="32"/>
          <w:szCs w:val="32"/>
        </w:rPr>
      </w:pPr>
    </w:p>
    <w:p w14:paraId="2F0A7A24" w14:textId="77777777" w:rsidR="00DC323E" w:rsidRDefault="00DC323E">
      <w:pPr>
        <w:rPr>
          <w:b/>
          <w:sz w:val="32"/>
          <w:szCs w:val="32"/>
        </w:rPr>
      </w:pPr>
    </w:p>
    <w:p w14:paraId="2F0A7A25" w14:textId="77777777" w:rsidR="00DC323E" w:rsidRDefault="00935F3E">
      <w:pPr>
        <w:jc w:val="left"/>
        <w:rPr>
          <w:b/>
          <w:sz w:val="32"/>
          <w:szCs w:val="32"/>
          <w:lang w:val="en-IN"/>
        </w:rPr>
      </w:pPr>
      <w:r>
        <w:rPr>
          <w:b/>
          <w:sz w:val="32"/>
          <w:szCs w:val="32"/>
          <w:lang w:val="en-IN"/>
        </w:rPr>
        <w:t>Name - Prajapati Vishal Sureshkumar</w:t>
      </w:r>
    </w:p>
    <w:p w14:paraId="2F0A7A26" w14:textId="77777777" w:rsidR="00DC323E" w:rsidRDefault="00935F3E">
      <w:pPr>
        <w:jc w:val="left"/>
        <w:rPr>
          <w:b/>
          <w:sz w:val="32"/>
          <w:szCs w:val="32"/>
          <w:lang w:val="en-IN"/>
        </w:rPr>
      </w:pPr>
      <w:r>
        <w:rPr>
          <w:b/>
          <w:sz w:val="32"/>
          <w:szCs w:val="32"/>
          <w:lang w:val="en-IN"/>
        </w:rPr>
        <w:t>Student ID - 2428336</w:t>
      </w:r>
    </w:p>
    <w:p w14:paraId="2F0A7A27" w14:textId="77777777" w:rsidR="00DC323E" w:rsidRDefault="00935F3E">
      <w:pPr>
        <w:jc w:val="left"/>
        <w:rPr>
          <w:b/>
          <w:sz w:val="32"/>
          <w:szCs w:val="32"/>
          <w:lang w:val="en-IN"/>
        </w:rPr>
      </w:pPr>
      <w:r>
        <w:rPr>
          <w:b/>
          <w:sz w:val="32"/>
          <w:szCs w:val="32"/>
          <w:lang w:val="en-IN"/>
        </w:rPr>
        <w:t xml:space="preserve">Lecturer Name - </w:t>
      </w:r>
      <w:proofErr w:type="spellStart"/>
      <w:r>
        <w:rPr>
          <w:b/>
          <w:sz w:val="32"/>
          <w:szCs w:val="32"/>
          <w:lang w:val="en-IN"/>
        </w:rPr>
        <w:t>shengfeng</w:t>
      </w:r>
      <w:proofErr w:type="spellEnd"/>
      <w:r>
        <w:rPr>
          <w:b/>
          <w:sz w:val="32"/>
          <w:szCs w:val="32"/>
          <w:lang w:val="en-IN"/>
        </w:rPr>
        <w:t xml:space="preserve"> </w:t>
      </w:r>
      <w:proofErr w:type="spellStart"/>
      <w:r>
        <w:rPr>
          <w:b/>
          <w:sz w:val="32"/>
          <w:szCs w:val="32"/>
          <w:lang w:val="en-IN"/>
        </w:rPr>
        <w:t>mei</w:t>
      </w:r>
      <w:proofErr w:type="spellEnd"/>
    </w:p>
    <w:p w14:paraId="2F0A7A28" w14:textId="77777777" w:rsidR="00DC323E" w:rsidRDefault="00935F3E">
      <w:pPr>
        <w:jc w:val="left"/>
        <w:rPr>
          <w:b/>
          <w:sz w:val="32"/>
          <w:szCs w:val="32"/>
          <w:lang w:val="en-IN"/>
        </w:rPr>
      </w:pPr>
      <w:r>
        <w:rPr>
          <w:b/>
          <w:sz w:val="32"/>
          <w:szCs w:val="32"/>
          <w:lang w:val="en-IN"/>
        </w:rPr>
        <w:t>Subject - Dissertation (LCMB7035) Research Proposal</w:t>
      </w:r>
    </w:p>
    <w:p w14:paraId="2F0A7A29" w14:textId="77777777" w:rsidR="00DC323E" w:rsidRDefault="00935F3E">
      <w:pPr>
        <w:jc w:val="left"/>
        <w:rPr>
          <w:b/>
          <w:sz w:val="32"/>
          <w:szCs w:val="32"/>
          <w:lang w:val="en-IN"/>
        </w:rPr>
      </w:pPr>
      <w:r>
        <w:rPr>
          <w:b/>
          <w:sz w:val="32"/>
          <w:szCs w:val="32"/>
          <w:lang w:val="en-IN"/>
        </w:rPr>
        <w:t>Words - 2217</w:t>
      </w:r>
    </w:p>
    <w:p w14:paraId="2F0A7A2A" w14:textId="77777777" w:rsidR="00DC323E" w:rsidRDefault="00DC323E"/>
    <w:p w14:paraId="2F0A7A2B" w14:textId="77777777" w:rsidR="00DC323E" w:rsidRDefault="00DC323E"/>
    <w:p w14:paraId="2F0A7A2C" w14:textId="77777777" w:rsidR="00DC323E" w:rsidRDefault="00935F3E">
      <w:pPr>
        <w:pStyle w:val="Heading1"/>
        <w:jc w:val="center"/>
      </w:pPr>
      <w:bookmarkStart w:id="1" w:name="_vzr8axd7pv1u" w:colFirst="0" w:colLast="0"/>
      <w:bookmarkEnd w:id="1"/>
      <w:r>
        <w:br w:type="page"/>
      </w:r>
    </w:p>
    <w:bookmarkStart w:id="2" w:name="_ge4ptpm6dcm6" w:colFirst="0" w:colLast="0" w:displacedByCustomXml="next"/>
    <w:bookmarkEnd w:id="2" w:displacedByCustomXml="next"/>
    <w:sdt>
      <w:sdtPr>
        <w:rPr>
          <w:rFonts w:ascii="Times New Roman" w:eastAsia="Times New Roman" w:hAnsi="Times New Roman" w:cs="Times New Roman"/>
          <w:color w:val="auto"/>
          <w:sz w:val="24"/>
          <w:szCs w:val="24"/>
          <w:lang w:val="en-GB" w:eastAsia="en-IN" w:bidi="bn-IN"/>
        </w:rPr>
        <w:id w:val="2085720413"/>
        <w:docPartObj>
          <w:docPartGallery w:val="Table of Contents"/>
          <w:docPartUnique/>
        </w:docPartObj>
      </w:sdtPr>
      <w:sdtEndPr>
        <w:rPr>
          <w:b/>
          <w:bCs/>
        </w:rPr>
      </w:sdtEndPr>
      <w:sdtContent>
        <w:p w14:paraId="2F0A7A2D" w14:textId="77777777" w:rsidR="00DC323E" w:rsidRDefault="00935F3E">
          <w:pPr>
            <w:pStyle w:val="TOCHeading1"/>
            <w:spacing w:line="360" w:lineRule="auto"/>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Table of Contents</w:t>
          </w:r>
        </w:p>
        <w:p w14:paraId="2F0A7A2E" w14:textId="77777777" w:rsidR="00DC323E" w:rsidRDefault="00935F3E">
          <w:pPr>
            <w:pStyle w:val="TOC1"/>
            <w:tabs>
              <w:tab w:val="right" w:leader="dot" w:pos="9350"/>
            </w:tabs>
            <w:rPr>
              <w:rFonts w:asciiTheme="minorHAnsi" w:eastAsiaTheme="minorEastAsia" w:hAnsiTheme="minorHAnsi" w:cstheme="minorBidi"/>
              <w:sz w:val="22"/>
              <w:szCs w:val="22"/>
              <w:lang w:eastAsia="en-GB" w:bidi="ar-SA"/>
            </w:rPr>
          </w:pPr>
          <w:r>
            <w:rPr>
              <w:szCs w:val="24"/>
            </w:rPr>
            <w:fldChar w:fldCharType="begin"/>
          </w:r>
          <w:r>
            <w:rPr>
              <w:szCs w:val="24"/>
            </w:rPr>
            <w:instrText xml:space="preserve"> TOC \o "1-3" \h \z \u </w:instrText>
          </w:r>
          <w:r>
            <w:rPr>
              <w:szCs w:val="24"/>
            </w:rPr>
            <w:fldChar w:fldCharType="separate"/>
          </w:r>
          <w:hyperlink w:anchor="_Toc213593813" w:history="1">
            <w:r>
              <w:rPr>
                <w:rStyle w:val="Hyperlink"/>
              </w:rPr>
              <w:t>1.0 Introduction</w:t>
            </w:r>
            <w:r>
              <w:tab/>
            </w:r>
            <w:r>
              <w:fldChar w:fldCharType="begin"/>
            </w:r>
            <w:r>
              <w:instrText xml:space="preserve"> PAGEREF _Toc213593813 \h </w:instrText>
            </w:r>
            <w:r>
              <w:fldChar w:fldCharType="separate"/>
            </w:r>
            <w:r>
              <w:t>4</w:t>
            </w:r>
            <w:r>
              <w:fldChar w:fldCharType="end"/>
            </w:r>
          </w:hyperlink>
        </w:p>
        <w:p w14:paraId="2F0A7A2F" w14:textId="77777777" w:rsidR="00DC323E" w:rsidRDefault="00935F3E">
          <w:pPr>
            <w:pStyle w:val="TOC2"/>
            <w:tabs>
              <w:tab w:val="right" w:leader="dot" w:pos="9350"/>
            </w:tabs>
            <w:rPr>
              <w:rFonts w:asciiTheme="minorHAnsi" w:eastAsiaTheme="minorEastAsia" w:hAnsiTheme="minorHAnsi" w:cstheme="minorBidi"/>
              <w:sz w:val="22"/>
              <w:szCs w:val="22"/>
              <w:lang w:eastAsia="en-GB" w:bidi="ar-SA"/>
            </w:rPr>
          </w:pPr>
          <w:hyperlink w:anchor="_Toc213593814" w:history="1">
            <w:r>
              <w:rPr>
                <w:rStyle w:val="Hyperlink"/>
              </w:rPr>
              <w:t>1.1 Background and rationale</w:t>
            </w:r>
            <w:r>
              <w:tab/>
            </w:r>
            <w:r>
              <w:fldChar w:fldCharType="begin"/>
            </w:r>
            <w:r>
              <w:instrText xml:space="preserve"> PAGEREF _Toc213593814 \h </w:instrText>
            </w:r>
            <w:r>
              <w:fldChar w:fldCharType="separate"/>
            </w:r>
            <w:r>
              <w:t>4</w:t>
            </w:r>
            <w:r>
              <w:fldChar w:fldCharType="end"/>
            </w:r>
          </w:hyperlink>
        </w:p>
        <w:p w14:paraId="2F0A7A30" w14:textId="77777777" w:rsidR="00DC323E" w:rsidRDefault="00935F3E">
          <w:pPr>
            <w:pStyle w:val="TOC2"/>
            <w:tabs>
              <w:tab w:val="right" w:leader="dot" w:pos="9350"/>
            </w:tabs>
            <w:rPr>
              <w:rFonts w:asciiTheme="minorHAnsi" w:eastAsiaTheme="minorEastAsia" w:hAnsiTheme="minorHAnsi" w:cstheme="minorBidi"/>
              <w:sz w:val="22"/>
              <w:szCs w:val="22"/>
              <w:lang w:eastAsia="en-GB" w:bidi="ar-SA"/>
            </w:rPr>
          </w:pPr>
          <w:hyperlink w:anchor="_Toc213593815" w:history="1">
            <w:r>
              <w:rPr>
                <w:rStyle w:val="Hyperlink"/>
              </w:rPr>
              <w:t>1.2 Aim</w:t>
            </w:r>
            <w:r>
              <w:tab/>
            </w:r>
            <w:r>
              <w:fldChar w:fldCharType="begin"/>
            </w:r>
            <w:r>
              <w:instrText xml:space="preserve"> PAGEREF _Toc213593815 \h </w:instrText>
            </w:r>
            <w:r>
              <w:fldChar w:fldCharType="separate"/>
            </w:r>
            <w:r>
              <w:t>4</w:t>
            </w:r>
            <w:r>
              <w:fldChar w:fldCharType="end"/>
            </w:r>
          </w:hyperlink>
        </w:p>
        <w:p w14:paraId="2F0A7A31" w14:textId="77777777" w:rsidR="00DC323E" w:rsidRDefault="00935F3E">
          <w:pPr>
            <w:pStyle w:val="TOC2"/>
            <w:tabs>
              <w:tab w:val="right" w:leader="dot" w:pos="9350"/>
            </w:tabs>
            <w:rPr>
              <w:rFonts w:asciiTheme="minorHAnsi" w:eastAsiaTheme="minorEastAsia" w:hAnsiTheme="minorHAnsi" w:cstheme="minorBidi"/>
              <w:sz w:val="22"/>
              <w:szCs w:val="22"/>
              <w:lang w:eastAsia="en-GB" w:bidi="ar-SA"/>
            </w:rPr>
          </w:pPr>
          <w:hyperlink w:anchor="_Toc213593816" w:history="1">
            <w:r>
              <w:rPr>
                <w:rStyle w:val="Hyperlink"/>
              </w:rPr>
              <w:t>1.3 Research Objectives</w:t>
            </w:r>
            <w:r>
              <w:tab/>
            </w:r>
            <w:r>
              <w:fldChar w:fldCharType="begin"/>
            </w:r>
            <w:r>
              <w:instrText xml:space="preserve"> PAGEREF _Toc213593816 \h </w:instrText>
            </w:r>
            <w:r>
              <w:fldChar w:fldCharType="separate"/>
            </w:r>
            <w:r>
              <w:t>4</w:t>
            </w:r>
            <w:r>
              <w:fldChar w:fldCharType="end"/>
            </w:r>
          </w:hyperlink>
        </w:p>
        <w:p w14:paraId="2F0A7A32" w14:textId="77777777" w:rsidR="00DC323E" w:rsidRDefault="00935F3E">
          <w:pPr>
            <w:pStyle w:val="TOC2"/>
            <w:tabs>
              <w:tab w:val="right" w:leader="dot" w:pos="9350"/>
            </w:tabs>
            <w:rPr>
              <w:rFonts w:asciiTheme="minorHAnsi" w:eastAsiaTheme="minorEastAsia" w:hAnsiTheme="minorHAnsi" w:cstheme="minorBidi"/>
              <w:sz w:val="22"/>
              <w:szCs w:val="22"/>
              <w:lang w:eastAsia="en-GB" w:bidi="ar-SA"/>
            </w:rPr>
          </w:pPr>
          <w:hyperlink w:anchor="_Toc213593817" w:history="1">
            <w:r>
              <w:rPr>
                <w:rStyle w:val="Hyperlink"/>
              </w:rPr>
              <w:t>1.4 Research Questions</w:t>
            </w:r>
            <w:r>
              <w:tab/>
            </w:r>
            <w:r>
              <w:fldChar w:fldCharType="begin"/>
            </w:r>
            <w:r>
              <w:instrText xml:space="preserve"> PAGEREF _Toc213593817 \h </w:instrText>
            </w:r>
            <w:r>
              <w:fldChar w:fldCharType="separate"/>
            </w:r>
            <w:r>
              <w:t>5</w:t>
            </w:r>
            <w:r>
              <w:fldChar w:fldCharType="end"/>
            </w:r>
          </w:hyperlink>
        </w:p>
        <w:p w14:paraId="2F0A7A33" w14:textId="77777777" w:rsidR="00DC323E" w:rsidRDefault="00935F3E">
          <w:pPr>
            <w:pStyle w:val="TOC1"/>
            <w:tabs>
              <w:tab w:val="right" w:leader="dot" w:pos="9350"/>
            </w:tabs>
            <w:rPr>
              <w:rFonts w:asciiTheme="minorHAnsi" w:eastAsiaTheme="minorEastAsia" w:hAnsiTheme="minorHAnsi" w:cstheme="minorBidi"/>
              <w:sz w:val="22"/>
              <w:szCs w:val="22"/>
              <w:lang w:eastAsia="en-GB" w:bidi="ar-SA"/>
            </w:rPr>
          </w:pPr>
          <w:hyperlink w:anchor="_Toc213593818" w:history="1">
            <w:r>
              <w:rPr>
                <w:rStyle w:val="Hyperlink"/>
              </w:rPr>
              <w:t>2.0 Literature Review</w:t>
            </w:r>
            <w:r>
              <w:tab/>
            </w:r>
            <w:r>
              <w:fldChar w:fldCharType="begin"/>
            </w:r>
            <w:r>
              <w:instrText xml:space="preserve"> PAGEREF _Toc213593818 \h </w:instrText>
            </w:r>
            <w:r>
              <w:fldChar w:fldCharType="separate"/>
            </w:r>
            <w:r>
              <w:t>5</w:t>
            </w:r>
            <w:r>
              <w:fldChar w:fldCharType="end"/>
            </w:r>
          </w:hyperlink>
        </w:p>
        <w:p w14:paraId="2F0A7A34" w14:textId="77777777" w:rsidR="00DC323E" w:rsidRDefault="00935F3E">
          <w:pPr>
            <w:pStyle w:val="TOC2"/>
            <w:tabs>
              <w:tab w:val="right" w:leader="dot" w:pos="9350"/>
            </w:tabs>
            <w:rPr>
              <w:rFonts w:asciiTheme="minorHAnsi" w:eastAsiaTheme="minorEastAsia" w:hAnsiTheme="minorHAnsi" w:cstheme="minorBidi"/>
              <w:sz w:val="22"/>
              <w:szCs w:val="22"/>
              <w:lang w:eastAsia="en-GB" w:bidi="ar-SA"/>
            </w:rPr>
          </w:pPr>
          <w:hyperlink w:anchor="_Toc213593819" w:history="1">
            <w:r>
              <w:rPr>
                <w:rStyle w:val="Hyperlink"/>
              </w:rPr>
              <w:t>2.1 Exploring feasibility of AI technologies to enhance predictive marketing strategies concerning recycling and material recovery</w:t>
            </w:r>
            <w:r>
              <w:tab/>
            </w:r>
            <w:r>
              <w:fldChar w:fldCharType="begin"/>
            </w:r>
            <w:r>
              <w:instrText xml:space="preserve"> PAGEREF _Toc213593819 \h </w:instrText>
            </w:r>
            <w:r>
              <w:fldChar w:fldCharType="separate"/>
            </w:r>
            <w:r>
              <w:t>5</w:t>
            </w:r>
            <w:r>
              <w:fldChar w:fldCharType="end"/>
            </w:r>
          </w:hyperlink>
        </w:p>
        <w:p w14:paraId="2F0A7A35" w14:textId="77777777" w:rsidR="00DC323E" w:rsidRDefault="00935F3E">
          <w:pPr>
            <w:pStyle w:val="TOC2"/>
            <w:tabs>
              <w:tab w:val="right" w:leader="dot" w:pos="9350"/>
            </w:tabs>
            <w:rPr>
              <w:rFonts w:asciiTheme="minorHAnsi" w:eastAsiaTheme="minorEastAsia" w:hAnsiTheme="minorHAnsi" w:cstheme="minorBidi"/>
              <w:sz w:val="22"/>
              <w:szCs w:val="22"/>
              <w:lang w:eastAsia="en-GB" w:bidi="ar-SA"/>
            </w:rPr>
          </w:pPr>
          <w:hyperlink w:anchor="_Toc213593820" w:history="1">
            <w:r>
              <w:rPr>
                <w:rStyle w:val="Hyperlink"/>
              </w:rPr>
              <w:t>2.2 Evaluating the effectiveness of AI-powered predictive models to determine consumer behaviour regarding recycling and material recovery</w:t>
            </w:r>
            <w:r>
              <w:tab/>
            </w:r>
            <w:r>
              <w:fldChar w:fldCharType="begin"/>
            </w:r>
            <w:r>
              <w:instrText xml:space="preserve"> PAGEREF _Toc213593820 \h </w:instrText>
            </w:r>
            <w:r>
              <w:fldChar w:fldCharType="separate"/>
            </w:r>
            <w:r>
              <w:t>6</w:t>
            </w:r>
            <w:r>
              <w:fldChar w:fldCharType="end"/>
            </w:r>
          </w:hyperlink>
        </w:p>
        <w:p w14:paraId="2F0A7A36" w14:textId="77777777" w:rsidR="00DC323E" w:rsidRDefault="00935F3E">
          <w:pPr>
            <w:pStyle w:val="TOC2"/>
            <w:tabs>
              <w:tab w:val="right" w:leader="dot" w:pos="9350"/>
            </w:tabs>
            <w:rPr>
              <w:rFonts w:asciiTheme="minorHAnsi" w:eastAsiaTheme="minorEastAsia" w:hAnsiTheme="minorHAnsi" w:cstheme="minorBidi"/>
              <w:sz w:val="22"/>
              <w:szCs w:val="22"/>
              <w:lang w:eastAsia="en-GB" w:bidi="ar-SA"/>
            </w:rPr>
          </w:pPr>
          <w:hyperlink w:anchor="_Toc213593821" w:history="1">
            <w:r>
              <w:rPr>
                <w:rStyle w:val="Hyperlink"/>
              </w:rPr>
              <w:t>2.3 Outlining barriers in implementing AI-induced predictive marketing within recycling and material recovery</w:t>
            </w:r>
            <w:r>
              <w:tab/>
            </w:r>
            <w:r>
              <w:fldChar w:fldCharType="begin"/>
            </w:r>
            <w:r>
              <w:instrText xml:space="preserve"> PAGEREF _Toc213593821 \h </w:instrText>
            </w:r>
            <w:r>
              <w:fldChar w:fldCharType="separate"/>
            </w:r>
            <w:r>
              <w:t>7</w:t>
            </w:r>
            <w:r>
              <w:fldChar w:fldCharType="end"/>
            </w:r>
          </w:hyperlink>
        </w:p>
        <w:p w14:paraId="2F0A7A37" w14:textId="77777777" w:rsidR="00DC323E" w:rsidRDefault="00935F3E">
          <w:pPr>
            <w:pStyle w:val="TOC2"/>
            <w:tabs>
              <w:tab w:val="right" w:leader="dot" w:pos="9350"/>
            </w:tabs>
            <w:rPr>
              <w:rFonts w:asciiTheme="minorHAnsi" w:eastAsiaTheme="minorEastAsia" w:hAnsiTheme="minorHAnsi" w:cstheme="minorBidi"/>
              <w:sz w:val="22"/>
              <w:szCs w:val="22"/>
              <w:lang w:eastAsia="en-GB" w:bidi="ar-SA"/>
            </w:rPr>
          </w:pPr>
          <w:hyperlink w:anchor="_Toc213593822" w:history="1">
            <w:r>
              <w:rPr>
                <w:rStyle w:val="Hyperlink"/>
              </w:rPr>
              <w:t>2.4 Theoretical underpinning</w:t>
            </w:r>
            <w:r>
              <w:tab/>
            </w:r>
            <w:r>
              <w:fldChar w:fldCharType="begin"/>
            </w:r>
            <w:r>
              <w:instrText xml:space="preserve"> PAGEREF _Toc213593822 \h </w:instrText>
            </w:r>
            <w:r>
              <w:fldChar w:fldCharType="separate"/>
            </w:r>
            <w:r>
              <w:t>7</w:t>
            </w:r>
            <w:r>
              <w:fldChar w:fldCharType="end"/>
            </w:r>
          </w:hyperlink>
        </w:p>
        <w:p w14:paraId="2F0A7A38" w14:textId="77777777" w:rsidR="00DC323E" w:rsidRDefault="00935F3E">
          <w:pPr>
            <w:pStyle w:val="TOC2"/>
            <w:tabs>
              <w:tab w:val="right" w:leader="dot" w:pos="9350"/>
            </w:tabs>
            <w:rPr>
              <w:rFonts w:asciiTheme="minorHAnsi" w:eastAsiaTheme="minorEastAsia" w:hAnsiTheme="minorHAnsi" w:cstheme="minorBidi"/>
              <w:sz w:val="22"/>
              <w:szCs w:val="22"/>
              <w:lang w:eastAsia="en-GB" w:bidi="ar-SA"/>
            </w:rPr>
          </w:pPr>
          <w:hyperlink w:anchor="_Toc213593823" w:history="1">
            <w:r>
              <w:rPr>
                <w:rStyle w:val="Hyperlink"/>
              </w:rPr>
              <w:t>2.5 Literature Gap</w:t>
            </w:r>
            <w:r>
              <w:tab/>
            </w:r>
            <w:r>
              <w:fldChar w:fldCharType="begin"/>
            </w:r>
            <w:r>
              <w:instrText xml:space="preserve"> PAGEREF _Toc213593823 \h </w:instrText>
            </w:r>
            <w:r>
              <w:fldChar w:fldCharType="separate"/>
            </w:r>
            <w:r>
              <w:t>9</w:t>
            </w:r>
            <w:r>
              <w:fldChar w:fldCharType="end"/>
            </w:r>
          </w:hyperlink>
        </w:p>
        <w:p w14:paraId="2F0A7A39" w14:textId="77777777" w:rsidR="00DC323E" w:rsidRDefault="00935F3E">
          <w:pPr>
            <w:pStyle w:val="TOC1"/>
            <w:tabs>
              <w:tab w:val="right" w:leader="dot" w:pos="9350"/>
            </w:tabs>
            <w:rPr>
              <w:rFonts w:asciiTheme="minorHAnsi" w:eastAsiaTheme="minorEastAsia" w:hAnsiTheme="minorHAnsi" w:cstheme="minorBidi"/>
              <w:sz w:val="22"/>
              <w:szCs w:val="22"/>
              <w:lang w:eastAsia="en-GB" w:bidi="ar-SA"/>
            </w:rPr>
          </w:pPr>
          <w:hyperlink w:anchor="_Toc213593824" w:history="1">
            <w:r>
              <w:rPr>
                <w:rStyle w:val="Hyperlink"/>
              </w:rPr>
              <w:t>3.0 Methodology</w:t>
            </w:r>
            <w:r>
              <w:tab/>
            </w:r>
            <w:r>
              <w:fldChar w:fldCharType="begin"/>
            </w:r>
            <w:r>
              <w:instrText xml:space="preserve"> PAGEREF _Toc213593824 \h </w:instrText>
            </w:r>
            <w:r>
              <w:fldChar w:fldCharType="separate"/>
            </w:r>
            <w:r>
              <w:t>9</w:t>
            </w:r>
            <w:r>
              <w:fldChar w:fldCharType="end"/>
            </w:r>
          </w:hyperlink>
        </w:p>
        <w:p w14:paraId="2F0A7A3A" w14:textId="77777777" w:rsidR="00DC323E" w:rsidRDefault="00935F3E">
          <w:pPr>
            <w:pStyle w:val="TOC2"/>
            <w:tabs>
              <w:tab w:val="right" w:leader="dot" w:pos="9350"/>
            </w:tabs>
            <w:rPr>
              <w:rFonts w:asciiTheme="minorHAnsi" w:eastAsiaTheme="minorEastAsia" w:hAnsiTheme="minorHAnsi" w:cstheme="minorBidi"/>
              <w:sz w:val="22"/>
              <w:szCs w:val="22"/>
              <w:lang w:eastAsia="en-GB" w:bidi="ar-SA"/>
            </w:rPr>
          </w:pPr>
          <w:hyperlink w:anchor="_Toc213593825" w:history="1">
            <w:r>
              <w:rPr>
                <w:rStyle w:val="Hyperlink"/>
              </w:rPr>
              <w:t>3.1 Research philosophy and design</w:t>
            </w:r>
            <w:r>
              <w:tab/>
            </w:r>
            <w:r>
              <w:fldChar w:fldCharType="begin"/>
            </w:r>
            <w:r>
              <w:instrText xml:space="preserve"> PAGEREF _Toc213593825 \h </w:instrText>
            </w:r>
            <w:r>
              <w:fldChar w:fldCharType="separate"/>
            </w:r>
            <w:r>
              <w:t>9</w:t>
            </w:r>
            <w:r>
              <w:fldChar w:fldCharType="end"/>
            </w:r>
          </w:hyperlink>
        </w:p>
        <w:p w14:paraId="2F0A7A3B" w14:textId="77777777" w:rsidR="00DC323E" w:rsidRDefault="00935F3E">
          <w:pPr>
            <w:pStyle w:val="TOC2"/>
            <w:tabs>
              <w:tab w:val="right" w:leader="dot" w:pos="9350"/>
            </w:tabs>
            <w:rPr>
              <w:rFonts w:asciiTheme="minorHAnsi" w:eastAsiaTheme="minorEastAsia" w:hAnsiTheme="minorHAnsi" w:cstheme="minorBidi"/>
              <w:sz w:val="22"/>
              <w:szCs w:val="22"/>
              <w:lang w:eastAsia="en-GB" w:bidi="ar-SA"/>
            </w:rPr>
          </w:pPr>
          <w:hyperlink w:anchor="_Toc213593826" w:history="1">
            <w:r>
              <w:rPr>
                <w:rStyle w:val="Hyperlink"/>
              </w:rPr>
              <w:t>3.2 PRISMA</w:t>
            </w:r>
            <w:r>
              <w:tab/>
            </w:r>
            <w:r>
              <w:fldChar w:fldCharType="begin"/>
            </w:r>
            <w:r>
              <w:instrText xml:space="preserve"> PAGEREF _Toc213593826 \h </w:instrText>
            </w:r>
            <w:r>
              <w:fldChar w:fldCharType="separate"/>
            </w:r>
            <w:r>
              <w:t>9</w:t>
            </w:r>
            <w:r>
              <w:fldChar w:fldCharType="end"/>
            </w:r>
          </w:hyperlink>
        </w:p>
        <w:p w14:paraId="2F0A7A3C" w14:textId="77777777" w:rsidR="00DC323E" w:rsidRDefault="00935F3E">
          <w:pPr>
            <w:pStyle w:val="TOC3"/>
            <w:tabs>
              <w:tab w:val="right" w:leader="dot" w:pos="9350"/>
            </w:tabs>
            <w:rPr>
              <w:rFonts w:asciiTheme="minorHAnsi" w:eastAsiaTheme="minorEastAsia" w:hAnsiTheme="minorHAnsi" w:cstheme="minorBidi"/>
              <w:sz w:val="22"/>
              <w:szCs w:val="22"/>
              <w:lang w:eastAsia="en-GB" w:bidi="ar-SA"/>
            </w:rPr>
          </w:pPr>
          <w:hyperlink w:anchor="_Toc213593827" w:history="1">
            <w:r>
              <w:rPr>
                <w:rStyle w:val="Hyperlink"/>
              </w:rPr>
              <w:t>3.2.1 Summary of the method</w:t>
            </w:r>
            <w:r>
              <w:tab/>
            </w:r>
            <w:r>
              <w:fldChar w:fldCharType="begin"/>
            </w:r>
            <w:r>
              <w:instrText xml:space="preserve"> PAGEREF _Toc213593827 \h </w:instrText>
            </w:r>
            <w:r>
              <w:fldChar w:fldCharType="separate"/>
            </w:r>
            <w:r>
              <w:t>9</w:t>
            </w:r>
            <w:r>
              <w:fldChar w:fldCharType="end"/>
            </w:r>
          </w:hyperlink>
        </w:p>
        <w:p w14:paraId="2F0A7A3D" w14:textId="77777777" w:rsidR="00DC323E" w:rsidRDefault="00935F3E">
          <w:pPr>
            <w:pStyle w:val="TOC3"/>
            <w:tabs>
              <w:tab w:val="right" w:leader="dot" w:pos="9350"/>
            </w:tabs>
            <w:rPr>
              <w:rFonts w:asciiTheme="minorHAnsi" w:eastAsiaTheme="minorEastAsia" w:hAnsiTheme="minorHAnsi" w:cstheme="minorBidi"/>
              <w:sz w:val="22"/>
              <w:szCs w:val="22"/>
              <w:lang w:eastAsia="en-GB" w:bidi="ar-SA"/>
            </w:rPr>
          </w:pPr>
          <w:hyperlink w:anchor="_Toc213593828" w:history="1">
            <w:r>
              <w:rPr>
                <w:rStyle w:val="Hyperlink"/>
              </w:rPr>
              <w:t>3.2.2 Feasibility of using PRISMA</w:t>
            </w:r>
            <w:r>
              <w:tab/>
            </w:r>
            <w:r>
              <w:fldChar w:fldCharType="begin"/>
            </w:r>
            <w:r>
              <w:instrText xml:space="preserve"> PAGEREF _Toc213593828 \h </w:instrText>
            </w:r>
            <w:r>
              <w:fldChar w:fldCharType="separate"/>
            </w:r>
            <w:r>
              <w:t>10</w:t>
            </w:r>
            <w:r>
              <w:fldChar w:fldCharType="end"/>
            </w:r>
          </w:hyperlink>
        </w:p>
        <w:p w14:paraId="2F0A7A3E" w14:textId="77777777" w:rsidR="00DC323E" w:rsidRDefault="00935F3E">
          <w:pPr>
            <w:pStyle w:val="TOC2"/>
            <w:tabs>
              <w:tab w:val="right" w:leader="dot" w:pos="9350"/>
            </w:tabs>
            <w:rPr>
              <w:rFonts w:asciiTheme="minorHAnsi" w:eastAsiaTheme="minorEastAsia" w:hAnsiTheme="minorHAnsi" w:cstheme="minorBidi"/>
              <w:sz w:val="22"/>
              <w:szCs w:val="22"/>
              <w:lang w:eastAsia="en-GB" w:bidi="ar-SA"/>
            </w:rPr>
          </w:pPr>
          <w:hyperlink w:anchor="_Toc213593829" w:history="1">
            <w:r>
              <w:rPr>
                <w:rStyle w:val="Hyperlink"/>
              </w:rPr>
              <w:t>3.3 Inclusion and Exclusion criteria</w:t>
            </w:r>
            <w:r>
              <w:tab/>
            </w:r>
            <w:r>
              <w:fldChar w:fldCharType="begin"/>
            </w:r>
            <w:r>
              <w:instrText xml:space="preserve"> PAGEREF _Toc213593829 \h </w:instrText>
            </w:r>
            <w:r>
              <w:fldChar w:fldCharType="separate"/>
            </w:r>
            <w:r>
              <w:t>11</w:t>
            </w:r>
            <w:r>
              <w:fldChar w:fldCharType="end"/>
            </w:r>
          </w:hyperlink>
        </w:p>
        <w:p w14:paraId="2F0A7A3F" w14:textId="77777777" w:rsidR="00DC323E" w:rsidRDefault="00935F3E">
          <w:pPr>
            <w:pStyle w:val="TOC2"/>
            <w:tabs>
              <w:tab w:val="right" w:leader="dot" w:pos="9350"/>
            </w:tabs>
            <w:rPr>
              <w:rFonts w:asciiTheme="minorHAnsi" w:eastAsiaTheme="minorEastAsia" w:hAnsiTheme="minorHAnsi" w:cstheme="minorBidi"/>
              <w:sz w:val="22"/>
              <w:szCs w:val="22"/>
              <w:lang w:eastAsia="en-GB" w:bidi="ar-SA"/>
            </w:rPr>
          </w:pPr>
          <w:hyperlink w:anchor="_Toc213593830" w:history="1">
            <w:r>
              <w:rPr>
                <w:rStyle w:val="Hyperlink"/>
              </w:rPr>
              <w:t>3.4 Research strategy and approach</w:t>
            </w:r>
            <w:r>
              <w:tab/>
            </w:r>
            <w:r>
              <w:fldChar w:fldCharType="begin"/>
            </w:r>
            <w:r>
              <w:instrText xml:space="preserve"> PAGEREF _Toc213593830 \h </w:instrText>
            </w:r>
            <w:r>
              <w:fldChar w:fldCharType="separate"/>
            </w:r>
            <w:r>
              <w:t>11</w:t>
            </w:r>
            <w:r>
              <w:fldChar w:fldCharType="end"/>
            </w:r>
          </w:hyperlink>
        </w:p>
        <w:p w14:paraId="2F0A7A40" w14:textId="77777777" w:rsidR="00DC323E" w:rsidRDefault="00935F3E">
          <w:pPr>
            <w:pStyle w:val="TOC2"/>
            <w:tabs>
              <w:tab w:val="right" w:leader="dot" w:pos="9350"/>
            </w:tabs>
            <w:rPr>
              <w:rFonts w:asciiTheme="minorHAnsi" w:eastAsiaTheme="minorEastAsia" w:hAnsiTheme="minorHAnsi" w:cstheme="minorBidi"/>
              <w:sz w:val="22"/>
              <w:szCs w:val="22"/>
              <w:lang w:eastAsia="en-GB" w:bidi="ar-SA"/>
            </w:rPr>
          </w:pPr>
          <w:hyperlink w:anchor="_Toc213593831" w:history="1">
            <w:r>
              <w:rPr>
                <w:rStyle w:val="Hyperlink"/>
              </w:rPr>
              <w:t>3.5 Data collection method and analysis</w:t>
            </w:r>
            <w:r>
              <w:tab/>
            </w:r>
            <w:r>
              <w:fldChar w:fldCharType="begin"/>
            </w:r>
            <w:r>
              <w:instrText xml:space="preserve"> PAGEREF _Toc213593831 \h </w:instrText>
            </w:r>
            <w:r>
              <w:fldChar w:fldCharType="separate"/>
            </w:r>
            <w:r>
              <w:t>12</w:t>
            </w:r>
            <w:r>
              <w:fldChar w:fldCharType="end"/>
            </w:r>
          </w:hyperlink>
        </w:p>
        <w:p w14:paraId="2F0A7A41" w14:textId="77777777" w:rsidR="00DC323E" w:rsidRDefault="00935F3E">
          <w:pPr>
            <w:pStyle w:val="TOC2"/>
            <w:tabs>
              <w:tab w:val="right" w:leader="dot" w:pos="9350"/>
            </w:tabs>
            <w:rPr>
              <w:rFonts w:asciiTheme="minorHAnsi" w:eastAsiaTheme="minorEastAsia" w:hAnsiTheme="minorHAnsi" w:cstheme="minorBidi"/>
              <w:sz w:val="22"/>
              <w:szCs w:val="22"/>
              <w:lang w:eastAsia="en-GB" w:bidi="ar-SA"/>
            </w:rPr>
          </w:pPr>
          <w:hyperlink w:anchor="_Toc213593832" w:history="1">
            <w:r>
              <w:rPr>
                <w:rStyle w:val="Hyperlink"/>
              </w:rPr>
              <w:t>3.6 Sampling and technique</w:t>
            </w:r>
            <w:r>
              <w:tab/>
            </w:r>
            <w:r>
              <w:fldChar w:fldCharType="begin"/>
            </w:r>
            <w:r>
              <w:instrText xml:space="preserve"> PAGEREF _Toc213593832 \h </w:instrText>
            </w:r>
            <w:r>
              <w:fldChar w:fldCharType="separate"/>
            </w:r>
            <w:r>
              <w:t>12</w:t>
            </w:r>
            <w:r>
              <w:fldChar w:fldCharType="end"/>
            </w:r>
          </w:hyperlink>
        </w:p>
        <w:p w14:paraId="2F0A7A42" w14:textId="77777777" w:rsidR="00DC323E" w:rsidRDefault="00935F3E">
          <w:pPr>
            <w:pStyle w:val="TOC2"/>
            <w:tabs>
              <w:tab w:val="right" w:leader="dot" w:pos="9350"/>
            </w:tabs>
            <w:rPr>
              <w:rFonts w:asciiTheme="minorHAnsi" w:eastAsiaTheme="minorEastAsia" w:hAnsiTheme="minorHAnsi" w:cstheme="minorBidi"/>
              <w:sz w:val="22"/>
              <w:szCs w:val="22"/>
              <w:lang w:eastAsia="en-GB" w:bidi="ar-SA"/>
            </w:rPr>
          </w:pPr>
          <w:hyperlink w:anchor="_Toc213593833" w:history="1">
            <w:r>
              <w:rPr>
                <w:rStyle w:val="Hyperlink"/>
              </w:rPr>
              <w:t>3.7 Methodological limitation</w:t>
            </w:r>
            <w:r>
              <w:tab/>
            </w:r>
            <w:r>
              <w:fldChar w:fldCharType="begin"/>
            </w:r>
            <w:r>
              <w:instrText xml:space="preserve"> PAGEREF _Toc213593833 \h </w:instrText>
            </w:r>
            <w:r>
              <w:fldChar w:fldCharType="separate"/>
            </w:r>
            <w:r>
              <w:t>12</w:t>
            </w:r>
            <w:r>
              <w:fldChar w:fldCharType="end"/>
            </w:r>
          </w:hyperlink>
        </w:p>
        <w:p w14:paraId="2F0A7A43" w14:textId="77777777" w:rsidR="00DC323E" w:rsidRDefault="00935F3E">
          <w:pPr>
            <w:pStyle w:val="TOC1"/>
            <w:tabs>
              <w:tab w:val="right" w:leader="dot" w:pos="9350"/>
            </w:tabs>
            <w:rPr>
              <w:rFonts w:asciiTheme="minorHAnsi" w:eastAsiaTheme="minorEastAsia" w:hAnsiTheme="minorHAnsi" w:cstheme="minorBidi"/>
              <w:sz w:val="22"/>
              <w:szCs w:val="22"/>
              <w:lang w:eastAsia="en-GB" w:bidi="ar-SA"/>
            </w:rPr>
          </w:pPr>
          <w:hyperlink w:anchor="_Toc213593834" w:history="1">
            <w:r>
              <w:rPr>
                <w:rStyle w:val="Hyperlink"/>
              </w:rPr>
              <w:t>4.0 Expected Findings</w:t>
            </w:r>
            <w:r>
              <w:tab/>
            </w:r>
            <w:r>
              <w:fldChar w:fldCharType="begin"/>
            </w:r>
            <w:r>
              <w:instrText xml:space="preserve"> PAGEREF _Toc213593834 \h </w:instrText>
            </w:r>
            <w:r>
              <w:fldChar w:fldCharType="separate"/>
            </w:r>
            <w:r>
              <w:t>12</w:t>
            </w:r>
            <w:r>
              <w:fldChar w:fldCharType="end"/>
            </w:r>
          </w:hyperlink>
        </w:p>
        <w:p w14:paraId="2F0A7A44" w14:textId="77777777" w:rsidR="00DC323E" w:rsidRDefault="00935F3E">
          <w:pPr>
            <w:pStyle w:val="TOC1"/>
            <w:tabs>
              <w:tab w:val="right" w:leader="dot" w:pos="9350"/>
            </w:tabs>
            <w:rPr>
              <w:rFonts w:asciiTheme="minorHAnsi" w:eastAsiaTheme="minorEastAsia" w:hAnsiTheme="minorHAnsi" w:cstheme="minorBidi"/>
              <w:sz w:val="22"/>
              <w:szCs w:val="22"/>
              <w:lang w:eastAsia="en-GB" w:bidi="ar-SA"/>
            </w:rPr>
          </w:pPr>
          <w:hyperlink w:anchor="_Toc213593835" w:history="1">
            <w:r>
              <w:rPr>
                <w:rStyle w:val="Hyperlink"/>
              </w:rPr>
              <w:t>5.0 Limitation</w:t>
            </w:r>
            <w:r>
              <w:tab/>
            </w:r>
            <w:r>
              <w:fldChar w:fldCharType="begin"/>
            </w:r>
            <w:r>
              <w:instrText xml:space="preserve"> PAGEREF _Toc213593835 \h </w:instrText>
            </w:r>
            <w:r>
              <w:fldChar w:fldCharType="separate"/>
            </w:r>
            <w:r>
              <w:t>12</w:t>
            </w:r>
            <w:r>
              <w:fldChar w:fldCharType="end"/>
            </w:r>
          </w:hyperlink>
        </w:p>
        <w:p w14:paraId="2F0A7A45" w14:textId="77777777" w:rsidR="00DC323E" w:rsidRDefault="00935F3E">
          <w:pPr>
            <w:pStyle w:val="TOC1"/>
            <w:tabs>
              <w:tab w:val="right" w:leader="dot" w:pos="9350"/>
            </w:tabs>
            <w:rPr>
              <w:rFonts w:asciiTheme="minorHAnsi" w:eastAsiaTheme="minorEastAsia" w:hAnsiTheme="minorHAnsi" w:cstheme="minorBidi"/>
              <w:sz w:val="22"/>
              <w:szCs w:val="22"/>
              <w:lang w:eastAsia="en-GB" w:bidi="ar-SA"/>
            </w:rPr>
          </w:pPr>
          <w:hyperlink w:anchor="_Toc213593836" w:history="1">
            <w:r>
              <w:rPr>
                <w:rStyle w:val="Hyperlink"/>
              </w:rPr>
              <w:t>6.0 Timeframe</w:t>
            </w:r>
            <w:r>
              <w:tab/>
            </w:r>
            <w:r>
              <w:fldChar w:fldCharType="begin"/>
            </w:r>
            <w:r>
              <w:instrText xml:space="preserve"> PAGEREF _Toc213593836 \h </w:instrText>
            </w:r>
            <w:r>
              <w:fldChar w:fldCharType="separate"/>
            </w:r>
            <w:r>
              <w:t>13</w:t>
            </w:r>
            <w:r>
              <w:fldChar w:fldCharType="end"/>
            </w:r>
          </w:hyperlink>
        </w:p>
        <w:p w14:paraId="2F0A7A46" w14:textId="77777777" w:rsidR="00DC323E" w:rsidRDefault="00935F3E">
          <w:pPr>
            <w:pStyle w:val="TOC1"/>
            <w:tabs>
              <w:tab w:val="right" w:leader="dot" w:pos="9350"/>
            </w:tabs>
            <w:rPr>
              <w:rFonts w:asciiTheme="minorHAnsi" w:eastAsiaTheme="minorEastAsia" w:hAnsiTheme="minorHAnsi" w:cstheme="minorBidi"/>
              <w:sz w:val="22"/>
              <w:szCs w:val="22"/>
              <w:lang w:eastAsia="en-GB" w:bidi="ar-SA"/>
            </w:rPr>
          </w:pPr>
          <w:hyperlink w:anchor="_Toc213593837" w:history="1">
            <w:r>
              <w:rPr>
                <w:rStyle w:val="Hyperlink"/>
              </w:rPr>
              <w:t>7.0 Conclusion</w:t>
            </w:r>
            <w:r>
              <w:tab/>
            </w:r>
            <w:r>
              <w:fldChar w:fldCharType="begin"/>
            </w:r>
            <w:r>
              <w:instrText xml:space="preserve"> PAGEREF _Toc213593837 \h </w:instrText>
            </w:r>
            <w:r>
              <w:fldChar w:fldCharType="separate"/>
            </w:r>
            <w:r>
              <w:t>13</w:t>
            </w:r>
            <w:r>
              <w:fldChar w:fldCharType="end"/>
            </w:r>
          </w:hyperlink>
        </w:p>
        <w:p w14:paraId="2F0A7A47" w14:textId="77777777" w:rsidR="00DC323E" w:rsidRDefault="00935F3E">
          <w:pPr>
            <w:pStyle w:val="TOC1"/>
            <w:tabs>
              <w:tab w:val="right" w:leader="dot" w:pos="9350"/>
            </w:tabs>
            <w:rPr>
              <w:rFonts w:asciiTheme="minorHAnsi" w:eastAsiaTheme="minorEastAsia" w:hAnsiTheme="minorHAnsi" w:cstheme="minorBidi"/>
              <w:sz w:val="22"/>
              <w:szCs w:val="22"/>
              <w:lang w:eastAsia="en-GB" w:bidi="ar-SA"/>
            </w:rPr>
          </w:pPr>
          <w:hyperlink w:anchor="_Toc213593838" w:history="1">
            <w:r>
              <w:rPr>
                <w:rStyle w:val="Hyperlink"/>
              </w:rPr>
              <w:t>References</w:t>
            </w:r>
            <w:r>
              <w:tab/>
            </w:r>
            <w:r>
              <w:fldChar w:fldCharType="begin"/>
            </w:r>
            <w:r>
              <w:instrText xml:space="preserve"> PAGEREF _Toc213593838 \h </w:instrText>
            </w:r>
            <w:r>
              <w:fldChar w:fldCharType="separate"/>
            </w:r>
            <w:r>
              <w:t>14</w:t>
            </w:r>
            <w:r>
              <w:fldChar w:fldCharType="end"/>
            </w:r>
          </w:hyperlink>
        </w:p>
        <w:p w14:paraId="2F0A7A48" w14:textId="77777777" w:rsidR="00DC323E" w:rsidRDefault="00935F3E">
          <w:pPr>
            <w:pStyle w:val="TOC1"/>
            <w:tabs>
              <w:tab w:val="right" w:leader="dot" w:pos="9350"/>
            </w:tabs>
            <w:rPr>
              <w:rFonts w:asciiTheme="minorHAnsi" w:eastAsiaTheme="minorEastAsia" w:hAnsiTheme="minorHAnsi" w:cstheme="minorBidi"/>
              <w:sz w:val="22"/>
              <w:szCs w:val="22"/>
              <w:lang w:eastAsia="en-GB" w:bidi="ar-SA"/>
            </w:rPr>
          </w:pPr>
          <w:hyperlink w:anchor="_Toc213593839" w:history="1">
            <w:r>
              <w:rPr>
                <w:rStyle w:val="Hyperlink"/>
              </w:rPr>
              <w:t>Appendices</w:t>
            </w:r>
            <w:r>
              <w:tab/>
            </w:r>
            <w:r>
              <w:fldChar w:fldCharType="begin"/>
            </w:r>
            <w:r>
              <w:instrText xml:space="preserve"> PAGEREF _Toc213593839 \h </w:instrText>
            </w:r>
            <w:r>
              <w:fldChar w:fldCharType="separate"/>
            </w:r>
            <w:r>
              <w:t>16</w:t>
            </w:r>
            <w:r>
              <w:fldChar w:fldCharType="end"/>
            </w:r>
          </w:hyperlink>
        </w:p>
        <w:p w14:paraId="2F0A7A49" w14:textId="77777777" w:rsidR="00DC323E" w:rsidRDefault="00935F3E">
          <w:pPr>
            <w:pStyle w:val="TOC2"/>
            <w:tabs>
              <w:tab w:val="right" w:leader="dot" w:pos="9350"/>
            </w:tabs>
            <w:rPr>
              <w:rFonts w:asciiTheme="minorHAnsi" w:eastAsiaTheme="minorEastAsia" w:hAnsiTheme="minorHAnsi" w:cstheme="minorBidi"/>
              <w:sz w:val="22"/>
              <w:szCs w:val="22"/>
              <w:lang w:eastAsia="en-GB" w:bidi="ar-SA"/>
            </w:rPr>
          </w:pPr>
          <w:hyperlink w:anchor="_Toc213593840" w:history="1">
            <w:r>
              <w:rPr>
                <w:rStyle w:val="Hyperlink"/>
              </w:rPr>
              <w:t>Appendix 1: PRISMA</w:t>
            </w:r>
            <w:r>
              <w:tab/>
            </w:r>
            <w:r>
              <w:fldChar w:fldCharType="begin"/>
            </w:r>
            <w:r>
              <w:instrText xml:space="preserve"> PAGEREF _Toc213593840 \h </w:instrText>
            </w:r>
            <w:r>
              <w:fldChar w:fldCharType="separate"/>
            </w:r>
            <w:r>
              <w:t>16</w:t>
            </w:r>
            <w:r>
              <w:fldChar w:fldCharType="end"/>
            </w:r>
          </w:hyperlink>
        </w:p>
        <w:p w14:paraId="2F0A7A4A" w14:textId="77777777" w:rsidR="00DC323E" w:rsidRDefault="00935F3E">
          <w:pPr>
            <w:pStyle w:val="TOC2"/>
            <w:tabs>
              <w:tab w:val="right" w:leader="dot" w:pos="9350"/>
            </w:tabs>
            <w:rPr>
              <w:rFonts w:asciiTheme="minorHAnsi" w:eastAsiaTheme="minorEastAsia" w:hAnsiTheme="minorHAnsi" w:cstheme="minorBidi"/>
              <w:sz w:val="22"/>
              <w:szCs w:val="22"/>
              <w:lang w:eastAsia="en-GB" w:bidi="ar-SA"/>
            </w:rPr>
          </w:pPr>
          <w:hyperlink w:anchor="_Toc213593841" w:history="1">
            <w:r>
              <w:rPr>
                <w:rStyle w:val="Hyperlink"/>
              </w:rPr>
              <w:t>Appendix 2: Timeframe</w:t>
            </w:r>
            <w:r>
              <w:tab/>
            </w:r>
            <w:r>
              <w:fldChar w:fldCharType="begin"/>
            </w:r>
            <w:r>
              <w:instrText xml:space="preserve"> PAGEREF _Toc213593841 \h </w:instrText>
            </w:r>
            <w:r>
              <w:fldChar w:fldCharType="separate"/>
            </w:r>
            <w:r>
              <w:t>16</w:t>
            </w:r>
            <w:r>
              <w:fldChar w:fldCharType="end"/>
            </w:r>
          </w:hyperlink>
        </w:p>
        <w:p w14:paraId="2F0A7A4B" w14:textId="77777777" w:rsidR="00DC323E" w:rsidRDefault="00935F3E">
          <w:r>
            <w:rPr>
              <w:b/>
              <w:bCs/>
            </w:rPr>
            <w:fldChar w:fldCharType="end"/>
          </w:r>
        </w:p>
      </w:sdtContent>
    </w:sdt>
    <w:p w14:paraId="2F0A7A4C" w14:textId="77777777" w:rsidR="00DC323E" w:rsidRDefault="00935F3E">
      <w:pPr>
        <w:rPr>
          <w:b/>
        </w:rPr>
      </w:pPr>
      <w:r>
        <w:br w:type="page"/>
      </w:r>
    </w:p>
    <w:p w14:paraId="2F0A7A4D" w14:textId="77777777" w:rsidR="00DC323E" w:rsidRDefault="00935F3E">
      <w:pPr>
        <w:pStyle w:val="TableofFigures"/>
        <w:tabs>
          <w:tab w:val="right" w:leader="dot" w:pos="9350"/>
        </w:tabs>
        <w:jc w:val="center"/>
        <w:rPr>
          <w:b/>
          <w:bCs/>
        </w:rPr>
      </w:pPr>
      <w:r>
        <w:rPr>
          <w:b/>
          <w:bCs/>
        </w:rPr>
        <w:lastRenderedPageBreak/>
        <w:t>List of figures</w:t>
      </w:r>
    </w:p>
    <w:p w14:paraId="2F0A7A4E" w14:textId="77777777" w:rsidR="00DC323E" w:rsidRDefault="00935F3E">
      <w:pPr>
        <w:pStyle w:val="TableofFigures"/>
        <w:tabs>
          <w:tab w:val="right" w:leader="dot" w:pos="9350"/>
        </w:tabs>
        <w:rPr>
          <w:rFonts w:asciiTheme="minorHAnsi" w:eastAsiaTheme="minorEastAsia" w:hAnsiTheme="minorHAnsi" w:cstheme="minorBidi"/>
          <w:kern w:val="2"/>
          <w:szCs w:val="24"/>
          <w:lang w:val="en-IN" w:bidi="ar-SA"/>
          <w14:ligatures w14:val="standardContextual"/>
        </w:rPr>
      </w:pPr>
      <w:r>
        <w:fldChar w:fldCharType="begin"/>
      </w:r>
      <w:r>
        <w:instrText xml:space="preserve"> TOC \f F \h \z \t "Figures" \c </w:instrText>
      </w:r>
      <w:r>
        <w:fldChar w:fldCharType="separate"/>
      </w:r>
      <w:hyperlink w:anchor="_Toc213522929" w:history="1">
        <w:r>
          <w:rPr>
            <w:rStyle w:val="Hyperlink"/>
            <w:color w:val="auto"/>
          </w:rPr>
          <w:t>Figure 1: Global municipal solid waste project in trends</w:t>
        </w:r>
        <w:r>
          <w:tab/>
        </w:r>
        <w:r>
          <w:fldChar w:fldCharType="begin"/>
        </w:r>
        <w:r>
          <w:instrText xml:space="preserve"> PAGEREF _Toc213522929 \h </w:instrText>
        </w:r>
        <w:r>
          <w:fldChar w:fldCharType="separate"/>
        </w:r>
        <w:r>
          <w:t>3</w:t>
        </w:r>
        <w:r>
          <w:fldChar w:fldCharType="end"/>
        </w:r>
      </w:hyperlink>
    </w:p>
    <w:p w14:paraId="2F0A7A4F" w14:textId="77777777" w:rsidR="00DC323E" w:rsidRDefault="00935F3E">
      <w:pPr>
        <w:pStyle w:val="TableofFigures"/>
        <w:tabs>
          <w:tab w:val="right" w:leader="dot" w:pos="9350"/>
        </w:tabs>
        <w:rPr>
          <w:rFonts w:asciiTheme="minorHAnsi" w:eastAsiaTheme="minorEastAsia" w:hAnsiTheme="minorHAnsi" w:cstheme="minorBidi"/>
          <w:kern w:val="2"/>
          <w:szCs w:val="24"/>
          <w:lang w:val="en-IN" w:bidi="ar-SA"/>
          <w14:ligatures w14:val="standardContextual"/>
        </w:rPr>
      </w:pPr>
      <w:hyperlink w:anchor="_Toc213522930" w:history="1">
        <w:r>
          <w:rPr>
            <w:rStyle w:val="Hyperlink"/>
            <w:color w:val="auto"/>
          </w:rPr>
          <w:t>Figure 2: Recycling plastics from electronic waste, concerning materials and energy</w:t>
        </w:r>
        <w:r>
          <w:tab/>
        </w:r>
        <w:r>
          <w:fldChar w:fldCharType="begin"/>
        </w:r>
        <w:r>
          <w:instrText xml:space="preserve"> PAGEREF _Toc213522930 \h </w:instrText>
        </w:r>
        <w:r>
          <w:fldChar w:fldCharType="separate"/>
        </w:r>
        <w:r>
          <w:t>5</w:t>
        </w:r>
        <w:r>
          <w:fldChar w:fldCharType="end"/>
        </w:r>
      </w:hyperlink>
    </w:p>
    <w:p w14:paraId="2F0A7A50" w14:textId="77777777" w:rsidR="00DC323E" w:rsidRDefault="00935F3E">
      <w:pPr>
        <w:pStyle w:val="TableofFigures"/>
        <w:tabs>
          <w:tab w:val="right" w:leader="dot" w:pos="9350"/>
        </w:tabs>
        <w:rPr>
          <w:rFonts w:asciiTheme="minorHAnsi" w:eastAsiaTheme="minorEastAsia" w:hAnsiTheme="minorHAnsi" w:cstheme="minorBidi"/>
          <w:kern w:val="2"/>
          <w:szCs w:val="24"/>
          <w:lang w:val="en-IN" w:bidi="ar-SA"/>
          <w14:ligatures w14:val="standardContextual"/>
        </w:rPr>
      </w:pPr>
      <w:hyperlink w:anchor="_Toc213522931" w:history="1">
        <w:r>
          <w:rPr>
            <w:rStyle w:val="Hyperlink"/>
            <w:color w:val="auto"/>
          </w:rPr>
          <w:t>Figure 3: Conceptual diagram of RBV Theory</w:t>
        </w:r>
        <w:r>
          <w:tab/>
        </w:r>
        <w:r>
          <w:fldChar w:fldCharType="begin"/>
        </w:r>
        <w:r>
          <w:instrText xml:space="preserve"> PAGEREF _Toc213522931 \h </w:instrText>
        </w:r>
        <w:r>
          <w:fldChar w:fldCharType="separate"/>
        </w:r>
        <w:r>
          <w:t>6</w:t>
        </w:r>
        <w:r>
          <w:fldChar w:fldCharType="end"/>
        </w:r>
      </w:hyperlink>
    </w:p>
    <w:p w14:paraId="2F0A7A51" w14:textId="77777777" w:rsidR="00DC323E" w:rsidRDefault="00935F3E">
      <w:pPr>
        <w:pStyle w:val="TableofFigures"/>
        <w:tabs>
          <w:tab w:val="right" w:leader="dot" w:pos="9350"/>
        </w:tabs>
        <w:rPr>
          <w:rFonts w:asciiTheme="minorHAnsi" w:eastAsiaTheme="minorEastAsia" w:hAnsiTheme="minorHAnsi" w:cstheme="minorBidi"/>
          <w:kern w:val="2"/>
          <w:szCs w:val="24"/>
          <w:lang w:val="en-IN" w:bidi="ar-SA"/>
          <w14:ligatures w14:val="standardContextual"/>
        </w:rPr>
      </w:pPr>
      <w:hyperlink w:anchor="_Toc213522932" w:history="1">
        <w:r>
          <w:rPr>
            <w:rStyle w:val="Hyperlink"/>
            <w:color w:val="auto"/>
          </w:rPr>
          <w:t>Figure 4: “Model of Technological Acceptance (TAM)”</w:t>
        </w:r>
        <w:r>
          <w:tab/>
        </w:r>
        <w:r>
          <w:fldChar w:fldCharType="begin"/>
        </w:r>
        <w:r>
          <w:instrText xml:space="preserve"> PAGEREF _Toc213522932 \h </w:instrText>
        </w:r>
        <w:r>
          <w:fldChar w:fldCharType="separate"/>
        </w:r>
        <w:r>
          <w:t>7</w:t>
        </w:r>
        <w:r>
          <w:fldChar w:fldCharType="end"/>
        </w:r>
      </w:hyperlink>
    </w:p>
    <w:p w14:paraId="2F0A7A52" w14:textId="77777777" w:rsidR="00DC323E" w:rsidRDefault="00935F3E">
      <w:pPr>
        <w:pStyle w:val="TableofFigures"/>
        <w:tabs>
          <w:tab w:val="right" w:leader="dot" w:pos="9350"/>
        </w:tabs>
        <w:rPr>
          <w:rFonts w:asciiTheme="minorHAnsi" w:eastAsiaTheme="minorEastAsia" w:hAnsiTheme="minorHAnsi" w:cstheme="minorBidi"/>
          <w:kern w:val="2"/>
          <w:szCs w:val="24"/>
          <w:lang w:val="en-IN" w:bidi="ar-SA"/>
          <w14:ligatures w14:val="standardContextual"/>
        </w:rPr>
      </w:pPr>
      <w:hyperlink w:anchor="_Toc213522933" w:history="1">
        <w:r>
          <w:rPr>
            <w:rStyle w:val="Hyperlink"/>
            <w:color w:val="auto"/>
          </w:rPr>
          <w:t>Figure 5: Conceptual Framework</w:t>
        </w:r>
        <w:r>
          <w:tab/>
        </w:r>
        <w:r>
          <w:fldChar w:fldCharType="begin"/>
        </w:r>
        <w:r>
          <w:instrText xml:space="preserve"> PAGEREF _Toc213522933 \h </w:instrText>
        </w:r>
        <w:r>
          <w:fldChar w:fldCharType="separate"/>
        </w:r>
        <w:r>
          <w:t>8</w:t>
        </w:r>
        <w:r>
          <w:fldChar w:fldCharType="end"/>
        </w:r>
      </w:hyperlink>
    </w:p>
    <w:p w14:paraId="2F0A7A53" w14:textId="77777777" w:rsidR="00DC323E" w:rsidRDefault="00935F3E">
      <w:pPr>
        <w:rPr>
          <w:b/>
        </w:rPr>
      </w:pPr>
      <w:r>
        <w:fldChar w:fldCharType="end"/>
      </w:r>
      <w:r>
        <w:br w:type="page"/>
      </w:r>
    </w:p>
    <w:p w14:paraId="2F0A7A54" w14:textId="77777777" w:rsidR="00DC323E" w:rsidRDefault="00935F3E">
      <w:pPr>
        <w:pStyle w:val="Heading1"/>
      </w:pPr>
      <w:bookmarkStart w:id="3" w:name="_Toc213593813"/>
      <w:r>
        <w:lastRenderedPageBreak/>
        <w:t>1.0 Introduction</w:t>
      </w:r>
      <w:bookmarkEnd w:id="3"/>
      <w:r>
        <w:t xml:space="preserve">  </w:t>
      </w:r>
    </w:p>
    <w:p w14:paraId="2F0A7A55" w14:textId="77777777" w:rsidR="00DC323E" w:rsidRDefault="00935F3E">
      <w:pPr>
        <w:pStyle w:val="Heading2"/>
      </w:pPr>
      <w:bookmarkStart w:id="4" w:name="_tluvc21t0ykz" w:colFirst="0" w:colLast="0"/>
      <w:bookmarkStart w:id="5" w:name="_Toc213593814"/>
      <w:bookmarkEnd w:id="4"/>
      <w:r>
        <w:t>1.1 Background and rationale</w:t>
      </w:r>
      <w:bookmarkEnd w:id="5"/>
      <w:r>
        <w:t xml:space="preserve"> </w:t>
      </w:r>
    </w:p>
    <w:p w14:paraId="2F0A7A56" w14:textId="77777777" w:rsidR="00DC323E" w:rsidRDefault="00935F3E">
      <w:r>
        <w:t>Artificial Intelligence (AI) has been significant for fostering sustainability through operating the trends of material usage and resource management. Potwora</w:t>
      </w:r>
      <w:r>
        <w:rPr>
          <w:i/>
        </w:rPr>
        <w:t xml:space="preserve"> et al.</w:t>
      </w:r>
      <w:r>
        <w:t xml:space="preserve"> (2024) stated that AI’s role in predictive marketing integrates automation aspects for dynamic optimisation of resources. AI’s usage is anticipated through predictive marketing of managing raw materials driven by population growth. The global municipal solid waste is expected to reach 3.8 billion tonnes by 2050 signifying a 56% increase compared to 2020 (</w:t>
      </w:r>
      <w:proofErr w:type="spellStart"/>
      <w:r>
        <w:t>Unep</w:t>
      </w:r>
      <w:proofErr w:type="spellEnd"/>
      <w:r>
        <w:t>, 2025). AI’s integration efforts lead to analysing historical trends on customers’ material usage that influences waste generation in subseque</w:t>
      </w:r>
      <w:r>
        <w:t xml:space="preserve">nt years. </w:t>
      </w:r>
    </w:p>
    <w:p w14:paraId="2F0A7A57" w14:textId="77777777" w:rsidR="00DC323E" w:rsidRDefault="00935F3E">
      <w:pPr>
        <w:jc w:val="center"/>
      </w:pPr>
      <w:r>
        <w:t xml:space="preserve"> </w:t>
      </w:r>
      <w:r>
        <w:rPr>
          <w:noProof/>
        </w:rPr>
        <w:drawing>
          <wp:inline distT="114300" distB="114300" distL="114300" distR="114300" wp14:anchorId="2F0A7B35" wp14:editId="2F0A7B36">
            <wp:extent cx="5015230" cy="2399030"/>
            <wp:effectExtent l="38100" t="38100" r="38100" b="381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referRelativeResize="0"/>
                  </pic:nvPicPr>
                  <pic:blipFill>
                    <a:blip r:embed="rId9"/>
                    <a:srcRect/>
                    <a:stretch>
                      <a:fillRect/>
                    </a:stretch>
                  </pic:blipFill>
                  <pic:spPr>
                    <a:xfrm>
                      <a:off x="0" y="0"/>
                      <a:ext cx="5015349" cy="2399370"/>
                    </a:xfrm>
                    <a:prstGeom prst="rect">
                      <a:avLst/>
                    </a:prstGeom>
                    <a:ln w="38100">
                      <a:solidFill>
                        <a:srgbClr val="000000"/>
                      </a:solidFill>
                      <a:prstDash val="solid"/>
                    </a:ln>
                  </pic:spPr>
                </pic:pic>
              </a:graphicData>
            </a:graphic>
          </wp:inline>
        </w:drawing>
      </w:r>
    </w:p>
    <w:p w14:paraId="2F0A7A58" w14:textId="77777777" w:rsidR="00DC323E" w:rsidRDefault="00935F3E">
      <w:pPr>
        <w:pStyle w:val="Figures"/>
      </w:pPr>
      <w:bookmarkStart w:id="6" w:name="_Toc213522929"/>
      <w:r>
        <w:t>Figure 1: Global municipal solid waste project in trends</w:t>
      </w:r>
      <w:bookmarkEnd w:id="6"/>
      <w:r>
        <w:t xml:space="preserve"> </w:t>
      </w:r>
    </w:p>
    <w:p w14:paraId="2F0A7A59" w14:textId="77777777" w:rsidR="00DC323E" w:rsidRDefault="00935F3E">
      <w:pPr>
        <w:jc w:val="center"/>
      </w:pPr>
      <w:r>
        <w:t xml:space="preserve">(Source: </w:t>
      </w:r>
      <w:proofErr w:type="spellStart"/>
      <w:r>
        <w:t>Unep</w:t>
      </w:r>
      <w:proofErr w:type="spellEnd"/>
      <w:r>
        <w:t>, 2025).</w:t>
      </w:r>
    </w:p>
    <w:p w14:paraId="2F0A7A5A" w14:textId="77777777" w:rsidR="00DC323E" w:rsidRDefault="00935F3E">
      <w:pPr>
        <w:pStyle w:val="Heading2"/>
      </w:pPr>
      <w:bookmarkStart w:id="7" w:name="_85c816dlp2pc" w:colFirst="0" w:colLast="0"/>
      <w:bookmarkStart w:id="8" w:name="_Toc213593815"/>
      <w:bookmarkEnd w:id="7"/>
      <w:r>
        <w:t>1.2 Aim</w:t>
      </w:r>
      <w:bookmarkEnd w:id="8"/>
      <w:r>
        <w:t xml:space="preserve"> </w:t>
      </w:r>
    </w:p>
    <w:p w14:paraId="2F0A7A5B" w14:textId="77777777" w:rsidR="00DC323E" w:rsidRDefault="00935F3E">
      <w:pPr>
        <w:rPr>
          <w:i/>
        </w:rPr>
      </w:pPr>
      <w:r>
        <w:t>The research aims to analyse AI’s role in predictive marketing for recovering and recycling materials</w:t>
      </w:r>
    </w:p>
    <w:p w14:paraId="2F0A7A5C" w14:textId="77777777" w:rsidR="00DC323E" w:rsidRDefault="00935F3E">
      <w:pPr>
        <w:pStyle w:val="Heading2"/>
      </w:pPr>
      <w:bookmarkStart w:id="9" w:name="_Toc213593816"/>
      <w:r>
        <w:t>1.3 Research Objectives</w:t>
      </w:r>
      <w:bookmarkEnd w:id="9"/>
    </w:p>
    <w:p w14:paraId="2F0A7A5D" w14:textId="77777777" w:rsidR="00DC323E" w:rsidRDefault="00935F3E">
      <w:pPr>
        <w:numPr>
          <w:ilvl w:val="0"/>
          <w:numId w:val="1"/>
        </w:numPr>
      </w:pPr>
      <w:r>
        <w:t>To analyse the feasibility of AI technologies in enhancing predictive marketing strategies specific to recycling and material recovery industries</w:t>
      </w:r>
    </w:p>
    <w:p w14:paraId="2F0A7A5E" w14:textId="77777777" w:rsidR="00DC323E" w:rsidRDefault="00935F3E">
      <w:pPr>
        <w:numPr>
          <w:ilvl w:val="0"/>
          <w:numId w:val="1"/>
        </w:numPr>
      </w:pPr>
      <w:r>
        <w:t>To assess the effectiveness of AI-powered predictive models in determining consumer behaviours and trends related to recycling and sustainable material usage</w:t>
      </w:r>
    </w:p>
    <w:p w14:paraId="2F0A7A5F" w14:textId="77777777" w:rsidR="00DC323E" w:rsidRDefault="00935F3E">
      <w:pPr>
        <w:numPr>
          <w:ilvl w:val="0"/>
          <w:numId w:val="1"/>
        </w:numPr>
      </w:pPr>
      <w:r>
        <w:t>To investigate prominent challenges and limitations encountered by organisations in integrating AI for predictive marketing in recycling and material recovery</w:t>
      </w:r>
    </w:p>
    <w:p w14:paraId="2F0A7A60" w14:textId="77777777" w:rsidR="00DC323E" w:rsidRDefault="00935F3E">
      <w:pPr>
        <w:numPr>
          <w:ilvl w:val="0"/>
          <w:numId w:val="1"/>
        </w:numPr>
      </w:pPr>
      <w:r>
        <w:lastRenderedPageBreak/>
        <w:t>To explore the influence of AI-induced predictive marketing on uplifting customer engagement and strengthening recycling participation rates</w:t>
      </w:r>
    </w:p>
    <w:p w14:paraId="2F0A7A61" w14:textId="77777777" w:rsidR="00DC323E" w:rsidRDefault="00935F3E">
      <w:pPr>
        <w:pStyle w:val="Heading2"/>
      </w:pPr>
      <w:bookmarkStart w:id="10" w:name="_Toc213593817"/>
      <w:r>
        <w:t>1.4 Research Questions</w:t>
      </w:r>
      <w:bookmarkEnd w:id="10"/>
      <w:r>
        <w:t xml:space="preserve"> </w:t>
      </w:r>
    </w:p>
    <w:p w14:paraId="2F0A7A62" w14:textId="77777777" w:rsidR="00DC323E" w:rsidRDefault="00935F3E">
      <w:pPr>
        <w:numPr>
          <w:ilvl w:val="0"/>
          <w:numId w:val="2"/>
        </w:numPr>
      </w:pPr>
      <w:r>
        <w:t>What is the contribution of AI technologies in enhancing predictive marketing strategies for recycling and material recovery?</w:t>
      </w:r>
    </w:p>
    <w:p w14:paraId="2F0A7A63" w14:textId="77777777" w:rsidR="00DC323E" w:rsidRDefault="00935F3E">
      <w:pPr>
        <w:numPr>
          <w:ilvl w:val="0"/>
          <w:numId w:val="2"/>
        </w:numPr>
      </w:pPr>
      <w:r>
        <w:t>What is the effectiveness of AI-powered predictive models towards analysing consumer behaviours and trends regarding recycling and sustainable material usage?</w:t>
      </w:r>
    </w:p>
    <w:p w14:paraId="2F0A7A64" w14:textId="77777777" w:rsidR="00DC323E" w:rsidRDefault="00935F3E">
      <w:pPr>
        <w:numPr>
          <w:ilvl w:val="0"/>
          <w:numId w:val="2"/>
        </w:numPr>
      </w:pPr>
      <w:r>
        <w:t>What challenges are encountered while integrating AI for predictive marketing in recycling and material recovery?</w:t>
      </w:r>
    </w:p>
    <w:p w14:paraId="2F0A7A65" w14:textId="77777777" w:rsidR="00DC323E" w:rsidRDefault="00935F3E">
      <w:pPr>
        <w:numPr>
          <w:ilvl w:val="0"/>
          <w:numId w:val="2"/>
        </w:numPr>
      </w:pPr>
      <w:r>
        <w:t>What strategies can influence AI-induced predictive marketing on uplifting customer engagement and strengthening recycling participation rates?</w:t>
      </w:r>
    </w:p>
    <w:p w14:paraId="2F0A7A66" w14:textId="77777777" w:rsidR="00DC323E" w:rsidRDefault="00935F3E">
      <w:pPr>
        <w:pStyle w:val="Heading1"/>
      </w:pPr>
      <w:bookmarkStart w:id="11" w:name="_vldyhipl7mht" w:colFirst="0" w:colLast="0"/>
      <w:bookmarkStart w:id="12" w:name="_Toc213593818"/>
      <w:bookmarkEnd w:id="11"/>
      <w:r>
        <w:t>2.0 Literature Review</w:t>
      </w:r>
      <w:bookmarkEnd w:id="12"/>
    </w:p>
    <w:p w14:paraId="2F0A7A67" w14:textId="77777777" w:rsidR="00DC323E" w:rsidRDefault="00935F3E">
      <w:pPr>
        <w:pStyle w:val="Heading2"/>
      </w:pPr>
      <w:bookmarkStart w:id="13" w:name="_gm56qjggljqt" w:colFirst="0" w:colLast="0"/>
      <w:bookmarkStart w:id="14" w:name="_Toc213593819"/>
      <w:bookmarkEnd w:id="13"/>
      <w:r>
        <w:t>2.1 Exploring feasibility of AI technologies to enhance predictive marketing strategies concerning recycling and material recovery</w:t>
      </w:r>
      <w:bookmarkEnd w:id="14"/>
    </w:p>
    <w:p w14:paraId="2F0A7A68" w14:textId="77777777" w:rsidR="00DC323E" w:rsidRDefault="00935F3E">
      <w:r>
        <w:t>The association between AI technologies and recyclability can be considered as an important element to foster a high standard of environmental responsibility. More precisely, reduced environmental degradation can be regarded as a potential outcome of implementing AI-induced technologies, concerning wide range and complexity of waste materials. According to Arun, Barik and Chandran (2024), AI technologies play an important role in terms of predictive marketing strategies concerning the measures of environmen</w:t>
      </w:r>
      <w:r>
        <w:t xml:space="preserve">tal sustainability and financial viability. The evidence indicates the essentiality of A-induced predictive marketing strategies to foster improved conformity with regulations, curated through waste management and reduced environmental emissions. The figure below has addressed the reusability and recovery of electronic waste, created from cell phones to develop polyamide, acquiring a high standard of environmental responsibility. A study by </w:t>
      </w:r>
      <w:proofErr w:type="spellStart"/>
      <w:r>
        <w:t>Lakhouit</w:t>
      </w:r>
      <w:proofErr w:type="spellEnd"/>
      <w:r>
        <w:t xml:space="preserve"> (2025) has supported the aforementioned argument by indica</w:t>
      </w:r>
      <w:r>
        <w:t xml:space="preserve">ting the effectiveness of Internet of Things (IoT) to foster improved waste management through the channels of real-time monitoring and route optimisation. Henceforth, AI-induced predictive marketing has been conceptualised as an important construct to foster environmental responsibility and sustainability, curated through waste management and material recovery.  </w:t>
      </w:r>
    </w:p>
    <w:p w14:paraId="2F0A7A69" w14:textId="77777777" w:rsidR="00DC323E" w:rsidRDefault="00935F3E">
      <w:pPr>
        <w:jc w:val="center"/>
      </w:pPr>
      <w:r>
        <w:rPr>
          <w:noProof/>
        </w:rPr>
        <w:lastRenderedPageBreak/>
        <w:drawing>
          <wp:inline distT="114300" distB="114300" distL="114300" distR="114300" wp14:anchorId="2F0A7B37" wp14:editId="2F0A7B38">
            <wp:extent cx="5943600" cy="3073400"/>
            <wp:effectExtent l="38100" t="38100" r="38100" b="31750"/>
            <wp:docPr id="1" name="image3.jpg"/>
            <wp:cNvGraphicFramePr/>
            <a:graphic xmlns:a="http://schemas.openxmlformats.org/drawingml/2006/main">
              <a:graphicData uri="http://schemas.openxmlformats.org/drawingml/2006/picture">
                <pic:pic xmlns:pic="http://schemas.openxmlformats.org/drawingml/2006/picture">
                  <pic:nvPicPr>
                    <pic:cNvPr id="1" name="image3.jpg"/>
                    <pic:cNvPicPr preferRelativeResize="0"/>
                  </pic:nvPicPr>
                  <pic:blipFill>
                    <a:blip r:embed="rId10"/>
                    <a:srcRect/>
                    <a:stretch>
                      <a:fillRect/>
                    </a:stretch>
                  </pic:blipFill>
                  <pic:spPr>
                    <a:xfrm>
                      <a:off x="0" y="0"/>
                      <a:ext cx="5943600" cy="3073400"/>
                    </a:xfrm>
                    <a:prstGeom prst="rect">
                      <a:avLst/>
                    </a:prstGeom>
                    <a:ln w="38100">
                      <a:solidFill>
                        <a:srgbClr val="000000"/>
                      </a:solidFill>
                      <a:prstDash val="solid"/>
                    </a:ln>
                  </pic:spPr>
                </pic:pic>
              </a:graphicData>
            </a:graphic>
          </wp:inline>
        </w:drawing>
      </w:r>
    </w:p>
    <w:p w14:paraId="2F0A7A6A" w14:textId="77777777" w:rsidR="00DC323E" w:rsidRDefault="00935F3E">
      <w:pPr>
        <w:pStyle w:val="Figures"/>
      </w:pPr>
      <w:bookmarkStart w:id="15" w:name="_Toc213522930"/>
      <w:r>
        <w:t>Figure 2: Recycling plastics from electronic waste, concerning materials and energy</w:t>
      </w:r>
      <w:bookmarkEnd w:id="15"/>
    </w:p>
    <w:p w14:paraId="2F0A7A6B" w14:textId="77777777" w:rsidR="00DC323E" w:rsidRDefault="00935F3E">
      <w:pPr>
        <w:jc w:val="center"/>
      </w:pPr>
      <w:r>
        <w:t>(Source: Arun, Barik and Chandran, 2024)</w:t>
      </w:r>
    </w:p>
    <w:p w14:paraId="2F0A7A6C" w14:textId="77777777" w:rsidR="00DC323E" w:rsidRDefault="00935F3E">
      <w:pPr>
        <w:pStyle w:val="Heading2"/>
      </w:pPr>
      <w:bookmarkStart w:id="16" w:name="_1k28a9bgvouy" w:colFirst="0" w:colLast="0"/>
      <w:bookmarkStart w:id="17" w:name="_Toc213593820"/>
      <w:bookmarkEnd w:id="16"/>
      <w:r>
        <w:t>2.2 Evaluating the effectiveness of AI-powered predictive models to determine consumer behaviour regarding recycling and material recovery</w:t>
      </w:r>
      <w:bookmarkEnd w:id="17"/>
    </w:p>
    <w:p w14:paraId="2F0A7A6D" w14:textId="77777777" w:rsidR="00DC323E" w:rsidRDefault="00935F3E">
      <w:r>
        <w:t>Big Data Predictive Analysis (BDPA) can be considered as a feasible AI-induced predictive model for understanding consumer behaviour concerning recycling and material recovery. Resource-Based View (RBV) theory has conceptualised BDPA as an important construct for an organisation to foster improved financial performance and market responsiveness, curated through customer-centricity and environmental responsibility (</w:t>
      </w:r>
      <w:proofErr w:type="spellStart"/>
      <w:r>
        <w:t>Nilashi</w:t>
      </w:r>
      <w:proofErr w:type="spellEnd"/>
      <w:r>
        <w:t xml:space="preserve"> </w:t>
      </w:r>
      <w:r>
        <w:rPr>
          <w:i/>
        </w:rPr>
        <w:t xml:space="preserve">et al., </w:t>
      </w:r>
      <w:r>
        <w:t>2025). Referring to RBV, AI-powered predictive BDPA can be viewed as an important construct to carve customer satisfaction, concerning the integration of recycling and material recovery, aligned with environmental responsibility. Consequently, the figure below has addressed the implications of resources and capabilities to foster sustainable advantage through the integration of heterogeneous firm structure. However, Gündüzyeli (2024) has contradicted the aforementioned argument by indicating</w:t>
      </w:r>
      <w:r>
        <w:t xml:space="preserve"> the risks of unstructured model performance in creating catastrophic situations within the management of customer data. Despite the previous limitation, heterogeneity can be considered as an important element to foster improved customer behaviour, curated through BDPA.   </w:t>
      </w:r>
    </w:p>
    <w:p w14:paraId="2F0A7A6E" w14:textId="77777777" w:rsidR="00DC323E" w:rsidRDefault="00935F3E">
      <w:pPr>
        <w:jc w:val="center"/>
      </w:pPr>
      <w:r>
        <w:rPr>
          <w:noProof/>
        </w:rPr>
        <w:lastRenderedPageBreak/>
        <w:drawing>
          <wp:inline distT="114300" distB="114300" distL="114300" distR="114300" wp14:anchorId="2F0A7B39" wp14:editId="2F0A7B3A">
            <wp:extent cx="5943600" cy="1727200"/>
            <wp:effectExtent l="38100" t="38100" r="38100" b="4445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referRelativeResize="0"/>
                  </pic:nvPicPr>
                  <pic:blipFill>
                    <a:blip r:embed="rId11"/>
                    <a:srcRect/>
                    <a:stretch>
                      <a:fillRect/>
                    </a:stretch>
                  </pic:blipFill>
                  <pic:spPr>
                    <a:xfrm>
                      <a:off x="0" y="0"/>
                      <a:ext cx="5943600" cy="1727200"/>
                    </a:xfrm>
                    <a:prstGeom prst="rect">
                      <a:avLst/>
                    </a:prstGeom>
                    <a:ln w="38100">
                      <a:solidFill>
                        <a:srgbClr val="000000"/>
                      </a:solidFill>
                      <a:prstDash val="solid"/>
                    </a:ln>
                  </pic:spPr>
                </pic:pic>
              </a:graphicData>
            </a:graphic>
          </wp:inline>
        </w:drawing>
      </w:r>
    </w:p>
    <w:p w14:paraId="2F0A7A6F" w14:textId="77777777" w:rsidR="00DC323E" w:rsidRDefault="00935F3E">
      <w:pPr>
        <w:pStyle w:val="Figures"/>
      </w:pPr>
      <w:bookmarkStart w:id="18" w:name="_Toc213522931"/>
      <w:r>
        <w:t>Figure 3: Conceptual diagram of RBV Theory</w:t>
      </w:r>
      <w:bookmarkEnd w:id="18"/>
    </w:p>
    <w:p w14:paraId="2F0A7A70" w14:textId="77777777" w:rsidR="00DC323E" w:rsidRDefault="00935F3E">
      <w:pPr>
        <w:jc w:val="center"/>
      </w:pPr>
      <w:r>
        <w:t>(Source: Self-developed)</w:t>
      </w:r>
    </w:p>
    <w:p w14:paraId="2F0A7A71" w14:textId="77777777" w:rsidR="00DC323E" w:rsidRDefault="00935F3E">
      <w:pPr>
        <w:pStyle w:val="Heading2"/>
      </w:pPr>
      <w:bookmarkStart w:id="19" w:name="_mq0cchegyxik" w:colFirst="0" w:colLast="0"/>
      <w:bookmarkStart w:id="20" w:name="_Toc213593821"/>
      <w:bookmarkEnd w:id="19"/>
      <w:r>
        <w:t>2.3 Outlining barriers in implementing AI-induced predictive marketing within recycling and material recovery</w:t>
      </w:r>
      <w:bookmarkEnd w:id="20"/>
    </w:p>
    <w:p w14:paraId="2F0A7A72" w14:textId="77777777" w:rsidR="00DC323E" w:rsidRDefault="00935F3E">
      <w:r>
        <w:t xml:space="preserve">Synthetic data generation can be viewed as one of the most prominent challenges in implementing AI-induced predictive marketing strategies. A study by Sheikh, </w:t>
      </w:r>
      <w:proofErr w:type="spellStart"/>
      <w:r>
        <w:t>Simske</w:t>
      </w:r>
      <w:proofErr w:type="spellEnd"/>
      <w:r>
        <w:t xml:space="preserve"> and Chong (2024) has addressed the consequences of unstructured data generation in dismantling the circular footprint of AI-based predictive marketing. The evidence mainly indicates the risks of poor data generation in disrupting the normalcy of data management derived from customer interactions and transactions. In this regard, BDPA can be viewed as an efficient solution to reduce the aforementioned barrier, concerning implementation of AI-induced marketing. According to </w:t>
      </w:r>
      <w:proofErr w:type="spellStart"/>
      <w:r>
        <w:t>Nilashi</w:t>
      </w:r>
      <w:proofErr w:type="spellEnd"/>
      <w:r>
        <w:t xml:space="preserve"> </w:t>
      </w:r>
      <w:r>
        <w:rPr>
          <w:i/>
        </w:rPr>
        <w:t xml:space="preserve">et al., </w:t>
      </w:r>
      <w:r>
        <w:t>(2025), BDPA</w:t>
      </w:r>
      <w:r>
        <w:t xml:space="preserve"> acts as a ledger to foster improved environmental responsibility through increased access towards circular practices and sustainability. Henceforth, increased accessibility through BDPA has been conceptualised as an efficient solution for reducing barriers of unstructured synthetic data generation concerning the implementation of AI-induced predictive marketing.</w:t>
      </w:r>
    </w:p>
    <w:p w14:paraId="2F0A7A73" w14:textId="77777777" w:rsidR="00DC323E" w:rsidRDefault="00935F3E">
      <w:pPr>
        <w:pStyle w:val="Heading2"/>
      </w:pPr>
      <w:bookmarkStart w:id="21" w:name="_uw4v3i3dlkbf" w:colFirst="0" w:colLast="0"/>
      <w:bookmarkStart w:id="22" w:name="_Toc213593822"/>
      <w:bookmarkEnd w:id="21"/>
      <w:r>
        <w:t>2.4 Theoretical underpinning</w:t>
      </w:r>
      <w:bookmarkEnd w:id="22"/>
    </w:p>
    <w:p w14:paraId="2F0A7A74" w14:textId="77777777" w:rsidR="00DC323E" w:rsidRDefault="00935F3E">
      <w:pPr>
        <w:rPr>
          <w:b/>
          <w:bCs/>
          <w:i/>
          <w:iCs/>
        </w:rPr>
      </w:pPr>
      <w:bookmarkStart w:id="23" w:name="_2otw5ga3hbmw" w:colFirst="0" w:colLast="0"/>
      <w:bookmarkEnd w:id="23"/>
      <w:r>
        <w:rPr>
          <w:b/>
          <w:bCs/>
          <w:i/>
          <w:iCs/>
        </w:rPr>
        <w:t>“Model of Technological Acceptance (TAM)”</w:t>
      </w:r>
    </w:p>
    <w:p w14:paraId="2F0A7A75" w14:textId="77777777" w:rsidR="00DC323E" w:rsidRDefault="00935F3E">
      <w:pPr>
        <w:jc w:val="center"/>
      </w:pPr>
      <w:r>
        <w:rPr>
          <w:noProof/>
        </w:rPr>
        <w:lastRenderedPageBreak/>
        <w:drawing>
          <wp:inline distT="114300" distB="114300" distL="114300" distR="114300" wp14:anchorId="2F0A7B3B" wp14:editId="2F0A7B3C">
            <wp:extent cx="5730875" cy="2095500"/>
            <wp:effectExtent l="38100" t="38100" r="38100" b="381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referRelativeResize="0"/>
                  </pic:nvPicPr>
                  <pic:blipFill>
                    <a:blip r:embed="rId12"/>
                    <a:srcRect/>
                    <a:stretch>
                      <a:fillRect/>
                    </a:stretch>
                  </pic:blipFill>
                  <pic:spPr>
                    <a:xfrm>
                      <a:off x="0" y="0"/>
                      <a:ext cx="5731200" cy="2095500"/>
                    </a:xfrm>
                    <a:prstGeom prst="rect">
                      <a:avLst/>
                    </a:prstGeom>
                    <a:ln w="38100">
                      <a:solidFill>
                        <a:srgbClr val="000000"/>
                      </a:solidFill>
                      <a:prstDash val="solid"/>
                    </a:ln>
                  </pic:spPr>
                </pic:pic>
              </a:graphicData>
            </a:graphic>
          </wp:inline>
        </w:drawing>
      </w:r>
    </w:p>
    <w:p w14:paraId="2F0A7A76" w14:textId="77777777" w:rsidR="00DC323E" w:rsidRDefault="00935F3E">
      <w:pPr>
        <w:pStyle w:val="Figures"/>
        <w:rPr>
          <w:i/>
        </w:rPr>
      </w:pPr>
      <w:bookmarkStart w:id="24" w:name="_f49igfgmmb2m" w:colFirst="0" w:colLast="0"/>
      <w:bookmarkStart w:id="25" w:name="_Toc213522932"/>
      <w:bookmarkEnd w:id="24"/>
      <w:r>
        <w:t>Figure 4: “Model of Technological Acceptance (TAM)”</w:t>
      </w:r>
      <w:bookmarkEnd w:id="25"/>
    </w:p>
    <w:p w14:paraId="2F0A7A77" w14:textId="77777777" w:rsidR="00DC323E" w:rsidRDefault="00935F3E">
      <w:pPr>
        <w:jc w:val="center"/>
        <w:rPr>
          <w:b/>
          <w:i/>
        </w:rPr>
      </w:pPr>
      <w:bookmarkStart w:id="26" w:name="_dhf4kbvwxk7f" w:colFirst="0" w:colLast="0"/>
      <w:bookmarkEnd w:id="26"/>
      <w:r>
        <w:t>(Source: Self-developed)</w:t>
      </w:r>
    </w:p>
    <w:p w14:paraId="2F0A7A78" w14:textId="77777777" w:rsidR="00DC323E" w:rsidRDefault="00935F3E">
      <w:r>
        <w:t>The “Model of Technological Acceptance (TAM)” influences acceptance of AI across organisations in analysing customers’ consumption patterns in managing resources. The TAM model conveys the significance of AI in addressing waste accumulation across companies (</w:t>
      </w:r>
      <w:proofErr w:type="spellStart"/>
      <w:r>
        <w:t>Singagerda</w:t>
      </w:r>
      <w:proofErr w:type="spellEnd"/>
      <w:r>
        <w:rPr>
          <w:i/>
        </w:rPr>
        <w:t xml:space="preserve"> et al.</w:t>
      </w:r>
      <w:r>
        <w:t xml:space="preserve"> 2025). TAM’s usage can be beneficial for analysing behaviour of consumers in managing resources through predictive models of AI.  Companies can foster sustainability through using AI as influenced by TAM for interpreting historical consumption patterns regarding waste management. Therefore, the possibility of recycling and material recovery can be anticipated using this theory that influences the usage of AI. </w:t>
      </w:r>
    </w:p>
    <w:p w14:paraId="2F0A7A79" w14:textId="77777777" w:rsidR="00DC323E" w:rsidRDefault="00935F3E">
      <w:r>
        <w:rPr>
          <w:noProof/>
        </w:rPr>
        <w:drawing>
          <wp:inline distT="114300" distB="114300" distL="114300" distR="114300" wp14:anchorId="2F0A7B3D" wp14:editId="2F0A7B3E">
            <wp:extent cx="5730875" cy="2844800"/>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referRelativeResize="0"/>
                  </pic:nvPicPr>
                  <pic:blipFill>
                    <a:blip r:embed="rId13"/>
                    <a:srcRect/>
                    <a:stretch>
                      <a:fillRect/>
                    </a:stretch>
                  </pic:blipFill>
                  <pic:spPr>
                    <a:xfrm>
                      <a:off x="0" y="0"/>
                      <a:ext cx="5731200" cy="2844800"/>
                    </a:xfrm>
                    <a:prstGeom prst="rect">
                      <a:avLst/>
                    </a:prstGeom>
                    <a:ln w="25400">
                      <a:solidFill>
                        <a:srgbClr val="000000"/>
                      </a:solidFill>
                      <a:prstDash val="solid"/>
                    </a:ln>
                  </pic:spPr>
                </pic:pic>
              </a:graphicData>
            </a:graphic>
          </wp:inline>
        </w:drawing>
      </w:r>
    </w:p>
    <w:p w14:paraId="2F0A7A7A" w14:textId="77777777" w:rsidR="00DC323E" w:rsidRDefault="00935F3E">
      <w:pPr>
        <w:pStyle w:val="Figures"/>
      </w:pPr>
      <w:bookmarkStart w:id="27" w:name="_Toc213522933"/>
      <w:r>
        <w:t>Figure 5: Conceptual Framework</w:t>
      </w:r>
      <w:bookmarkEnd w:id="27"/>
    </w:p>
    <w:p w14:paraId="2F0A7A7B" w14:textId="77777777" w:rsidR="00DC323E" w:rsidRDefault="00935F3E">
      <w:pPr>
        <w:jc w:val="center"/>
      </w:pPr>
      <w:r>
        <w:lastRenderedPageBreak/>
        <w:t>(Source: Self-developed)</w:t>
      </w:r>
    </w:p>
    <w:p w14:paraId="2F0A7A7C" w14:textId="77777777" w:rsidR="00DC323E" w:rsidRDefault="00935F3E">
      <w:pPr>
        <w:pStyle w:val="Heading2"/>
      </w:pPr>
      <w:bookmarkStart w:id="28" w:name="_tf2nzn85hj97" w:colFirst="0" w:colLast="0"/>
      <w:bookmarkStart w:id="29" w:name="_Toc213593823"/>
      <w:bookmarkEnd w:id="28"/>
      <w:r>
        <w:t>2.5 Literature Gap</w:t>
      </w:r>
      <w:bookmarkEnd w:id="29"/>
      <w:r>
        <w:t xml:space="preserve">  </w:t>
      </w:r>
    </w:p>
    <w:p w14:paraId="2F0A7A7D" w14:textId="77777777" w:rsidR="00DC323E" w:rsidRDefault="00935F3E">
      <w:r>
        <w:t xml:space="preserve">The incorporation of a limited information on AI’s contribution towards material recovery and recycling could have been improvised by integrating furthermore citations. Numeric data on the success rate using AI towards material recovery could have helped in enhancing the literary findings. </w:t>
      </w:r>
    </w:p>
    <w:p w14:paraId="2F0A7A7E" w14:textId="77777777" w:rsidR="00DC323E" w:rsidRDefault="00935F3E">
      <w:pPr>
        <w:pStyle w:val="Heading1"/>
      </w:pPr>
      <w:bookmarkStart w:id="30" w:name="_1753yp8971dk" w:colFirst="0" w:colLast="0"/>
      <w:bookmarkStart w:id="31" w:name="_Toc213593824"/>
      <w:bookmarkEnd w:id="30"/>
      <w:r>
        <w:t>3.0 Methodology</w:t>
      </w:r>
      <w:bookmarkEnd w:id="31"/>
      <w:r>
        <w:t xml:space="preserve">  </w:t>
      </w:r>
    </w:p>
    <w:p w14:paraId="2F0A7A7F" w14:textId="77777777" w:rsidR="00DC323E" w:rsidRDefault="00935F3E">
      <w:pPr>
        <w:pStyle w:val="Heading2"/>
      </w:pPr>
      <w:bookmarkStart w:id="32" w:name="_ph5zxfysh8qi" w:colFirst="0" w:colLast="0"/>
      <w:bookmarkStart w:id="33" w:name="_Toc213593825"/>
      <w:bookmarkEnd w:id="32"/>
      <w:r>
        <w:t>3.1 Research philosophy and design</w:t>
      </w:r>
      <w:bookmarkEnd w:id="33"/>
    </w:p>
    <w:p w14:paraId="2F0A7A80" w14:textId="77777777" w:rsidR="00DC323E" w:rsidRDefault="00935F3E">
      <w:r>
        <w:t xml:space="preserve">The research will incorporate the interpretivist research philosophy for delving in-depth perspective on using AI’s predictive models for material recovery and recycling. Pervin and Mokhtar (2022) commented that interpretivism research philosophy is applied for analysing experiences on a given topic. In addition, the descriptive research design will be incorporated for procuring extensive information on AI’s predictive model’s effectiveness related with recycling and recovering materials. </w:t>
      </w:r>
    </w:p>
    <w:p w14:paraId="2F0A7A81" w14:textId="77777777" w:rsidR="00DC323E" w:rsidRDefault="00935F3E">
      <w:pPr>
        <w:pStyle w:val="Heading2"/>
      </w:pPr>
      <w:bookmarkStart w:id="34" w:name="_Toc213593826"/>
      <w:r>
        <w:t>3.2 PRISMA</w:t>
      </w:r>
      <w:bookmarkEnd w:id="34"/>
    </w:p>
    <w:p w14:paraId="2F0A7A82" w14:textId="77777777" w:rsidR="00DC323E" w:rsidRDefault="00935F3E">
      <w:pPr>
        <w:pStyle w:val="Heading3"/>
      </w:pPr>
      <w:bookmarkStart w:id="35" w:name="_57bqzpw0h9ig" w:colFirst="0" w:colLast="0"/>
      <w:bookmarkStart w:id="36" w:name="_Toc213593827"/>
      <w:bookmarkEnd w:id="35"/>
      <w:r>
        <w:t>3.2.1 Summary of the method</w:t>
      </w:r>
      <w:bookmarkEnd w:id="36"/>
    </w:p>
    <w:p w14:paraId="2F0A7A83" w14:textId="77777777" w:rsidR="00DC323E" w:rsidRDefault="00935F3E">
      <w:pPr>
        <w:rPr>
          <w:i/>
          <w:iCs/>
        </w:rPr>
      </w:pPr>
      <w:r>
        <w:rPr>
          <w:i/>
          <w:iCs/>
        </w:rPr>
        <w:t>[Refer to appendix 1]</w:t>
      </w:r>
    </w:p>
    <w:p w14:paraId="2F0A7A84" w14:textId="77777777" w:rsidR="00DC323E" w:rsidRDefault="00935F3E">
      <w:r>
        <w:t xml:space="preserve">“Preferred Reporting Items for Systematic Reviews and Meta-Analyses (PRISMA)” can be viewed as an evidence-based roadmap for structured “Systematic Literature Review (SLR)”. As opined by Page </w:t>
      </w:r>
      <w:r>
        <w:rPr>
          <w:i/>
        </w:rPr>
        <w:t xml:space="preserve">et al., </w:t>
      </w:r>
      <w:r>
        <w:t xml:space="preserve">(2021) effective incorporation of PRISMA becomes a vital segment for </w:t>
      </w:r>
      <w:proofErr w:type="gramStart"/>
      <w:r>
        <w:t>a research</w:t>
      </w:r>
      <w:proofErr w:type="gramEnd"/>
      <w:r>
        <w:t xml:space="preserve"> in terms of enhancing different metrics including completeness, transparency, accountability and relevance. The evidence mainly indicates the effectiveness of PRISMA in terms of developing a structured foundation of </w:t>
      </w:r>
      <w:proofErr w:type="gramStart"/>
      <w:r>
        <w:t>a research</w:t>
      </w:r>
      <w:proofErr w:type="gramEnd"/>
      <w:r>
        <w:t>, curated through constructive synthesis of subjective insights, derived from qualitative data. Structurally, identification, screening, eligibility, and inclusion are four key phases of the central</w:t>
      </w:r>
      <w:r>
        <w:t xml:space="preserve"> flow diagram of PRISMA. As opined by Sohrabi </w:t>
      </w:r>
      <w:r>
        <w:rPr>
          <w:i/>
        </w:rPr>
        <w:t xml:space="preserve">et al., </w:t>
      </w:r>
      <w:r>
        <w:t>(2021) data extraction can be considered as an important element to ensure successful integration of PRISMA within a study. Consequently, for the present study relevant data must be extracted from “</w:t>
      </w:r>
      <w:r>
        <w:rPr>
          <w:b/>
          <w:i/>
        </w:rPr>
        <w:t>secondary sources</w:t>
      </w:r>
      <w:r>
        <w:t>” based on topics including machine learning, predictive analytics, optimisation algorithms, environmental sustainability and customer-centricity.</w:t>
      </w:r>
    </w:p>
    <w:tbl>
      <w:tblPr>
        <w:tblStyle w:val="Style12"/>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680"/>
        <w:gridCol w:w="4680"/>
      </w:tblGrid>
      <w:tr w:rsidR="00DC323E" w14:paraId="2F0A7A87" w14:textId="77777777">
        <w:trPr>
          <w:jc w:val="center"/>
        </w:trPr>
        <w:tc>
          <w:tcPr>
            <w:tcW w:w="4680" w:type="dxa"/>
            <w:tcMar>
              <w:top w:w="100" w:type="dxa"/>
              <w:left w:w="100" w:type="dxa"/>
              <w:bottom w:w="100" w:type="dxa"/>
              <w:right w:w="100" w:type="dxa"/>
            </w:tcMar>
          </w:tcPr>
          <w:p w14:paraId="2F0A7A85" w14:textId="77777777" w:rsidR="00DC323E" w:rsidRDefault="00935F3E">
            <w:pPr>
              <w:widowControl w:val="0"/>
              <w:jc w:val="center"/>
              <w:rPr>
                <w:b/>
              </w:rPr>
            </w:pPr>
            <w:r>
              <w:rPr>
                <w:b/>
              </w:rPr>
              <w:t>Phases</w:t>
            </w:r>
          </w:p>
        </w:tc>
        <w:tc>
          <w:tcPr>
            <w:tcW w:w="4680" w:type="dxa"/>
            <w:tcMar>
              <w:top w:w="100" w:type="dxa"/>
              <w:left w:w="100" w:type="dxa"/>
              <w:bottom w:w="100" w:type="dxa"/>
              <w:right w:w="100" w:type="dxa"/>
            </w:tcMar>
          </w:tcPr>
          <w:p w14:paraId="2F0A7A86" w14:textId="77777777" w:rsidR="00DC323E" w:rsidRDefault="00935F3E">
            <w:pPr>
              <w:widowControl w:val="0"/>
              <w:jc w:val="center"/>
              <w:rPr>
                <w:b/>
              </w:rPr>
            </w:pPr>
            <w:r>
              <w:rPr>
                <w:b/>
              </w:rPr>
              <w:t xml:space="preserve"> Details</w:t>
            </w:r>
          </w:p>
        </w:tc>
      </w:tr>
      <w:tr w:rsidR="00DC323E" w14:paraId="2F0A7A8A" w14:textId="77777777">
        <w:trPr>
          <w:jc w:val="center"/>
        </w:trPr>
        <w:tc>
          <w:tcPr>
            <w:tcW w:w="4680" w:type="dxa"/>
            <w:tcMar>
              <w:top w:w="100" w:type="dxa"/>
              <w:left w:w="100" w:type="dxa"/>
              <w:bottom w:w="100" w:type="dxa"/>
              <w:right w:w="100" w:type="dxa"/>
            </w:tcMar>
          </w:tcPr>
          <w:p w14:paraId="2F0A7A88" w14:textId="77777777" w:rsidR="00DC323E" w:rsidRDefault="00935F3E">
            <w:pPr>
              <w:widowControl w:val="0"/>
              <w:rPr>
                <w:b/>
                <w:i/>
              </w:rPr>
            </w:pPr>
            <w:r>
              <w:rPr>
                <w:b/>
                <w:i/>
              </w:rPr>
              <w:lastRenderedPageBreak/>
              <w:t>Defining research questions</w:t>
            </w:r>
          </w:p>
        </w:tc>
        <w:tc>
          <w:tcPr>
            <w:tcW w:w="4680" w:type="dxa"/>
            <w:tcMar>
              <w:top w:w="100" w:type="dxa"/>
              <w:left w:w="100" w:type="dxa"/>
              <w:bottom w:w="100" w:type="dxa"/>
              <w:right w:w="100" w:type="dxa"/>
            </w:tcMar>
          </w:tcPr>
          <w:p w14:paraId="2F0A7A89" w14:textId="77777777" w:rsidR="00DC323E" w:rsidRDefault="00935F3E">
            <w:pPr>
              <w:widowControl w:val="0"/>
            </w:pPr>
            <w:r>
              <w:t>The initial phase will be focused on the stances of understanding the contribution of AI technologies to improve recycling and material recovery.</w:t>
            </w:r>
          </w:p>
        </w:tc>
      </w:tr>
      <w:tr w:rsidR="00DC323E" w14:paraId="2F0A7A8D" w14:textId="77777777">
        <w:trPr>
          <w:jc w:val="center"/>
        </w:trPr>
        <w:tc>
          <w:tcPr>
            <w:tcW w:w="4680" w:type="dxa"/>
            <w:tcMar>
              <w:top w:w="100" w:type="dxa"/>
              <w:left w:w="100" w:type="dxa"/>
              <w:bottom w:w="100" w:type="dxa"/>
              <w:right w:w="100" w:type="dxa"/>
            </w:tcMar>
          </w:tcPr>
          <w:p w14:paraId="2F0A7A8B" w14:textId="77777777" w:rsidR="00DC323E" w:rsidRDefault="00935F3E">
            <w:pPr>
              <w:widowControl w:val="0"/>
              <w:rPr>
                <w:b/>
                <w:i/>
              </w:rPr>
            </w:pPr>
            <w:r>
              <w:rPr>
                <w:b/>
                <w:i/>
              </w:rPr>
              <w:t>Systematic search</w:t>
            </w:r>
          </w:p>
        </w:tc>
        <w:tc>
          <w:tcPr>
            <w:tcW w:w="4680" w:type="dxa"/>
            <w:tcMar>
              <w:top w:w="100" w:type="dxa"/>
              <w:left w:w="100" w:type="dxa"/>
              <w:bottom w:w="100" w:type="dxa"/>
              <w:right w:w="100" w:type="dxa"/>
            </w:tcMar>
          </w:tcPr>
          <w:p w14:paraId="2F0A7A8C" w14:textId="77777777" w:rsidR="00DC323E" w:rsidRDefault="00935F3E">
            <w:pPr>
              <w:widowControl w:val="0"/>
            </w:pPr>
            <w:r>
              <w:t>Multiple databases and sources will be accessed through the utilisation of specific keywords including AI, predictive marketing, recycling, and material recovery.</w:t>
            </w:r>
          </w:p>
        </w:tc>
      </w:tr>
      <w:tr w:rsidR="00DC323E" w14:paraId="2F0A7A90" w14:textId="77777777">
        <w:trPr>
          <w:jc w:val="center"/>
        </w:trPr>
        <w:tc>
          <w:tcPr>
            <w:tcW w:w="4680" w:type="dxa"/>
            <w:tcMar>
              <w:top w:w="100" w:type="dxa"/>
              <w:left w:w="100" w:type="dxa"/>
              <w:bottom w:w="100" w:type="dxa"/>
              <w:right w:w="100" w:type="dxa"/>
            </w:tcMar>
          </w:tcPr>
          <w:p w14:paraId="2F0A7A8E" w14:textId="77777777" w:rsidR="00DC323E" w:rsidRDefault="00935F3E">
            <w:pPr>
              <w:widowControl w:val="0"/>
              <w:rPr>
                <w:b/>
                <w:i/>
              </w:rPr>
            </w:pPr>
            <w:r>
              <w:rPr>
                <w:b/>
                <w:i/>
              </w:rPr>
              <w:t>Integrating inclusion and exclusion criteria</w:t>
            </w:r>
          </w:p>
        </w:tc>
        <w:tc>
          <w:tcPr>
            <w:tcW w:w="4680" w:type="dxa"/>
            <w:tcMar>
              <w:top w:w="100" w:type="dxa"/>
              <w:left w:w="100" w:type="dxa"/>
              <w:bottom w:w="100" w:type="dxa"/>
              <w:right w:w="100" w:type="dxa"/>
            </w:tcMar>
          </w:tcPr>
          <w:p w14:paraId="2F0A7A8F" w14:textId="77777777" w:rsidR="00DC323E" w:rsidRDefault="00935F3E">
            <w:pPr>
              <w:widowControl w:val="0"/>
            </w:pPr>
            <w:r>
              <w:t>This phase will be centred on the stances of filtering the entire search results.</w:t>
            </w:r>
          </w:p>
        </w:tc>
      </w:tr>
      <w:tr w:rsidR="00DC323E" w14:paraId="2F0A7A93" w14:textId="77777777">
        <w:trPr>
          <w:jc w:val="center"/>
        </w:trPr>
        <w:tc>
          <w:tcPr>
            <w:tcW w:w="4680" w:type="dxa"/>
            <w:tcMar>
              <w:top w:w="100" w:type="dxa"/>
              <w:left w:w="100" w:type="dxa"/>
              <w:bottom w:w="100" w:type="dxa"/>
              <w:right w:w="100" w:type="dxa"/>
            </w:tcMar>
          </w:tcPr>
          <w:p w14:paraId="2F0A7A91" w14:textId="77777777" w:rsidR="00DC323E" w:rsidRDefault="00935F3E">
            <w:pPr>
              <w:widowControl w:val="0"/>
              <w:rPr>
                <w:b/>
                <w:i/>
              </w:rPr>
            </w:pPr>
            <w:r>
              <w:rPr>
                <w:b/>
                <w:i/>
              </w:rPr>
              <w:t>Documenting the PRISMA flow diagram</w:t>
            </w:r>
          </w:p>
        </w:tc>
        <w:tc>
          <w:tcPr>
            <w:tcW w:w="4680" w:type="dxa"/>
            <w:tcMar>
              <w:top w:w="100" w:type="dxa"/>
              <w:left w:w="100" w:type="dxa"/>
              <w:bottom w:w="100" w:type="dxa"/>
              <w:right w:w="100" w:type="dxa"/>
            </w:tcMar>
          </w:tcPr>
          <w:p w14:paraId="2F0A7A92" w14:textId="77777777" w:rsidR="00DC323E" w:rsidRDefault="00935F3E">
            <w:pPr>
              <w:widowControl w:val="0"/>
            </w:pPr>
            <w:r>
              <w:t>The documentation will be used for keeping records for selected sources.</w:t>
            </w:r>
          </w:p>
        </w:tc>
      </w:tr>
      <w:tr w:rsidR="00DC323E" w14:paraId="2F0A7A96" w14:textId="77777777">
        <w:trPr>
          <w:jc w:val="center"/>
        </w:trPr>
        <w:tc>
          <w:tcPr>
            <w:tcW w:w="4680" w:type="dxa"/>
            <w:tcMar>
              <w:top w:w="100" w:type="dxa"/>
              <w:left w:w="100" w:type="dxa"/>
              <w:bottom w:w="100" w:type="dxa"/>
              <w:right w:w="100" w:type="dxa"/>
            </w:tcMar>
          </w:tcPr>
          <w:p w14:paraId="2F0A7A94" w14:textId="77777777" w:rsidR="00DC323E" w:rsidRDefault="00935F3E">
            <w:pPr>
              <w:widowControl w:val="0"/>
              <w:rPr>
                <w:b/>
                <w:i/>
              </w:rPr>
            </w:pPr>
            <w:r>
              <w:rPr>
                <w:b/>
                <w:i/>
              </w:rPr>
              <w:t>Extracting data</w:t>
            </w:r>
          </w:p>
        </w:tc>
        <w:tc>
          <w:tcPr>
            <w:tcW w:w="4680" w:type="dxa"/>
            <w:tcMar>
              <w:top w:w="100" w:type="dxa"/>
              <w:left w:w="100" w:type="dxa"/>
              <w:bottom w:w="100" w:type="dxa"/>
              <w:right w:w="100" w:type="dxa"/>
            </w:tcMar>
          </w:tcPr>
          <w:p w14:paraId="2F0A7A95" w14:textId="77777777" w:rsidR="00DC323E" w:rsidRDefault="00935F3E">
            <w:pPr>
              <w:widowControl w:val="0"/>
            </w:pPr>
            <w:r>
              <w:t>Relevant data will be extracted in this phase based on inclusion and exclusion criteria.</w:t>
            </w:r>
          </w:p>
        </w:tc>
      </w:tr>
      <w:tr w:rsidR="00DC323E" w14:paraId="2F0A7A99" w14:textId="77777777">
        <w:trPr>
          <w:jc w:val="center"/>
        </w:trPr>
        <w:tc>
          <w:tcPr>
            <w:tcW w:w="4680" w:type="dxa"/>
            <w:tcMar>
              <w:top w:w="100" w:type="dxa"/>
              <w:left w:w="100" w:type="dxa"/>
              <w:bottom w:w="100" w:type="dxa"/>
              <w:right w:w="100" w:type="dxa"/>
            </w:tcMar>
          </w:tcPr>
          <w:p w14:paraId="2F0A7A97" w14:textId="77777777" w:rsidR="00DC323E" w:rsidRDefault="00935F3E">
            <w:pPr>
              <w:widowControl w:val="0"/>
              <w:rPr>
                <w:b/>
                <w:i/>
              </w:rPr>
            </w:pPr>
            <w:r>
              <w:rPr>
                <w:b/>
                <w:i/>
              </w:rPr>
              <w:t>Synthesising findings</w:t>
            </w:r>
          </w:p>
        </w:tc>
        <w:tc>
          <w:tcPr>
            <w:tcW w:w="4680" w:type="dxa"/>
            <w:tcMar>
              <w:top w:w="100" w:type="dxa"/>
              <w:left w:w="100" w:type="dxa"/>
              <w:bottom w:w="100" w:type="dxa"/>
              <w:right w:w="100" w:type="dxa"/>
            </w:tcMar>
          </w:tcPr>
          <w:p w14:paraId="2F0A7A98" w14:textId="77777777" w:rsidR="00DC323E" w:rsidRDefault="00935F3E">
            <w:pPr>
              <w:widowControl w:val="0"/>
            </w:pPr>
            <w:r>
              <w:t xml:space="preserve">The final phase is mainly centred on the stances of summarising key findings of the entire process. </w:t>
            </w:r>
          </w:p>
        </w:tc>
      </w:tr>
    </w:tbl>
    <w:p w14:paraId="2F0A7A9A" w14:textId="77777777" w:rsidR="00DC323E" w:rsidRDefault="00935F3E">
      <w:pPr>
        <w:spacing w:before="240"/>
        <w:jc w:val="center"/>
        <w:rPr>
          <w:b/>
        </w:rPr>
      </w:pPr>
      <w:r>
        <w:t xml:space="preserve"> </w:t>
      </w:r>
      <w:r>
        <w:rPr>
          <w:b/>
        </w:rPr>
        <w:t>Table 1: Key steps of PRISMA for the present study</w:t>
      </w:r>
    </w:p>
    <w:p w14:paraId="2F0A7A9B" w14:textId="77777777" w:rsidR="00DC323E" w:rsidRDefault="00935F3E">
      <w:pPr>
        <w:jc w:val="center"/>
      </w:pPr>
      <w:r>
        <w:t>(Source: Self-developed)</w:t>
      </w:r>
    </w:p>
    <w:p w14:paraId="2F0A7A9C" w14:textId="77777777" w:rsidR="00DC323E" w:rsidRDefault="00935F3E">
      <w:pPr>
        <w:pStyle w:val="Heading3"/>
      </w:pPr>
      <w:bookmarkStart w:id="37" w:name="_exoi4zli2mpa" w:colFirst="0" w:colLast="0"/>
      <w:bookmarkStart w:id="38" w:name="_Toc213593828"/>
      <w:bookmarkEnd w:id="37"/>
      <w:r>
        <w:t>3.2.2 Feasibility of using PRISMA</w:t>
      </w:r>
      <w:bookmarkEnd w:id="38"/>
    </w:p>
    <w:p w14:paraId="2F0A7A9D" w14:textId="77777777" w:rsidR="00DC323E" w:rsidRDefault="00935F3E">
      <w:r>
        <w:t xml:space="preserve">In the context of ensuring overall research quality, PRISMA can be viewed as an important framework to foster improved accountability and relevance. More precisely, the aforementioned framework acts as a mediator in research in terms of including feasible and relevant insights based on the core research topic through proper screening. For instance, in the present study, screening will be imposed through PRISMA for excluding irrelevant insights, concerning the association between the core research topic. As </w:t>
      </w:r>
      <w:r>
        <w:t xml:space="preserve">opined by </w:t>
      </w:r>
      <w:proofErr w:type="spellStart"/>
      <w:r>
        <w:t>Rethlefsen</w:t>
      </w:r>
      <w:proofErr w:type="spellEnd"/>
      <w:r>
        <w:t xml:space="preserve"> </w:t>
      </w:r>
      <w:r>
        <w:rPr>
          <w:i/>
        </w:rPr>
        <w:t xml:space="preserve">et al., </w:t>
      </w:r>
      <w:r>
        <w:t xml:space="preserve">(2021) structured incorporation of PRISMA can be considered as an important scenario for research to blend the nature of exploratory </w:t>
      </w:r>
      <w:r>
        <w:lastRenderedPageBreak/>
        <w:t xml:space="preserve">and subjective, based on the existing methodological attributes. Based on the aforementioned evidence, PRISMA can be considered a feasible framework for the present study in terms of facilitating efficiency curated through subjective and objective assessment. On the contrary, Page </w:t>
      </w:r>
      <w:r>
        <w:rPr>
          <w:i/>
        </w:rPr>
        <w:t xml:space="preserve">et al., </w:t>
      </w:r>
      <w:r>
        <w:t>(2021) have described the negative impulse of exclusion bias</w:t>
      </w:r>
      <w:r>
        <w:t xml:space="preserve"> in disrupting the balance of screening construct within PRISMA. Despite the aforementioned challenge, a structured foundation of inclusion criteria can be viewed as a significant ledger for PRISMA to ensure the minimisation of exclusion bias. Consequently, in the present study, reduced exclusion bias will be a feasible construct to ensure seamless inclusion of relevant insights such as predictive analytics, optimisation algorithms, environmental sustainability and customer-centricity. Thus, PRISMA has been</w:t>
      </w:r>
      <w:r>
        <w:t xml:space="preserve"> conceptualised as a feasible framework for the present study to foster improved accountability and relevance, based on the collected data.</w:t>
      </w:r>
    </w:p>
    <w:p w14:paraId="2F0A7A9E" w14:textId="77777777" w:rsidR="00DC323E" w:rsidRDefault="00935F3E">
      <w:pPr>
        <w:pStyle w:val="Heading2"/>
      </w:pPr>
      <w:bookmarkStart w:id="39" w:name="_Toc213593829"/>
      <w:r>
        <w:t>3.3 Inclusion and Exclusion criteria</w:t>
      </w:r>
      <w:bookmarkEnd w:id="39"/>
      <w:r>
        <w:t xml:space="preserve">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514"/>
        <w:gridCol w:w="4515"/>
      </w:tblGrid>
      <w:tr w:rsidR="00DC323E" w14:paraId="2F0A7AA1" w14:textId="77777777">
        <w:tc>
          <w:tcPr>
            <w:tcW w:w="4514" w:type="dxa"/>
            <w:tcMar>
              <w:top w:w="100" w:type="dxa"/>
              <w:left w:w="100" w:type="dxa"/>
              <w:bottom w:w="100" w:type="dxa"/>
              <w:right w:w="100" w:type="dxa"/>
            </w:tcMar>
          </w:tcPr>
          <w:p w14:paraId="2F0A7A9F" w14:textId="77777777" w:rsidR="00DC323E" w:rsidRDefault="00935F3E">
            <w:pPr>
              <w:widowControl w:val="0"/>
              <w:jc w:val="center"/>
              <w:rPr>
                <w:b/>
                <w:i/>
              </w:rPr>
            </w:pPr>
            <w:r>
              <w:rPr>
                <w:b/>
                <w:i/>
              </w:rPr>
              <w:t>Inclusion criteria</w:t>
            </w:r>
          </w:p>
        </w:tc>
        <w:tc>
          <w:tcPr>
            <w:tcW w:w="4514" w:type="dxa"/>
            <w:tcMar>
              <w:top w:w="100" w:type="dxa"/>
              <w:left w:w="100" w:type="dxa"/>
              <w:bottom w:w="100" w:type="dxa"/>
              <w:right w:w="100" w:type="dxa"/>
            </w:tcMar>
          </w:tcPr>
          <w:p w14:paraId="2F0A7AA0" w14:textId="77777777" w:rsidR="00DC323E" w:rsidRDefault="00935F3E">
            <w:pPr>
              <w:widowControl w:val="0"/>
              <w:jc w:val="center"/>
              <w:rPr>
                <w:b/>
                <w:i/>
              </w:rPr>
            </w:pPr>
            <w:r>
              <w:rPr>
                <w:b/>
                <w:i/>
              </w:rPr>
              <w:t>Exclusion criteria</w:t>
            </w:r>
          </w:p>
        </w:tc>
      </w:tr>
      <w:tr w:rsidR="00DC323E" w14:paraId="2F0A7AA4" w14:textId="77777777">
        <w:tc>
          <w:tcPr>
            <w:tcW w:w="4514" w:type="dxa"/>
            <w:tcMar>
              <w:top w:w="100" w:type="dxa"/>
              <w:left w:w="100" w:type="dxa"/>
              <w:bottom w:w="100" w:type="dxa"/>
              <w:right w:w="100" w:type="dxa"/>
            </w:tcMar>
          </w:tcPr>
          <w:p w14:paraId="2F0A7AA2" w14:textId="77777777" w:rsidR="00DC323E" w:rsidRDefault="00935F3E">
            <w:pPr>
              <w:widowControl w:val="0"/>
            </w:pPr>
            <w:r>
              <w:t>Articles related with AI’s predictive models in analysing materials’ recycling and recovery.</w:t>
            </w:r>
          </w:p>
        </w:tc>
        <w:tc>
          <w:tcPr>
            <w:tcW w:w="4514" w:type="dxa"/>
            <w:tcMar>
              <w:top w:w="100" w:type="dxa"/>
              <w:left w:w="100" w:type="dxa"/>
              <w:bottom w:w="100" w:type="dxa"/>
              <w:right w:w="100" w:type="dxa"/>
            </w:tcMar>
          </w:tcPr>
          <w:p w14:paraId="2F0A7AA3" w14:textId="77777777" w:rsidR="00DC323E" w:rsidRDefault="00935F3E">
            <w:pPr>
              <w:widowControl w:val="0"/>
            </w:pPr>
            <w:r>
              <w:t>Articles other than AI’s usage in analysing materials’ recycling and recovery through predictive models.</w:t>
            </w:r>
          </w:p>
        </w:tc>
      </w:tr>
      <w:tr w:rsidR="00DC323E" w14:paraId="2F0A7AA7" w14:textId="77777777">
        <w:tc>
          <w:tcPr>
            <w:tcW w:w="4514" w:type="dxa"/>
            <w:tcMar>
              <w:top w:w="100" w:type="dxa"/>
              <w:left w:w="100" w:type="dxa"/>
              <w:bottom w:w="100" w:type="dxa"/>
              <w:right w:w="100" w:type="dxa"/>
            </w:tcMar>
          </w:tcPr>
          <w:p w14:paraId="2F0A7AA5" w14:textId="77777777" w:rsidR="00DC323E" w:rsidRDefault="00935F3E">
            <w:pPr>
              <w:widowControl w:val="0"/>
            </w:pPr>
            <w:r>
              <w:t xml:space="preserve">Articles having an abstract and are published in English language </w:t>
            </w:r>
          </w:p>
        </w:tc>
        <w:tc>
          <w:tcPr>
            <w:tcW w:w="4514" w:type="dxa"/>
            <w:tcMar>
              <w:top w:w="100" w:type="dxa"/>
              <w:left w:w="100" w:type="dxa"/>
              <w:bottom w:w="100" w:type="dxa"/>
              <w:right w:w="100" w:type="dxa"/>
            </w:tcMar>
          </w:tcPr>
          <w:p w14:paraId="2F0A7AA6" w14:textId="77777777" w:rsidR="00DC323E" w:rsidRDefault="00935F3E">
            <w:pPr>
              <w:widowControl w:val="0"/>
            </w:pPr>
            <w:r>
              <w:t>Articles lacking an abstract and are not published in English language</w:t>
            </w:r>
          </w:p>
        </w:tc>
      </w:tr>
      <w:tr w:rsidR="00DC323E" w14:paraId="2F0A7AAA" w14:textId="77777777">
        <w:tc>
          <w:tcPr>
            <w:tcW w:w="4514" w:type="dxa"/>
            <w:tcMar>
              <w:top w:w="100" w:type="dxa"/>
              <w:left w:w="100" w:type="dxa"/>
              <w:bottom w:w="100" w:type="dxa"/>
              <w:right w:w="100" w:type="dxa"/>
            </w:tcMar>
          </w:tcPr>
          <w:p w14:paraId="2F0A7AA8" w14:textId="77777777" w:rsidR="00DC323E" w:rsidRDefault="00935F3E">
            <w:pPr>
              <w:widowControl w:val="0"/>
            </w:pPr>
            <w:r>
              <w:t xml:space="preserve">Articles published from 2021 onwards and are peer-reviewed. </w:t>
            </w:r>
          </w:p>
        </w:tc>
        <w:tc>
          <w:tcPr>
            <w:tcW w:w="4514" w:type="dxa"/>
            <w:tcMar>
              <w:top w:w="100" w:type="dxa"/>
              <w:left w:w="100" w:type="dxa"/>
              <w:bottom w:w="100" w:type="dxa"/>
              <w:right w:w="100" w:type="dxa"/>
            </w:tcMar>
          </w:tcPr>
          <w:p w14:paraId="2F0A7AA9" w14:textId="77777777" w:rsidR="00DC323E" w:rsidRDefault="00935F3E">
            <w:pPr>
              <w:widowControl w:val="0"/>
            </w:pPr>
            <w:r>
              <w:t>Articles published before 2021 onwards and are doctoral dissertation/master thesis.</w:t>
            </w:r>
          </w:p>
        </w:tc>
      </w:tr>
    </w:tbl>
    <w:p w14:paraId="2F0A7AAB" w14:textId="77777777" w:rsidR="00DC323E" w:rsidRDefault="00935F3E">
      <w:pPr>
        <w:spacing w:before="200"/>
        <w:jc w:val="center"/>
        <w:rPr>
          <w:b/>
        </w:rPr>
      </w:pPr>
      <w:r>
        <w:rPr>
          <w:b/>
        </w:rPr>
        <w:t>Table 1: Inclusion and Exclusion criteria</w:t>
      </w:r>
    </w:p>
    <w:p w14:paraId="2F0A7AAC" w14:textId="77777777" w:rsidR="00DC323E" w:rsidRDefault="00935F3E">
      <w:pPr>
        <w:jc w:val="center"/>
      </w:pPr>
      <w:r>
        <w:t>(Source: Self-developed)</w:t>
      </w:r>
    </w:p>
    <w:p w14:paraId="2F0A7AAD" w14:textId="77777777" w:rsidR="00DC323E" w:rsidRDefault="00935F3E">
      <w:pPr>
        <w:pStyle w:val="Heading2"/>
        <w:rPr>
          <w:lang w:bidi="ar-SA"/>
        </w:rPr>
      </w:pPr>
      <w:bookmarkStart w:id="40" w:name="_Toc213593830"/>
      <w:r>
        <w:rPr>
          <w:lang w:bidi="ar-SA"/>
        </w:rPr>
        <w:t>3.4 Research strategy and approach</w:t>
      </w:r>
      <w:bookmarkEnd w:id="40"/>
    </w:p>
    <w:p w14:paraId="2F0A7AAE" w14:textId="77777777" w:rsidR="00DC323E" w:rsidRDefault="00935F3E">
      <w:pPr>
        <w:rPr>
          <w:b/>
          <w:i/>
          <w:lang w:bidi="ar-SA"/>
        </w:rPr>
      </w:pPr>
      <w:bookmarkStart w:id="41" w:name="_49hwtzr5zftj" w:colFirst="0" w:colLast="0"/>
      <w:bookmarkEnd w:id="41"/>
      <w:r>
        <w:rPr>
          <w:lang w:bidi="ar-SA"/>
        </w:rPr>
        <w:t xml:space="preserve">Secondary research strategy will be applied for collecting pre-existing information on AI's usage in analysing material recovery/recycling. Deductive approach will be used in deriving information from secondary resources for gaining clear concepts. These methodologies will help in gaining critical insights into the ways how AI's predictive models can contribute towards analysing consumers’ patterns. </w:t>
      </w:r>
    </w:p>
    <w:p w14:paraId="2F0A7AAF" w14:textId="77777777" w:rsidR="00DC323E" w:rsidRDefault="00935F3E">
      <w:pPr>
        <w:pStyle w:val="Heading2"/>
        <w:rPr>
          <w:lang w:bidi="ar-SA"/>
        </w:rPr>
      </w:pPr>
      <w:bookmarkStart w:id="42" w:name="_mfojyjza0kle" w:colFirst="0" w:colLast="0"/>
      <w:bookmarkStart w:id="43" w:name="_Toc213593831"/>
      <w:bookmarkEnd w:id="42"/>
      <w:r>
        <w:rPr>
          <w:lang w:bidi="ar-SA"/>
        </w:rPr>
        <w:lastRenderedPageBreak/>
        <w:t>3.5 Data collection method and analysis</w:t>
      </w:r>
      <w:bookmarkEnd w:id="43"/>
      <w:r>
        <w:rPr>
          <w:lang w:bidi="ar-SA"/>
        </w:rPr>
        <w:t xml:space="preserve"> </w:t>
      </w:r>
    </w:p>
    <w:p w14:paraId="2F0A7AB0" w14:textId="77777777" w:rsidR="00DC323E" w:rsidRDefault="00935F3E">
      <w:pPr>
        <w:rPr>
          <w:lang w:bidi="ar-SA"/>
        </w:rPr>
      </w:pPr>
      <w:r>
        <w:rPr>
          <w:lang w:bidi="ar-SA"/>
        </w:rPr>
        <w:t>Qualitative method and thematic analysis will be applied for incorporating textual data on predictive models’ usage for recovering/recycling materials in form of themes. Qualitative methodology is important for gaining clear concepts and fostering information clarity (Lim, 2025). Thematic analysis will help in arranging information into 4 themes that are coherent with the research objectives.</w:t>
      </w:r>
    </w:p>
    <w:p w14:paraId="2F0A7AB1" w14:textId="77777777" w:rsidR="00DC323E" w:rsidRDefault="00935F3E">
      <w:pPr>
        <w:pStyle w:val="Heading2"/>
        <w:rPr>
          <w:lang w:bidi="ar-SA"/>
        </w:rPr>
      </w:pPr>
      <w:bookmarkStart w:id="44" w:name="_jpzxp1fa0kcv" w:colFirst="0" w:colLast="0"/>
      <w:bookmarkStart w:id="45" w:name="_Toc213593832"/>
      <w:bookmarkEnd w:id="44"/>
      <w:r>
        <w:rPr>
          <w:lang w:bidi="ar-SA"/>
        </w:rPr>
        <w:t>3.6 Sampling and technique</w:t>
      </w:r>
      <w:bookmarkEnd w:id="45"/>
    </w:p>
    <w:p w14:paraId="2F0A7AB2" w14:textId="77777777" w:rsidR="00DC323E" w:rsidRDefault="00935F3E">
      <w:pPr>
        <w:rPr>
          <w:lang w:bidi="ar-SA"/>
        </w:rPr>
      </w:pPr>
      <w:r>
        <w:rPr>
          <w:lang w:bidi="ar-SA"/>
        </w:rPr>
        <w:t>A sample of 12 peer reviewed journals will be selected using the purposive sampling techniques for procuring in-depth insights into AI’ s predictive model’s contribution towards recovering/recycling materials. Purpose sampling technique focuses on understanding complex phenomena related to a topic and interpreting information into meaningful sentences (</w:t>
      </w:r>
      <w:proofErr w:type="spellStart"/>
      <w:r>
        <w:rPr>
          <w:lang w:bidi="ar-SA"/>
        </w:rPr>
        <w:t>Bouncken</w:t>
      </w:r>
      <w:proofErr w:type="spellEnd"/>
      <w:r>
        <w:rPr>
          <w:lang w:bidi="ar-SA"/>
        </w:rPr>
        <w:t xml:space="preserve"> and Schmitt, 2025).  </w:t>
      </w:r>
    </w:p>
    <w:p w14:paraId="2F0A7AB3" w14:textId="77777777" w:rsidR="00DC323E" w:rsidRDefault="00935F3E">
      <w:pPr>
        <w:pStyle w:val="Heading2"/>
        <w:rPr>
          <w:lang w:bidi="ar-SA"/>
        </w:rPr>
      </w:pPr>
      <w:bookmarkStart w:id="46" w:name="_rrre9bnqcja1" w:colFirst="0" w:colLast="0"/>
      <w:bookmarkStart w:id="47" w:name="_Toc213593833"/>
      <w:bookmarkEnd w:id="46"/>
      <w:r>
        <w:rPr>
          <w:lang w:bidi="ar-SA"/>
        </w:rPr>
        <w:t>3.7 Methodological limitation</w:t>
      </w:r>
      <w:bookmarkEnd w:id="47"/>
    </w:p>
    <w:p w14:paraId="2F0A7AB4" w14:textId="77777777" w:rsidR="00DC323E" w:rsidRDefault="00935F3E">
      <w:pPr>
        <w:rPr>
          <w:lang w:bidi="ar-SA"/>
        </w:rPr>
      </w:pPr>
      <w:bookmarkStart w:id="48" w:name="_a0tukol9qc7m" w:colFirst="0" w:colLast="0"/>
      <w:bookmarkEnd w:id="48"/>
      <w:r>
        <w:rPr>
          <w:lang w:bidi="ar-SA"/>
        </w:rPr>
        <w:t>The methodologies focused on applying secondary qualitative methods that depend on procuring existing information on AI's predictive marketing models in material recovery/recycling. However, the primary quantitative methodology could have helped in understanding AI’s efficiency towards recycling/recovering materials based on real time insights gained from employees. The strategy would have helped in uncovering new insights on AI’s efficiency or challenges in analysing customers' material usage patterns. Thi</w:t>
      </w:r>
      <w:r>
        <w:rPr>
          <w:lang w:bidi="ar-SA"/>
        </w:rPr>
        <w:t xml:space="preserve">s would help in developing recommendations in addressing the issues based on the trends of corresponding responses. </w:t>
      </w:r>
    </w:p>
    <w:p w14:paraId="2F0A7AB5" w14:textId="77777777" w:rsidR="00DC323E" w:rsidRDefault="00935F3E">
      <w:pPr>
        <w:pStyle w:val="Heading1"/>
        <w:rPr>
          <w:lang w:bidi="ar-SA"/>
        </w:rPr>
      </w:pPr>
      <w:bookmarkStart w:id="49" w:name="_i4jkye90dpqb" w:colFirst="0" w:colLast="0"/>
      <w:bookmarkStart w:id="50" w:name="_Toc213593834"/>
      <w:bookmarkEnd w:id="49"/>
      <w:r>
        <w:rPr>
          <w:lang w:bidi="ar-SA"/>
        </w:rPr>
        <w:t>4.0 Expected Findings</w:t>
      </w:r>
      <w:bookmarkEnd w:id="50"/>
    </w:p>
    <w:p w14:paraId="2F0A7AB6" w14:textId="77777777" w:rsidR="00DC323E" w:rsidRDefault="00935F3E">
      <w:pPr>
        <w:rPr>
          <w:lang w:bidi="ar-SA"/>
        </w:rPr>
      </w:pPr>
      <w:r>
        <w:rPr>
          <w:lang w:bidi="ar-SA"/>
        </w:rPr>
        <w:t>AI’s predictive modelling has been significant for analysing consumers’ behaviour patterns on using materials. Predictive models of AI contribute towards forecasting waste volumes based on historical data of customers' consumption patterns (</w:t>
      </w:r>
      <w:proofErr w:type="spellStart"/>
      <w:r>
        <w:rPr>
          <w:lang w:bidi="ar-SA"/>
        </w:rPr>
        <w:t>Fatorachian</w:t>
      </w:r>
      <w:proofErr w:type="spellEnd"/>
      <w:r>
        <w:rPr>
          <w:lang w:bidi="ar-SA"/>
        </w:rPr>
        <w:t xml:space="preserve"> and Pawar, 2025). Predictive marketing helps in enhancing material management by using AI for sorting the kind of materials as per the recyclability. Thus, responsible companies can forecast the patterns of generating waste across customers and focus on developing eco-friendly materials for reducing waste accumulation.  </w:t>
      </w:r>
    </w:p>
    <w:p w14:paraId="2F0A7AB7" w14:textId="77777777" w:rsidR="00DC323E" w:rsidRDefault="00935F3E">
      <w:pPr>
        <w:pStyle w:val="Heading1"/>
        <w:rPr>
          <w:lang w:bidi="ar-SA"/>
        </w:rPr>
      </w:pPr>
      <w:bookmarkStart w:id="51" w:name="_usggrdp65ow7" w:colFirst="0" w:colLast="0"/>
      <w:bookmarkStart w:id="52" w:name="_Toc213593835"/>
      <w:bookmarkEnd w:id="51"/>
      <w:r>
        <w:rPr>
          <w:lang w:bidi="ar-SA"/>
        </w:rPr>
        <w:t>5.0 Limitation</w:t>
      </w:r>
      <w:bookmarkEnd w:id="52"/>
      <w:r>
        <w:rPr>
          <w:lang w:bidi="ar-SA"/>
        </w:rPr>
        <w:t xml:space="preserve"> </w:t>
      </w:r>
    </w:p>
    <w:p w14:paraId="2F0A7AB8" w14:textId="77777777" w:rsidR="00DC323E" w:rsidRDefault="00935F3E">
      <w:pPr>
        <w:rPr>
          <w:lang w:bidi="ar-SA"/>
        </w:rPr>
      </w:pPr>
      <w:r>
        <w:rPr>
          <w:lang w:bidi="ar-SA"/>
        </w:rPr>
        <w:t xml:space="preserve">The research is limited to provide less quantitative information on the AI’s acceptance across companies in recovering/recycling materials. In addition, theoretical underpin could have been relatively explained for understanding the significance of AI towards fostering sustainability </w:t>
      </w:r>
      <w:r>
        <w:rPr>
          <w:lang w:bidi="ar-SA"/>
        </w:rPr>
        <w:lastRenderedPageBreak/>
        <w:t>through waste management. The secondary qualitative methodology is limited to providing existing information on AI’s role in predictive marketing for recycling and material recovery. The research is limited to providing less inflation in the literature review and also identifying corresponding gaps that hindered effective understanding of the topic in detail. The research is limited to providing extensive application of the methodologies that signifies hindrance in retaining adequate validity of the finding</w:t>
      </w:r>
      <w:r>
        <w:rPr>
          <w:lang w:bidi="ar-SA"/>
        </w:rPr>
        <w:t xml:space="preserve">s and ethical consideration. </w:t>
      </w:r>
    </w:p>
    <w:p w14:paraId="2F0A7AB9" w14:textId="77777777" w:rsidR="00DC323E" w:rsidRDefault="00935F3E">
      <w:pPr>
        <w:pStyle w:val="Heading1"/>
        <w:rPr>
          <w:lang w:bidi="ar-SA"/>
        </w:rPr>
      </w:pPr>
      <w:bookmarkStart w:id="53" w:name="_sap8itvzv4ko" w:colFirst="0" w:colLast="0"/>
      <w:bookmarkStart w:id="54" w:name="_Toc213593836"/>
      <w:bookmarkEnd w:id="53"/>
      <w:r>
        <w:rPr>
          <w:lang w:bidi="ar-SA"/>
        </w:rPr>
        <w:t>6.0 Timeframe</w:t>
      </w:r>
      <w:bookmarkEnd w:id="54"/>
      <w:r>
        <w:rPr>
          <w:lang w:bidi="ar-SA"/>
        </w:rPr>
        <w:t xml:space="preserve"> </w:t>
      </w:r>
    </w:p>
    <w:p w14:paraId="2F0A7ABA" w14:textId="77777777" w:rsidR="00DC323E" w:rsidRDefault="00935F3E">
      <w:pPr>
        <w:rPr>
          <w:lang w:bidi="ar-SA"/>
        </w:rPr>
      </w:pPr>
      <w:r>
        <w:rPr>
          <w:i/>
          <w:lang w:bidi="ar-SA"/>
        </w:rPr>
        <w:t>[Refer to Appendix 2]</w:t>
      </w:r>
    </w:p>
    <w:p w14:paraId="2F0A7ABB" w14:textId="77777777" w:rsidR="00DC323E" w:rsidRDefault="00935F3E">
      <w:pPr>
        <w:pStyle w:val="Heading1"/>
        <w:rPr>
          <w:lang w:bidi="ar-SA"/>
        </w:rPr>
      </w:pPr>
      <w:bookmarkStart w:id="55" w:name="_wu1jpjezyh3r" w:colFirst="0" w:colLast="0"/>
      <w:bookmarkStart w:id="56" w:name="_Toc213593837"/>
      <w:bookmarkEnd w:id="55"/>
      <w:r>
        <w:rPr>
          <w:lang w:bidi="ar-SA"/>
        </w:rPr>
        <w:t>7.0 Conclusion</w:t>
      </w:r>
      <w:bookmarkEnd w:id="56"/>
      <w:r>
        <w:rPr>
          <w:lang w:bidi="ar-SA"/>
        </w:rPr>
        <w:t xml:space="preserve">  </w:t>
      </w:r>
    </w:p>
    <w:p w14:paraId="2F0A7ABC" w14:textId="77777777" w:rsidR="00DC323E" w:rsidRDefault="00935F3E">
      <w:pPr>
        <w:rPr>
          <w:lang w:bidi="ar-SA"/>
        </w:rPr>
      </w:pPr>
      <w:r>
        <w:rPr>
          <w:lang w:bidi="ar-SA"/>
        </w:rPr>
        <w:t>It can be concluded that AI has been significant for analysing material usage/consumption patterns across customers that impacts the degree of waste accumulation. Predictive models of AI have been significant for forecasting the waste accumulation based on historical data. Companies using AI can anticipate forecasting future waste accumulation that could help in developing eco-friendly materials and advising customers to use the same. The secondary qualitative methodology will be effective in procuring holi</w:t>
      </w:r>
      <w:r>
        <w:rPr>
          <w:lang w:bidi="ar-SA"/>
        </w:rPr>
        <w:t xml:space="preserve">stic information on AI’s role in recovering/recycling materials. </w:t>
      </w:r>
    </w:p>
    <w:p w14:paraId="2F0A7ABD" w14:textId="77777777" w:rsidR="00DC323E" w:rsidRDefault="00935F3E">
      <w:pPr>
        <w:pStyle w:val="Heading1"/>
      </w:pPr>
      <w:r>
        <w:t xml:space="preserve"> </w:t>
      </w:r>
    </w:p>
    <w:p w14:paraId="2F0A7ABE" w14:textId="77777777" w:rsidR="00DC323E" w:rsidRDefault="00935F3E">
      <w:r>
        <w:br w:type="page"/>
      </w:r>
    </w:p>
    <w:p w14:paraId="2F0A7ABF" w14:textId="77777777" w:rsidR="00DC323E" w:rsidRDefault="00935F3E">
      <w:pPr>
        <w:pStyle w:val="Heading1"/>
      </w:pPr>
      <w:bookmarkStart w:id="57" w:name="_d0eh9jwwbmb8" w:colFirst="0" w:colLast="0"/>
      <w:bookmarkStart w:id="58" w:name="_Toc213593838"/>
      <w:bookmarkEnd w:id="57"/>
      <w:r>
        <w:lastRenderedPageBreak/>
        <w:t>References</w:t>
      </w:r>
      <w:bookmarkEnd w:id="58"/>
    </w:p>
    <w:p w14:paraId="2F0A7AC0" w14:textId="77777777" w:rsidR="00DC323E" w:rsidRDefault="00935F3E">
      <w:pPr>
        <w:spacing w:after="240"/>
        <w:rPr>
          <w:u w:val="single"/>
        </w:rPr>
      </w:pPr>
      <w:r>
        <w:t xml:space="preserve">Arun, M., Barik, D. and Chandran, S.S. (2024) ‘Exploration of material recovery framework from waste–A revolutionary move towards clean environment’, </w:t>
      </w:r>
      <w:r>
        <w:rPr>
          <w:i/>
        </w:rPr>
        <w:t>Chemical Engineering Journal Advances</w:t>
      </w:r>
      <w:r>
        <w:t xml:space="preserve">, </w:t>
      </w:r>
      <w:r>
        <w:rPr>
          <w:i/>
        </w:rPr>
        <w:t>18</w:t>
      </w:r>
      <w:r>
        <w:t xml:space="preserve">, p.100589. DOI: </w:t>
      </w:r>
      <w:hyperlink r:id="rId14">
        <w:r>
          <w:rPr>
            <w:u w:val="single"/>
          </w:rPr>
          <w:t>https://doi.org/10.1016/j.rineng.2025.104018</w:t>
        </w:r>
      </w:hyperlink>
    </w:p>
    <w:p w14:paraId="2F0A7AC1" w14:textId="77777777" w:rsidR="00DC323E" w:rsidRDefault="00935F3E">
      <w:pPr>
        <w:spacing w:after="240"/>
        <w:rPr>
          <w:lang w:val="en-IN"/>
        </w:rPr>
      </w:pPr>
      <w:proofErr w:type="spellStart"/>
      <w:r>
        <w:rPr>
          <w:lang w:val="en-IN"/>
        </w:rPr>
        <w:t>Bouncken</w:t>
      </w:r>
      <w:proofErr w:type="spellEnd"/>
      <w:r>
        <w:rPr>
          <w:lang w:val="en-IN"/>
        </w:rPr>
        <w:t xml:space="preserve">, R.B., </w:t>
      </w:r>
      <w:proofErr w:type="spellStart"/>
      <w:r>
        <w:rPr>
          <w:lang w:val="en-IN"/>
        </w:rPr>
        <w:t>Czakon</w:t>
      </w:r>
      <w:proofErr w:type="spellEnd"/>
      <w:r>
        <w:rPr>
          <w:lang w:val="en-IN"/>
        </w:rPr>
        <w:t xml:space="preserve">, W. and Schmitt, F., (2025). Purposeful sampling and saturation in qualitative research methodologies: recommendations and review. </w:t>
      </w:r>
      <w:r>
        <w:rPr>
          <w:i/>
          <w:iCs/>
          <w:lang w:val="en-IN"/>
        </w:rPr>
        <w:t>Review of Managerial Science</w:t>
      </w:r>
      <w:r>
        <w:rPr>
          <w:lang w:val="en-IN"/>
        </w:rPr>
        <w:t>, pp.1-37.</w:t>
      </w:r>
    </w:p>
    <w:p w14:paraId="2F0A7AC2" w14:textId="77777777" w:rsidR="00DC323E" w:rsidRDefault="00935F3E">
      <w:pPr>
        <w:spacing w:after="240"/>
        <w:rPr>
          <w:lang w:val="en-IN"/>
        </w:rPr>
      </w:pPr>
      <w:proofErr w:type="spellStart"/>
      <w:r>
        <w:rPr>
          <w:lang w:val="en-IN"/>
        </w:rPr>
        <w:t>Fatorachian</w:t>
      </w:r>
      <w:proofErr w:type="spellEnd"/>
      <w:r>
        <w:rPr>
          <w:lang w:val="en-IN"/>
        </w:rPr>
        <w:t xml:space="preserve">, H. and Pawar, K., (2025). Sustainable cold chain management: An evaluation of predictive waste management models. </w:t>
      </w:r>
      <w:r>
        <w:rPr>
          <w:i/>
          <w:iCs/>
          <w:lang w:val="en-IN"/>
        </w:rPr>
        <w:t>Applied Sciences</w:t>
      </w:r>
      <w:r>
        <w:rPr>
          <w:lang w:val="en-IN"/>
        </w:rPr>
        <w:t xml:space="preserve">, </w:t>
      </w:r>
      <w:r>
        <w:rPr>
          <w:i/>
          <w:iCs/>
          <w:lang w:val="en-IN"/>
        </w:rPr>
        <w:t>15</w:t>
      </w:r>
      <w:r>
        <w:rPr>
          <w:lang w:val="en-IN"/>
        </w:rPr>
        <w:t>(2), p.770.</w:t>
      </w:r>
    </w:p>
    <w:p w14:paraId="2F0A7AC3" w14:textId="77777777" w:rsidR="00DC323E" w:rsidRDefault="00935F3E">
      <w:pPr>
        <w:spacing w:after="240"/>
        <w:rPr>
          <w:u w:val="single"/>
        </w:rPr>
      </w:pPr>
      <w:r>
        <w:t xml:space="preserve">Gündüzyeli, B. (2024) ‘Artificial Intelligence in Digital Marketing Within the Framework of Sustainable Management’, </w:t>
      </w:r>
      <w:r>
        <w:rPr>
          <w:i/>
        </w:rPr>
        <w:t>Sustainability</w:t>
      </w:r>
      <w:r>
        <w:t xml:space="preserve">, </w:t>
      </w:r>
      <w:r>
        <w:rPr>
          <w:i/>
        </w:rPr>
        <w:t>16</w:t>
      </w:r>
      <w:r>
        <w:t xml:space="preserve">(23), p.10511. DOI: </w:t>
      </w:r>
      <w:hyperlink r:id="rId15">
        <w:r>
          <w:rPr>
            <w:u w:val="single"/>
          </w:rPr>
          <w:t>https://doi.org/10.3390/su162310511</w:t>
        </w:r>
      </w:hyperlink>
    </w:p>
    <w:p w14:paraId="2F0A7AC4" w14:textId="77777777" w:rsidR="00DC323E" w:rsidRDefault="00935F3E">
      <w:pPr>
        <w:spacing w:after="240"/>
        <w:rPr>
          <w:u w:val="single"/>
        </w:rPr>
      </w:pPr>
      <w:proofErr w:type="spellStart"/>
      <w:r>
        <w:t>Lakhouit</w:t>
      </w:r>
      <w:proofErr w:type="spellEnd"/>
      <w:r>
        <w:t xml:space="preserve">, A. (2025) ‘Revolutionizing urban solid waste management with AI and IoT: a review of smart solutions for waste collection, sorting, and recycling’, </w:t>
      </w:r>
      <w:r>
        <w:rPr>
          <w:i/>
        </w:rPr>
        <w:t>Results in Engineering</w:t>
      </w:r>
      <w:r>
        <w:t xml:space="preserve">, p.104018. DOI: </w:t>
      </w:r>
      <w:hyperlink r:id="rId16">
        <w:r>
          <w:rPr>
            <w:u w:val="single"/>
          </w:rPr>
          <w:t>https://doi.org/10.1016/j.rineng.2025.104018</w:t>
        </w:r>
      </w:hyperlink>
    </w:p>
    <w:p w14:paraId="2F0A7AC5" w14:textId="77777777" w:rsidR="00DC323E" w:rsidRDefault="00935F3E">
      <w:pPr>
        <w:spacing w:after="240"/>
        <w:rPr>
          <w:lang w:val="en-IN"/>
        </w:rPr>
      </w:pPr>
      <w:r>
        <w:rPr>
          <w:lang w:val="en-IN"/>
        </w:rPr>
        <w:t xml:space="preserve">Lim, W.M., (2025). What is qualitative research? An overview and guidelines. </w:t>
      </w:r>
      <w:r>
        <w:rPr>
          <w:i/>
          <w:iCs/>
          <w:lang w:val="en-IN"/>
        </w:rPr>
        <w:t>Australasian Marketing Journal</w:t>
      </w:r>
      <w:r>
        <w:rPr>
          <w:lang w:val="en-IN"/>
        </w:rPr>
        <w:t xml:space="preserve">, </w:t>
      </w:r>
      <w:r>
        <w:rPr>
          <w:i/>
          <w:iCs/>
          <w:lang w:val="en-IN"/>
        </w:rPr>
        <w:t>33</w:t>
      </w:r>
      <w:r>
        <w:rPr>
          <w:lang w:val="en-IN"/>
        </w:rPr>
        <w:t>(2), pp.199-229.</w:t>
      </w:r>
    </w:p>
    <w:p w14:paraId="2F0A7AC6" w14:textId="77777777" w:rsidR="00DC323E" w:rsidRDefault="00935F3E">
      <w:pPr>
        <w:spacing w:after="240"/>
        <w:rPr>
          <w:u w:val="single"/>
        </w:rPr>
      </w:pPr>
      <w:proofErr w:type="spellStart"/>
      <w:r>
        <w:t>Nilashi</w:t>
      </w:r>
      <w:proofErr w:type="spellEnd"/>
      <w:r>
        <w:t xml:space="preserve">, M., Baabdullah, A.M., </w:t>
      </w:r>
      <w:proofErr w:type="spellStart"/>
      <w:r>
        <w:t>Abumalloh</w:t>
      </w:r>
      <w:proofErr w:type="spellEnd"/>
      <w:r>
        <w:t xml:space="preserve">, R.A., Ooi, K.B., Tan, G.W.H., Giannakis, M. and Dwivedi, Y.K. (2025) ‘How can big data and predictive analytics impact the performance and competitive advantage of the food waste and recycling industry?’, </w:t>
      </w:r>
      <w:r>
        <w:rPr>
          <w:i/>
        </w:rPr>
        <w:t>Annals of Operations Research</w:t>
      </w:r>
      <w:r>
        <w:t xml:space="preserve">, </w:t>
      </w:r>
      <w:r>
        <w:rPr>
          <w:i/>
        </w:rPr>
        <w:t>348</w:t>
      </w:r>
      <w:r>
        <w:t>(3), pp.1649-1690. DOI:</w:t>
      </w:r>
      <w:hyperlink r:id="rId17">
        <w:r>
          <w:t xml:space="preserve"> </w:t>
        </w:r>
      </w:hyperlink>
      <w:hyperlink r:id="rId18">
        <w:r>
          <w:rPr>
            <w:u w:val="single"/>
          </w:rPr>
          <w:t>https://doi.org/10.1007/s10479-023-05272-y</w:t>
        </w:r>
      </w:hyperlink>
    </w:p>
    <w:p w14:paraId="2F0A7AC7" w14:textId="77777777" w:rsidR="00DC323E" w:rsidRDefault="00935F3E">
      <w:pPr>
        <w:spacing w:after="240"/>
        <w:rPr>
          <w:u w:val="single"/>
        </w:rPr>
      </w:pPr>
      <w:r>
        <w:t xml:space="preserve">Page, M.J., McKenzie, J.E., Bossuyt, P.M., </w:t>
      </w:r>
      <w:proofErr w:type="spellStart"/>
      <w:r>
        <w:t>Boutron</w:t>
      </w:r>
      <w:proofErr w:type="spellEnd"/>
      <w:r>
        <w:t xml:space="preserve">, I., Hoffmann, T.C., Mulrow, C.D., </w:t>
      </w:r>
      <w:proofErr w:type="spellStart"/>
      <w:r>
        <w:t>Shamseer</w:t>
      </w:r>
      <w:proofErr w:type="spellEnd"/>
      <w:r>
        <w:t xml:space="preserve">, L., Tetzlaff, J.M., Akl, E.A., Brennan, S.E. and Chou, R. (2021) ‘The PRISMA 2020 statement: an updated guideline for reporting systematic reviews’, </w:t>
      </w:r>
      <w:proofErr w:type="spellStart"/>
      <w:r>
        <w:rPr>
          <w:i/>
        </w:rPr>
        <w:t>bmj</w:t>
      </w:r>
      <w:proofErr w:type="spellEnd"/>
      <w:r>
        <w:t xml:space="preserve">, </w:t>
      </w:r>
      <w:r>
        <w:rPr>
          <w:i/>
        </w:rPr>
        <w:t>372</w:t>
      </w:r>
      <w:r>
        <w:t xml:space="preserve">. DOI: DOI: </w:t>
      </w:r>
      <w:hyperlink r:id="rId19">
        <w:r>
          <w:rPr>
            <w:u w:val="single"/>
          </w:rPr>
          <w:t>http://dx.doi.org/10.1136/bmj.n71</w:t>
        </w:r>
      </w:hyperlink>
    </w:p>
    <w:p w14:paraId="2F0A7AC8" w14:textId="77777777" w:rsidR="00DC323E" w:rsidRDefault="00935F3E">
      <w:pPr>
        <w:spacing w:after="240"/>
      </w:pPr>
      <w:r>
        <w:rPr>
          <w:lang w:val="en-IN"/>
        </w:rPr>
        <w:lastRenderedPageBreak/>
        <w:t xml:space="preserve">Pervin, N. and Mokhtar, M., (2022). ‘The interpretivist research paradigm: A subjective notion of a social context’. </w:t>
      </w:r>
      <w:r>
        <w:rPr>
          <w:i/>
          <w:iCs/>
          <w:lang w:val="en-IN"/>
        </w:rPr>
        <w:t>International Journal of Academic Research in Progressive Education and Development</w:t>
      </w:r>
      <w:r>
        <w:rPr>
          <w:lang w:val="en-IN"/>
        </w:rPr>
        <w:t xml:space="preserve">, </w:t>
      </w:r>
      <w:r>
        <w:rPr>
          <w:i/>
          <w:iCs/>
          <w:lang w:val="en-IN"/>
        </w:rPr>
        <w:t>11</w:t>
      </w:r>
      <w:r>
        <w:rPr>
          <w:lang w:val="en-IN"/>
        </w:rPr>
        <w:t xml:space="preserve">(2), pp.419-428. </w:t>
      </w:r>
      <w:r>
        <w:t xml:space="preserve">DOI: </w:t>
      </w:r>
      <w:hyperlink r:id="rId20" w:history="1">
        <w:r>
          <w:rPr>
            <w:rStyle w:val="Hyperlink"/>
            <w:color w:val="auto"/>
            <w:lang w:val="en-IN"/>
          </w:rPr>
          <w:t>http://dx.doi.org/10.6007/IJARPED/v11-i2/12938</w:t>
        </w:r>
      </w:hyperlink>
      <w:r>
        <w:rPr>
          <w:lang w:val="en-IN"/>
        </w:rPr>
        <w:t xml:space="preserve"> </w:t>
      </w:r>
    </w:p>
    <w:p w14:paraId="2F0A7AC9" w14:textId="77777777" w:rsidR="00DC323E" w:rsidRDefault="00935F3E">
      <w:pPr>
        <w:spacing w:after="240"/>
        <w:rPr>
          <w:lang w:val="en-IN"/>
        </w:rPr>
      </w:pPr>
      <w:r>
        <w:rPr>
          <w:lang w:val="en-IN"/>
        </w:rPr>
        <w:t xml:space="preserve">Potwora, M., </w:t>
      </w:r>
      <w:proofErr w:type="spellStart"/>
      <w:r>
        <w:rPr>
          <w:lang w:val="en-IN"/>
        </w:rPr>
        <w:t>Vdovichena</w:t>
      </w:r>
      <w:proofErr w:type="spellEnd"/>
      <w:r>
        <w:rPr>
          <w:lang w:val="en-IN"/>
        </w:rPr>
        <w:t xml:space="preserve">, O., Semchuk, D., </w:t>
      </w:r>
      <w:proofErr w:type="spellStart"/>
      <w:r>
        <w:rPr>
          <w:lang w:val="en-IN"/>
        </w:rPr>
        <w:t>Lipych</w:t>
      </w:r>
      <w:proofErr w:type="spellEnd"/>
      <w:r>
        <w:rPr>
          <w:lang w:val="en-IN"/>
        </w:rPr>
        <w:t xml:space="preserve">, L. and Saienko, V., (2024). ‘The use of artificial intelligence in marketing strategies: Automation, personalization and forecasting.’ </w:t>
      </w:r>
      <w:r>
        <w:rPr>
          <w:i/>
          <w:iCs/>
          <w:lang w:val="en-IN"/>
        </w:rPr>
        <w:t>Journal of Management World</w:t>
      </w:r>
      <w:r>
        <w:rPr>
          <w:lang w:val="en-IN"/>
        </w:rPr>
        <w:t xml:space="preserve">, </w:t>
      </w:r>
      <w:r>
        <w:rPr>
          <w:i/>
          <w:iCs/>
          <w:lang w:val="en-IN"/>
        </w:rPr>
        <w:t>2</w:t>
      </w:r>
      <w:r>
        <w:rPr>
          <w:lang w:val="en-IN"/>
        </w:rPr>
        <w:t xml:space="preserve">, pp.41-49. </w:t>
      </w:r>
      <w:r>
        <w:t xml:space="preserve">DOI: </w:t>
      </w:r>
      <w:hyperlink r:id="rId21" w:history="1">
        <w:r>
          <w:rPr>
            <w:rStyle w:val="Hyperlink"/>
            <w:color w:val="auto"/>
            <w:lang w:val="en-IN"/>
          </w:rPr>
          <w:t>http://doi.org/10.53935/jomw.v2024i2.275</w:t>
        </w:r>
      </w:hyperlink>
      <w:r>
        <w:rPr>
          <w:lang w:val="en-IN"/>
        </w:rPr>
        <w:t xml:space="preserve">  </w:t>
      </w:r>
    </w:p>
    <w:p w14:paraId="2F0A7ACA" w14:textId="77777777" w:rsidR="00DC323E" w:rsidRDefault="00935F3E">
      <w:pPr>
        <w:spacing w:after="240"/>
      </w:pPr>
      <w:proofErr w:type="spellStart"/>
      <w:r>
        <w:t>Rethlefsen</w:t>
      </w:r>
      <w:proofErr w:type="spellEnd"/>
      <w:r>
        <w:t xml:space="preserve">, M.L., Kirtley, S., Waffenschmidt, S., Ayala, A.P., Moher, D., Page, M.J. and Koffel, J.B. (2021) ‘PRISMA-S: an extension to the PRISMA statement for reporting literature searches in systematic reviews’, </w:t>
      </w:r>
      <w:r>
        <w:rPr>
          <w:i/>
        </w:rPr>
        <w:t>Systematic reviews</w:t>
      </w:r>
      <w:r>
        <w:t xml:space="preserve">, </w:t>
      </w:r>
      <w:r>
        <w:rPr>
          <w:i/>
        </w:rPr>
        <w:t>10</w:t>
      </w:r>
      <w:r>
        <w:t xml:space="preserve">(1), p.39. DOI: </w:t>
      </w:r>
      <w:hyperlink r:id="rId22">
        <w:r>
          <w:rPr>
            <w:u w:val="single"/>
          </w:rPr>
          <w:t>https://doi.org/10.1186/s13643-020-01542-z</w:t>
        </w:r>
      </w:hyperlink>
    </w:p>
    <w:p w14:paraId="2F0A7ACB" w14:textId="77777777" w:rsidR="00DC323E" w:rsidRDefault="00935F3E">
      <w:pPr>
        <w:spacing w:after="240"/>
        <w:rPr>
          <w:u w:val="single"/>
        </w:rPr>
      </w:pPr>
      <w:r>
        <w:t xml:space="preserve">Sheikh, A., </w:t>
      </w:r>
      <w:proofErr w:type="spellStart"/>
      <w:r>
        <w:t>Simske</w:t>
      </w:r>
      <w:proofErr w:type="spellEnd"/>
      <w:r>
        <w:t xml:space="preserve">, S.J. and Chong, E.K. (2024) ‘Evaluating artificial intelligence models for resource allocation in circular economy digital marketplace’, </w:t>
      </w:r>
      <w:r>
        <w:rPr>
          <w:i/>
        </w:rPr>
        <w:t>Sustainability</w:t>
      </w:r>
      <w:r>
        <w:t xml:space="preserve">, </w:t>
      </w:r>
      <w:r>
        <w:rPr>
          <w:i/>
        </w:rPr>
        <w:t>16</w:t>
      </w:r>
      <w:r>
        <w:t>(23), p.10601. DOI:</w:t>
      </w:r>
      <w:hyperlink r:id="rId23">
        <w:r>
          <w:t xml:space="preserve"> </w:t>
        </w:r>
      </w:hyperlink>
      <w:hyperlink r:id="rId24">
        <w:r>
          <w:rPr>
            <w:u w:val="single"/>
          </w:rPr>
          <w:t>https://doi.org/10.3390/su162310601</w:t>
        </w:r>
      </w:hyperlink>
    </w:p>
    <w:p w14:paraId="2F0A7ACC" w14:textId="77777777" w:rsidR="00DC323E" w:rsidRDefault="00935F3E">
      <w:pPr>
        <w:spacing w:after="240"/>
        <w:rPr>
          <w:lang w:val="en-IN"/>
        </w:rPr>
      </w:pPr>
      <w:proofErr w:type="spellStart"/>
      <w:r>
        <w:rPr>
          <w:lang w:val="en-IN"/>
        </w:rPr>
        <w:t>Singagerda</w:t>
      </w:r>
      <w:proofErr w:type="spellEnd"/>
      <w:r>
        <w:rPr>
          <w:lang w:val="en-IN"/>
        </w:rPr>
        <w:t xml:space="preserve">, F.S., Dewi, D.A., </w:t>
      </w:r>
      <w:proofErr w:type="spellStart"/>
      <w:r>
        <w:rPr>
          <w:lang w:val="en-IN"/>
        </w:rPr>
        <w:t>Trisnawati</w:t>
      </w:r>
      <w:proofErr w:type="spellEnd"/>
      <w:r>
        <w:rPr>
          <w:lang w:val="en-IN"/>
        </w:rPr>
        <w:t xml:space="preserve">, S., </w:t>
      </w:r>
      <w:proofErr w:type="spellStart"/>
      <w:r>
        <w:rPr>
          <w:lang w:val="en-IN"/>
        </w:rPr>
        <w:t>Septarina</w:t>
      </w:r>
      <w:proofErr w:type="spellEnd"/>
      <w:r>
        <w:rPr>
          <w:lang w:val="en-IN"/>
        </w:rPr>
        <w:t xml:space="preserve">, L. and </w:t>
      </w:r>
      <w:proofErr w:type="spellStart"/>
      <w:r>
        <w:rPr>
          <w:lang w:val="en-IN"/>
        </w:rPr>
        <w:t>Dhika</w:t>
      </w:r>
      <w:proofErr w:type="spellEnd"/>
      <w:r>
        <w:rPr>
          <w:lang w:val="en-IN"/>
        </w:rPr>
        <w:t xml:space="preserve">, M.R., (2025). ‘Towards a circular economy: integration of AI in waste management for sustainable urban growth.’ </w:t>
      </w:r>
      <w:r>
        <w:rPr>
          <w:i/>
          <w:iCs/>
          <w:lang w:val="en-IN"/>
        </w:rPr>
        <w:t>Journal of Lifestyle and SDGs Review</w:t>
      </w:r>
      <w:r>
        <w:rPr>
          <w:lang w:val="en-IN"/>
        </w:rPr>
        <w:t xml:space="preserve">, </w:t>
      </w:r>
      <w:r>
        <w:rPr>
          <w:i/>
          <w:iCs/>
          <w:lang w:val="en-IN"/>
        </w:rPr>
        <w:t>5</w:t>
      </w:r>
      <w:r>
        <w:rPr>
          <w:lang w:val="en-IN"/>
        </w:rPr>
        <w:t xml:space="preserve">(1), </w:t>
      </w:r>
      <w:proofErr w:type="gramStart"/>
      <w:r>
        <w:rPr>
          <w:lang w:val="en-IN"/>
        </w:rPr>
        <w:t>pp.e</w:t>
      </w:r>
      <w:proofErr w:type="gramEnd"/>
      <w:r>
        <w:rPr>
          <w:lang w:val="en-IN"/>
        </w:rPr>
        <w:t xml:space="preserve">02642-e02642. </w:t>
      </w:r>
      <w:r>
        <w:t>DOI:</w:t>
      </w:r>
      <w:r>
        <w:rPr>
          <w:lang w:val="en-IN"/>
        </w:rPr>
        <w:t xml:space="preserve"> </w:t>
      </w:r>
      <w:hyperlink r:id="rId25" w:history="1">
        <w:r>
          <w:rPr>
            <w:rStyle w:val="Hyperlink"/>
            <w:color w:val="auto"/>
            <w:lang w:val="en-IN"/>
          </w:rPr>
          <w:t>https://doi.org/10.47172/2965-730X.SDGsReview.v5.n01.pe02642</w:t>
        </w:r>
      </w:hyperlink>
      <w:r>
        <w:rPr>
          <w:lang w:val="en-IN"/>
        </w:rPr>
        <w:t> </w:t>
      </w:r>
    </w:p>
    <w:p w14:paraId="2F0A7ACD" w14:textId="77777777" w:rsidR="00DC323E" w:rsidRDefault="00935F3E">
      <w:pPr>
        <w:spacing w:after="240"/>
        <w:rPr>
          <w:u w:val="single"/>
        </w:rPr>
      </w:pPr>
      <w:r>
        <w:t xml:space="preserve">Sohrabi, C., Franchi, T., Mathew, G., Kerwan, A., Nicola, M., Griffin, M., Agha, M. and Agha, R. (2021) ‘PRISMA 2020 statement: What's new and the importance of reporting guidelines’, </w:t>
      </w:r>
      <w:r>
        <w:rPr>
          <w:i/>
        </w:rPr>
        <w:t>International Journal of Surgery</w:t>
      </w:r>
      <w:r>
        <w:t xml:space="preserve">, </w:t>
      </w:r>
      <w:r>
        <w:rPr>
          <w:i/>
        </w:rPr>
        <w:t>88</w:t>
      </w:r>
      <w:r>
        <w:t xml:space="preserve">, p.105918. DOI: </w:t>
      </w:r>
      <w:hyperlink r:id="rId26">
        <w:r>
          <w:rPr>
            <w:u w:val="single"/>
          </w:rPr>
          <w:t>https://doi.org/10.1016/j.ijsu.2021.105918</w:t>
        </w:r>
      </w:hyperlink>
    </w:p>
    <w:p w14:paraId="2F0A7ACE" w14:textId="77777777" w:rsidR="00DC323E" w:rsidRDefault="00935F3E">
      <w:pPr>
        <w:spacing w:after="240"/>
        <w:rPr>
          <w:lang w:val="en-IN"/>
        </w:rPr>
      </w:pPr>
      <w:proofErr w:type="spellStart"/>
      <w:r>
        <w:rPr>
          <w:lang w:val="en-IN"/>
        </w:rPr>
        <w:t>Unep</w:t>
      </w:r>
      <w:proofErr w:type="spellEnd"/>
      <w:r>
        <w:rPr>
          <w:lang w:val="en-IN"/>
        </w:rPr>
        <w:t xml:space="preserve">, (2025). </w:t>
      </w:r>
      <w:r>
        <w:rPr>
          <w:i/>
          <w:iCs/>
          <w:lang w:val="en-IN"/>
        </w:rPr>
        <w:t xml:space="preserve">Global Waste Management Outlook (2024) </w:t>
      </w:r>
      <w:r>
        <w:rPr>
          <w:lang w:val="en-IN"/>
        </w:rPr>
        <w:t xml:space="preserve">Available at: </w:t>
      </w:r>
      <w:hyperlink r:id="rId27" w:history="1">
        <w:r>
          <w:rPr>
            <w:rStyle w:val="Hyperlink"/>
            <w:color w:val="auto"/>
            <w:lang w:val="en-IN"/>
          </w:rPr>
          <w:t>https://www.unep.org/resources/global-waste-management-outlook-(2024)</w:t>
        </w:r>
      </w:hyperlink>
      <w:r>
        <w:rPr>
          <w:lang w:val="en-IN"/>
        </w:rPr>
        <w:t xml:space="preserve"> [Accessed on: 08.11.2025]</w:t>
      </w:r>
    </w:p>
    <w:p w14:paraId="2F0A7ACF" w14:textId="77777777" w:rsidR="00DC323E" w:rsidRDefault="00DC323E">
      <w:pPr>
        <w:spacing w:after="240"/>
        <w:rPr>
          <w:lang w:val="en-IN"/>
        </w:rPr>
      </w:pPr>
    </w:p>
    <w:p w14:paraId="2F0A7AD0" w14:textId="77777777" w:rsidR="00DC323E" w:rsidRDefault="00DC323E">
      <w:pPr>
        <w:spacing w:before="240" w:after="240"/>
      </w:pPr>
    </w:p>
    <w:p w14:paraId="2F0A7AD1" w14:textId="77777777" w:rsidR="00DC323E" w:rsidRDefault="00935F3E">
      <w:pPr>
        <w:rPr>
          <w:u w:val="single"/>
        </w:rPr>
      </w:pPr>
      <w:r>
        <w:rPr>
          <w:u w:val="single"/>
        </w:rPr>
        <w:br w:type="page"/>
      </w:r>
    </w:p>
    <w:p w14:paraId="2F0A7AD2" w14:textId="77777777" w:rsidR="00DC323E" w:rsidRDefault="00935F3E">
      <w:pPr>
        <w:pStyle w:val="Heading1"/>
      </w:pPr>
      <w:bookmarkStart w:id="59" w:name="_Toc213593839"/>
      <w:r>
        <w:lastRenderedPageBreak/>
        <w:t>Appendices</w:t>
      </w:r>
      <w:bookmarkEnd w:id="59"/>
    </w:p>
    <w:p w14:paraId="2F0A7AD3" w14:textId="77777777" w:rsidR="00DC323E" w:rsidRDefault="00935F3E">
      <w:pPr>
        <w:pStyle w:val="Heading2"/>
      </w:pPr>
      <w:bookmarkStart w:id="60" w:name="_Toc213593840"/>
      <w:r>
        <w:t>Appendix 1: PRISMA</w:t>
      </w:r>
      <w:bookmarkEnd w:id="60"/>
    </w:p>
    <w:p w14:paraId="2F0A7AD4" w14:textId="77777777" w:rsidR="00DC323E" w:rsidRDefault="00935F3E">
      <w:pPr>
        <w:jc w:val="center"/>
      </w:pPr>
      <w:r>
        <w:rPr>
          <w:noProof/>
        </w:rPr>
        <w:drawing>
          <wp:inline distT="0" distB="0" distL="0" distR="0" wp14:anchorId="2F0A7B3F" wp14:editId="2F0A7B40">
            <wp:extent cx="5943600" cy="4202430"/>
            <wp:effectExtent l="19050" t="19050" r="19050" b="26670"/>
            <wp:docPr id="905832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832074" name="Picture 1"/>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4202430"/>
                    </a:xfrm>
                    <a:prstGeom prst="rect">
                      <a:avLst/>
                    </a:prstGeom>
                    <a:ln>
                      <a:solidFill>
                        <a:schemeClr val="tx1"/>
                      </a:solidFill>
                    </a:ln>
                  </pic:spPr>
                </pic:pic>
              </a:graphicData>
            </a:graphic>
          </wp:inline>
        </w:drawing>
      </w:r>
    </w:p>
    <w:p w14:paraId="2F0A7AD5" w14:textId="77777777" w:rsidR="00DC323E" w:rsidRDefault="00935F3E">
      <w:pPr>
        <w:jc w:val="center"/>
      </w:pPr>
      <w:r>
        <w:t>(Source: Self-developed)</w:t>
      </w:r>
    </w:p>
    <w:p w14:paraId="2F0A7AD6" w14:textId="77777777" w:rsidR="00DC323E" w:rsidRDefault="00935F3E">
      <w:pPr>
        <w:pStyle w:val="Heading2"/>
      </w:pPr>
      <w:bookmarkStart w:id="61" w:name="_Toc213593841"/>
      <w:r>
        <w:t>Appendix 2: Timeframe</w:t>
      </w:r>
      <w:bookmarkEnd w:id="61"/>
    </w:p>
    <w:tbl>
      <w:tblPr>
        <w:tblW w:w="9025" w:type="dxa"/>
        <w:jc w:val="center"/>
        <w:tblLayout w:type="fixed"/>
        <w:tblLook w:val="04A0" w:firstRow="1" w:lastRow="0" w:firstColumn="1" w:lastColumn="0" w:noHBand="0" w:noVBand="1"/>
      </w:tblPr>
      <w:tblGrid>
        <w:gridCol w:w="1771"/>
        <w:gridCol w:w="906"/>
        <w:gridCol w:w="906"/>
        <w:gridCol w:w="907"/>
        <w:gridCol w:w="907"/>
        <w:gridCol w:w="907"/>
        <w:gridCol w:w="907"/>
        <w:gridCol w:w="907"/>
        <w:gridCol w:w="907"/>
      </w:tblGrid>
      <w:tr w:rsidR="00DC323E" w14:paraId="2F0A7AE0" w14:textId="77777777">
        <w:trPr>
          <w:trHeight w:val="1175"/>
          <w:jc w:val="center"/>
        </w:trPr>
        <w:tc>
          <w:tcPr>
            <w:tcW w:w="17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0A7AD7" w14:textId="77777777" w:rsidR="00DC323E" w:rsidRDefault="00935F3E">
            <w:pPr>
              <w:pStyle w:val="Normal1"/>
              <w:spacing w:before="120" w:after="120" w:line="360" w:lineRule="auto"/>
              <w:jc w:val="center"/>
              <w:rPr>
                <w:rFonts w:ascii="Times New Roman" w:hAnsi="Times New Roman" w:cs="Times New Roman"/>
                <w:b/>
                <w:sz w:val="20"/>
                <w:szCs w:val="20"/>
                <w:lang w:val="en-AU"/>
              </w:rPr>
            </w:pPr>
            <w:r>
              <w:rPr>
                <w:rFonts w:ascii="Times New Roman" w:hAnsi="Times New Roman" w:cs="Times New Roman"/>
                <w:b/>
                <w:sz w:val="20"/>
                <w:szCs w:val="20"/>
                <w:lang w:val="en-AU"/>
              </w:rPr>
              <w:t>“Tasks”</w:t>
            </w:r>
          </w:p>
        </w:tc>
        <w:tc>
          <w:tcPr>
            <w:tcW w:w="90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F0A7AD8" w14:textId="77777777" w:rsidR="00DC323E" w:rsidRDefault="00935F3E">
            <w:pPr>
              <w:pStyle w:val="Normal1"/>
              <w:spacing w:before="120" w:after="120" w:line="360" w:lineRule="auto"/>
              <w:jc w:val="center"/>
              <w:rPr>
                <w:rFonts w:ascii="Times New Roman" w:hAnsi="Times New Roman" w:cs="Times New Roman"/>
                <w:b/>
                <w:sz w:val="20"/>
                <w:szCs w:val="20"/>
                <w:lang w:val="en-AU"/>
              </w:rPr>
            </w:pPr>
            <w:r>
              <w:rPr>
                <w:rFonts w:ascii="Times New Roman" w:hAnsi="Times New Roman" w:cs="Times New Roman"/>
                <w:b/>
                <w:sz w:val="20"/>
                <w:szCs w:val="20"/>
                <w:lang w:val="en-AU"/>
              </w:rPr>
              <w:t>“Week 1”</w:t>
            </w:r>
          </w:p>
        </w:tc>
        <w:tc>
          <w:tcPr>
            <w:tcW w:w="90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F0A7AD9" w14:textId="77777777" w:rsidR="00DC323E" w:rsidRDefault="00935F3E">
            <w:pPr>
              <w:pStyle w:val="Normal1"/>
              <w:spacing w:before="120" w:after="120" w:line="360" w:lineRule="auto"/>
              <w:jc w:val="center"/>
              <w:rPr>
                <w:rFonts w:ascii="Times New Roman" w:hAnsi="Times New Roman" w:cs="Times New Roman"/>
                <w:b/>
                <w:sz w:val="20"/>
                <w:szCs w:val="20"/>
                <w:lang w:val="en-AU"/>
              </w:rPr>
            </w:pPr>
            <w:r>
              <w:rPr>
                <w:rFonts w:ascii="Times New Roman" w:hAnsi="Times New Roman" w:cs="Times New Roman"/>
                <w:b/>
                <w:sz w:val="20"/>
                <w:szCs w:val="20"/>
                <w:lang w:val="en-AU"/>
              </w:rPr>
              <w:t>“Week 2”</w:t>
            </w:r>
          </w:p>
        </w:tc>
        <w:tc>
          <w:tcPr>
            <w:tcW w:w="90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F0A7ADA" w14:textId="77777777" w:rsidR="00DC323E" w:rsidRDefault="00935F3E">
            <w:pPr>
              <w:pStyle w:val="Normal1"/>
              <w:spacing w:before="120" w:after="120" w:line="360" w:lineRule="auto"/>
              <w:jc w:val="center"/>
              <w:rPr>
                <w:rFonts w:ascii="Times New Roman" w:hAnsi="Times New Roman" w:cs="Times New Roman"/>
                <w:b/>
                <w:sz w:val="20"/>
                <w:szCs w:val="20"/>
                <w:lang w:val="en-AU"/>
              </w:rPr>
            </w:pPr>
            <w:r>
              <w:rPr>
                <w:rFonts w:ascii="Times New Roman" w:hAnsi="Times New Roman" w:cs="Times New Roman"/>
                <w:b/>
                <w:sz w:val="20"/>
                <w:szCs w:val="20"/>
                <w:lang w:val="en-AU"/>
              </w:rPr>
              <w:t>“Week 3”</w:t>
            </w:r>
          </w:p>
        </w:tc>
        <w:tc>
          <w:tcPr>
            <w:tcW w:w="90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F0A7ADB" w14:textId="77777777" w:rsidR="00DC323E" w:rsidRDefault="00935F3E">
            <w:pPr>
              <w:pStyle w:val="Normal1"/>
              <w:spacing w:before="120" w:after="120" w:line="360" w:lineRule="auto"/>
              <w:jc w:val="center"/>
              <w:rPr>
                <w:rFonts w:ascii="Times New Roman" w:hAnsi="Times New Roman" w:cs="Times New Roman"/>
                <w:b/>
                <w:sz w:val="20"/>
                <w:szCs w:val="20"/>
                <w:lang w:val="en-AU"/>
              </w:rPr>
            </w:pPr>
            <w:r>
              <w:rPr>
                <w:rFonts w:ascii="Times New Roman" w:hAnsi="Times New Roman" w:cs="Times New Roman"/>
                <w:b/>
                <w:sz w:val="20"/>
                <w:szCs w:val="20"/>
                <w:lang w:val="en-AU"/>
              </w:rPr>
              <w:t>“Week 4”</w:t>
            </w:r>
          </w:p>
        </w:tc>
        <w:tc>
          <w:tcPr>
            <w:tcW w:w="90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F0A7ADC" w14:textId="77777777" w:rsidR="00DC323E" w:rsidRDefault="00935F3E">
            <w:pPr>
              <w:pStyle w:val="Normal1"/>
              <w:spacing w:before="120" w:after="120" w:line="360" w:lineRule="auto"/>
              <w:jc w:val="center"/>
              <w:rPr>
                <w:rFonts w:ascii="Times New Roman" w:hAnsi="Times New Roman" w:cs="Times New Roman"/>
                <w:b/>
                <w:sz w:val="20"/>
                <w:szCs w:val="20"/>
                <w:lang w:val="en-AU"/>
              </w:rPr>
            </w:pPr>
            <w:r>
              <w:rPr>
                <w:rFonts w:ascii="Times New Roman" w:hAnsi="Times New Roman" w:cs="Times New Roman"/>
                <w:b/>
                <w:sz w:val="20"/>
                <w:szCs w:val="20"/>
                <w:lang w:val="en-AU"/>
              </w:rPr>
              <w:t>“Week 5”</w:t>
            </w:r>
          </w:p>
        </w:tc>
        <w:tc>
          <w:tcPr>
            <w:tcW w:w="90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F0A7ADD" w14:textId="77777777" w:rsidR="00DC323E" w:rsidRDefault="00935F3E">
            <w:pPr>
              <w:pStyle w:val="Normal1"/>
              <w:spacing w:before="120" w:after="120" w:line="360" w:lineRule="auto"/>
              <w:jc w:val="center"/>
              <w:rPr>
                <w:rFonts w:ascii="Times New Roman" w:hAnsi="Times New Roman" w:cs="Times New Roman"/>
                <w:b/>
                <w:sz w:val="20"/>
                <w:szCs w:val="20"/>
                <w:lang w:val="en-AU"/>
              </w:rPr>
            </w:pPr>
            <w:r>
              <w:rPr>
                <w:rFonts w:ascii="Times New Roman" w:hAnsi="Times New Roman" w:cs="Times New Roman"/>
                <w:b/>
                <w:sz w:val="20"/>
                <w:szCs w:val="20"/>
                <w:lang w:val="en-AU"/>
              </w:rPr>
              <w:t>“Week 6”</w:t>
            </w:r>
          </w:p>
        </w:tc>
        <w:tc>
          <w:tcPr>
            <w:tcW w:w="90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F0A7ADE" w14:textId="77777777" w:rsidR="00DC323E" w:rsidRDefault="00935F3E">
            <w:pPr>
              <w:pStyle w:val="Normal1"/>
              <w:spacing w:before="120" w:after="120" w:line="360" w:lineRule="auto"/>
              <w:jc w:val="center"/>
              <w:rPr>
                <w:rFonts w:ascii="Times New Roman" w:hAnsi="Times New Roman" w:cs="Times New Roman"/>
                <w:b/>
                <w:sz w:val="20"/>
                <w:szCs w:val="20"/>
                <w:lang w:val="en-AU"/>
              </w:rPr>
            </w:pPr>
            <w:r>
              <w:rPr>
                <w:rFonts w:ascii="Times New Roman" w:hAnsi="Times New Roman" w:cs="Times New Roman"/>
                <w:b/>
                <w:sz w:val="20"/>
                <w:szCs w:val="20"/>
                <w:lang w:val="en-AU"/>
              </w:rPr>
              <w:t>“Week 7”</w:t>
            </w:r>
          </w:p>
        </w:tc>
        <w:tc>
          <w:tcPr>
            <w:tcW w:w="90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F0A7ADF" w14:textId="77777777" w:rsidR="00DC323E" w:rsidRDefault="00935F3E">
            <w:pPr>
              <w:pStyle w:val="Normal1"/>
              <w:spacing w:before="120" w:after="120" w:line="360" w:lineRule="auto"/>
              <w:jc w:val="center"/>
              <w:rPr>
                <w:rFonts w:ascii="Times New Roman" w:hAnsi="Times New Roman" w:cs="Times New Roman"/>
                <w:b/>
                <w:sz w:val="20"/>
                <w:szCs w:val="20"/>
                <w:lang w:val="en-AU"/>
              </w:rPr>
            </w:pPr>
            <w:r>
              <w:rPr>
                <w:rFonts w:ascii="Times New Roman" w:hAnsi="Times New Roman" w:cs="Times New Roman"/>
                <w:b/>
                <w:sz w:val="20"/>
                <w:szCs w:val="20"/>
                <w:lang w:val="en-AU"/>
              </w:rPr>
              <w:t>“Week 8”</w:t>
            </w:r>
          </w:p>
        </w:tc>
      </w:tr>
      <w:tr w:rsidR="00DC323E" w14:paraId="2F0A7AEA" w14:textId="77777777">
        <w:trPr>
          <w:trHeight w:val="1895"/>
          <w:jc w:val="center"/>
        </w:trPr>
        <w:tc>
          <w:tcPr>
            <w:tcW w:w="177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F0A7AE1" w14:textId="77777777" w:rsidR="00DC323E" w:rsidRDefault="00935F3E">
            <w:pPr>
              <w:pStyle w:val="Normal1"/>
              <w:spacing w:before="120" w:after="120" w:line="360" w:lineRule="auto"/>
              <w:jc w:val="center"/>
              <w:rPr>
                <w:rFonts w:ascii="Times New Roman" w:hAnsi="Times New Roman" w:cs="Times New Roman"/>
                <w:b/>
                <w:sz w:val="20"/>
                <w:szCs w:val="20"/>
                <w:lang w:val="en-AU"/>
              </w:rPr>
            </w:pPr>
            <w:r>
              <w:rPr>
                <w:rFonts w:ascii="Times New Roman" w:hAnsi="Times New Roman" w:cs="Times New Roman"/>
                <w:b/>
                <w:sz w:val="20"/>
                <w:szCs w:val="20"/>
                <w:lang w:val="en-AU"/>
              </w:rPr>
              <w:t>Establishing aims and objectives for the research</w:t>
            </w:r>
          </w:p>
        </w:tc>
        <w:tc>
          <w:tcPr>
            <w:tcW w:w="906" w:type="dxa"/>
            <w:tcBorders>
              <w:top w:val="nil"/>
              <w:left w:val="nil"/>
              <w:bottom w:val="single" w:sz="8" w:space="0" w:color="000000"/>
              <w:right w:val="single" w:sz="8" w:space="0" w:color="000000"/>
            </w:tcBorders>
            <w:shd w:val="clear" w:color="auto" w:fill="C2D69B"/>
            <w:tcMar>
              <w:top w:w="100" w:type="dxa"/>
              <w:left w:w="100" w:type="dxa"/>
              <w:bottom w:w="100" w:type="dxa"/>
              <w:right w:w="100" w:type="dxa"/>
            </w:tcMar>
          </w:tcPr>
          <w:p w14:paraId="2F0A7AE2"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6" w:type="dxa"/>
            <w:tcBorders>
              <w:top w:val="nil"/>
              <w:left w:val="nil"/>
              <w:bottom w:val="single" w:sz="8" w:space="0" w:color="000000"/>
              <w:right w:val="single" w:sz="8" w:space="0" w:color="000000"/>
            </w:tcBorders>
            <w:tcMar>
              <w:top w:w="100" w:type="dxa"/>
              <w:left w:w="100" w:type="dxa"/>
              <w:bottom w:w="100" w:type="dxa"/>
              <w:right w:w="100" w:type="dxa"/>
            </w:tcMar>
          </w:tcPr>
          <w:p w14:paraId="2F0A7AE3"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AE4"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AE5"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AE6"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AE7"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AE8"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AE9"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r>
      <w:tr w:rsidR="00DC323E" w14:paraId="2F0A7AF4" w14:textId="77777777">
        <w:trPr>
          <w:trHeight w:val="1895"/>
          <w:jc w:val="center"/>
        </w:trPr>
        <w:tc>
          <w:tcPr>
            <w:tcW w:w="177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F0A7AEB" w14:textId="77777777" w:rsidR="00DC323E" w:rsidRDefault="00935F3E">
            <w:pPr>
              <w:pStyle w:val="Normal1"/>
              <w:spacing w:before="120" w:after="120" w:line="360" w:lineRule="auto"/>
              <w:jc w:val="center"/>
              <w:rPr>
                <w:rFonts w:ascii="Times New Roman" w:hAnsi="Times New Roman" w:cs="Times New Roman"/>
                <w:b/>
                <w:sz w:val="20"/>
                <w:szCs w:val="20"/>
                <w:lang w:val="en-AU"/>
              </w:rPr>
            </w:pPr>
            <w:r>
              <w:rPr>
                <w:rFonts w:ascii="Times New Roman" w:hAnsi="Times New Roman" w:cs="Times New Roman"/>
                <w:b/>
                <w:sz w:val="20"/>
                <w:szCs w:val="20"/>
                <w:lang w:val="en-AU"/>
              </w:rPr>
              <w:lastRenderedPageBreak/>
              <w:t>Providing an introduction of the research topic</w:t>
            </w:r>
          </w:p>
        </w:tc>
        <w:tc>
          <w:tcPr>
            <w:tcW w:w="906" w:type="dxa"/>
            <w:tcBorders>
              <w:top w:val="nil"/>
              <w:left w:val="nil"/>
              <w:bottom w:val="single" w:sz="8" w:space="0" w:color="000000"/>
              <w:right w:val="single" w:sz="8" w:space="0" w:color="000000"/>
            </w:tcBorders>
            <w:shd w:val="clear" w:color="auto" w:fill="D99594"/>
            <w:tcMar>
              <w:top w:w="100" w:type="dxa"/>
              <w:left w:w="100" w:type="dxa"/>
              <w:bottom w:w="100" w:type="dxa"/>
              <w:right w:w="100" w:type="dxa"/>
            </w:tcMar>
          </w:tcPr>
          <w:p w14:paraId="2F0A7AEC"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6" w:type="dxa"/>
            <w:tcBorders>
              <w:top w:val="nil"/>
              <w:left w:val="nil"/>
              <w:bottom w:val="single" w:sz="8" w:space="0" w:color="000000"/>
              <w:right w:val="single" w:sz="8" w:space="0" w:color="000000"/>
            </w:tcBorders>
            <w:tcMar>
              <w:top w:w="100" w:type="dxa"/>
              <w:left w:w="100" w:type="dxa"/>
              <w:bottom w:w="100" w:type="dxa"/>
              <w:right w:w="100" w:type="dxa"/>
            </w:tcMar>
          </w:tcPr>
          <w:p w14:paraId="2F0A7AED"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AEE"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AEF"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AF0"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AF1"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AF2"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AF3"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r>
      <w:tr w:rsidR="00DC323E" w14:paraId="2F0A7AFE" w14:textId="77777777">
        <w:trPr>
          <w:trHeight w:val="1535"/>
          <w:jc w:val="center"/>
        </w:trPr>
        <w:tc>
          <w:tcPr>
            <w:tcW w:w="177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F0A7AF5" w14:textId="77777777" w:rsidR="00DC323E" w:rsidRDefault="00935F3E">
            <w:pPr>
              <w:pStyle w:val="Normal1"/>
              <w:spacing w:before="120" w:after="120" w:line="360" w:lineRule="auto"/>
              <w:jc w:val="center"/>
              <w:rPr>
                <w:rFonts w:ascii="Times New Roman" w:hAnsi="Times New Roman" w:cs="Times New Roman"/>
                <w:b/>
                <w:sz w:val="20"/>
                <w:szCs w:val="20"/>
                <w:lang w:val="en-AU"/>
              </w:rPr>
            </w:pPr>
            <w:r>
              <w:rPr>
                <w:rFonts w:ascii="Times New Roman" w:hAnsi="Times New Roman" w:cs="Times New Roman"/>
                <w:b/>
                <w:sz w:val="20"/>
                <w:szCs w:val="20"/>
                <w:lang w:val="en-AU"/>
              </w:rPr>
              <w:t>Designing research process</w:t>
            </w:r>
          </w:p>
        </w:tc>
        <w:tc>
          <w:tcPr>
            <w:tcW w:w="906" w:type="dxa"/>
            <w:tcBorders>
              <w:top w:val="nil"/>
              <w:left w:val="nil"/>
              <w:bottom w:val="single" w:sz="8" w:space="0" w:color="000000"/>
              <w:right w:val="single" w:sz="8" w:space="0" w:color="000000"/>
            </w:tcBorders>
            <w:tcMar>
              <w:top w:w="100" w:type="dxa"/>
              <w:left w:w="100" w:type="dxa"/>
              <w:bottom w:w="100" w:type="dxa"/>
              <w:right w:w="100" w:type="dxa"/>
            </w:tcMar>
          </w:tcPr>
          <w:p w14:paraId="2F0A7AF6"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6" w:type="dxa"/>
            <w:tcBorders>
              <w:top w:val="nil"/>
              <w:left w:val="nil"/>
              <w:bottom w:val="single" w:sz="8" w:space="0" w:color="000000"/>
              <w:right w:val="single" w:sz="8" w:space="0" w:color="000000"/>
            </w:tcBorders>
            <w:shd w:val="clear" w:color="auto" w:fill="B2A1C7"/>
            <w:tcMar>
              <w:top w:w="100" w:type="dxa"/>
              <w:left w:w="100" w:type="dxa"/>
              <w:bottom w:w="100" w:type="dxa"/>
              <w:right w:w="100" w:type="dxa"/>
            </w:tcMar>
          </w:tcPr>
          <w:p w14:paraId="2F0A7AF7"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F0A7AF8"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AF9"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AFA"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AFB"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AFC"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AFD"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r>
      <w:tr w:rsidR="00DC323E" w14:paraId="2F0A7B08" w14:textId="77777777">
        <w:trPr>
          <w:trHeight w:val="1895"/>
          <w:jc w:val="center"/>
        </w:trPr>
        <w:tc>
          <w:tcPr>
            <w:tcW w:w="177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F0A7AFF" w14:textId="77777777" w:rsidR="00DC323E" w:rsidRDefault="00935F3E">
            <w:pPr>
              <w:pStyle w:val="Normal1"/>
              <w:spacing w:before="120" w:after="120" w:line="360" w:lineRule="auto"/>
              <w:jc w:val="center"/>
              <w:rPr>
                <w:rFonts w:ascii="Times New Roman" w:hAnsi="Times New Roman" w:cs="Times New Roman"/>
                <w:b/>
                <w:sz w:val="20"/>
                <w:szCs w:val="20"/>
                <w:lang w:val="en-AU"/>
              </w:rPr>
            </w:pPr>
            <w:r>
              <w:rPr>
                <w:rFonts w:ascii="Times New Roman" w:hAnsi="Times New Roman" w:cs="Times New Roman"/>
                <w:b/>
                <w:sz w:val="20"/>
                <w:szCs w:val="20"/>
                <w:lang w:val="en-AU"/>
              </w:rPr>
              <w:t>Selecting articles for qualitative research</w:t>
            </w:r>
          </w:p>
        </w:tc>
        <w:tc>
          <w:tcPr>
            <w:tcW w:w="906" w:type="dxa"/>
            <w:tcBorders>
              <w:top w:val="nil"/>
              <w:left w:val="nil"/>
              <w:bottom w:val="single" w:sz="8" w:space="0" w:color="000000"/>
              <w:right w:val="single" w:sz="8" w:space="0" w:color="000000"/>
            </w:tcBorders>
            <w:tcMar>
              <w:top w:w="100" w:type="dxa"/>
              <w:left w:w="100" w:type="dxa"/>
              <w:bottom w:w="100" w:type="dxa"/>
              <w:right w:w="100" w:type="dxa"/>
            </w:tcMar>
          </w:tcPr>
          <w:p w14:paraId="2F0A7B00"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6" w:type="dxa"/>
            <w:tcBorders>
              <w:top w:val="nil"/>
              <w:left w:val="nil"/>
              <w:bottom w:val="single" w:sz="8" w:space="0" w:color="000000"/>
              <w:right w:val="single" w:sz="8" w:space="0" w:color="000000"/>
            </w:tcBorders>
            <w:tcMar>
              <w:top w:w="100" w:type="dxa"/>
              <w:left w:w="100" w:type="dxa"/>
              <w:bottom w:w="100" w:type="dxa"/>
              <w:right w:w="100" w:type="dxa"/>
            </w:tcMar>
          </w:tcPr>
          <w:p w14:paraId="2F0A7B01"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shd w:val="clear" w:color="auto" w:fill="943634" w:themeFill="accent2" w:themeFillShade="BF"/>
            <w:tcMar>
              <w:top w:w="100" w:type="dxa"/>
              <w:left w:w="100" w:type="dxa"/>
              <w:bottom w:w="100" w:type="dxa"/>
              <w:right w:w="100" w:type="dxa"/>
            </w:tcMar>
          </w:tcPr>
          <w:p w14:paraId="2F0A7B02"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shd w:val="clear" w:color="auto" w:fill="943634" w:themeFill="accent2" w:themeFillShade="BF"/>
            <w:tcMar>
              <w:top w:w="100" w:type="dxa"/>
              <w:left w:w="100" w:type="dxa"/>
              <w:bottom w:w="100" w:type="dxa"/>
              <w:right w:w="100" w:type="dxa"/>
            </w:tcMar>
          </w:tcPr>
          <w:p w14:paraId="2F0A7B03"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04"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05"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06"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07"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r>
      <w:tr w:rsidR="00DC323E" w14:paraId="2F0A7B12" w14:textId="77777777">
        <w:trPr>
          <w:trHeight w:val="1175"/>
          <w:jc w:val="center"/>
        </w:trPr>
        <w:tc>
          <w:tcPr>
            <w:tcW w:w="177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F0A7B09" w14:textId="77777777" w:rsidR="00DC323E" w:rsidRDefault="00935F3E">
            <w:pPr>
              <w:pStyle w:val="Normal1"/>
              <w:spacing w:before="120" w:after="120" w:line="360" w:lineRule="auto"/>
              <w:jc w:val="center"/>
              <w:rPr>
                <w:rFonts w:ascii="Times New Roman" w:hAnsi="Times New Roman" w:cs="Times New Roman"/>
                <w:b/>
                <w:sz w:val="20"/>
                <w:szCs w:val="20"/>
                <w:lang w:val="en-AU"/>
              </w:rPr>
            </w:pPr>
            <w:r>
              <w:rPr>
                <w:rFonts w:ascii="Times New Roman" w:hAnsi="Times New Roman" w:cs="Times New Roman"/>
                <w:b/>
                <w:sz w:val="20"/>
                <w:szCs w:val="20"/>
                <w:lang w:val="en-AU"/>
              </w:rPr>
              <w:t>Analysing the data using thematic analysis</w:t>
            </w:r>
          </w:p>
        </w:tc>
        <w:tc>
          <w:tcPr>
            <w:tcW w:w="906" w:type="dxa"/>
            <w:tcBorders>
              <w:top w:val="nil"/>
              <w:left w:val="nil"/>
              <w:bottom w:val="single" w:sz="8" w:space="0" w:color="000000"/>
              <w:right w:val="single" w:sz="8" w:space="0" w:color="000000"/>
            </w:tcBorders>
            <w:tcMar>
              <w:top w:w="100" w:type="dxa"/>
              <w:left w:w="100" w:type="dxa"/>
              <w:bottom w:w="100" w:type="dxa"/>
              <w:right w:w="100" w:type="dxa"/>
            </w:tcMar>
          </w:tcPr>
          <w:p w14:paraId="2F0A7B0A"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6" w:type="dxa"/>
            <w:tcBorders>
              <w:top w:val="nil"/>
              <w:left w:val="nil"/>
              <w:bottom w:val="single" w:sz="8" w:space="0" w:color="000000"/>
              <w:right w:val="single" w:sz="8" w:space="0" w:color="000000"/>
            </w:tcBorders>
            <w:tcMar>
              <w:top w:w="100" w:type="dxa"/>
              <w:left w:w="100" w:type="dxa"/>
              <w:bottom w:w="100" w:type="dxa"/>
              <w:right w:w="100" w:type="dxa"/>
            </w:tcMar>
          </w:tcPr>
          <w:p w14:paraId="2F0A7B0B"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0C"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0D"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shd w:val="clear" w:color="auto" w:fill="95B3D7" w:themeFill="accent1" w:themeFillTint="99"/>
            <w:tcMar>
              <w:top w:w="100" w:type="dxa"/>
              <w:left w:w="100" w:type="dxa"/>
              <w:bottom w:w="100" w:type="dxa"/>
              <w:right w:w="100" w:type="dxa"/>
            </w:tcMar>
          </w:tcPr>
          <w:p w14:paraId="2F0A7B0E"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shd w:val="clear" w:color="auto" w:fill="95B3D7" w:themeFill="accent1" w:themeFillTint="99"/>
            <w:tcMar>
              <w:top w:w="100" w:type="dxa"/>
              <w:left w:w="100" w:type="dxa"/>
              <w:bottom w:w="100" w:type="dxa"/>
              <w:right w:w="100" w:type="dxa"/>
            </w:tcMar>
          </w:tcPr>
          <w:p w14:paraId="2F0A7B0F"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shd w:val="clear" w:color="auto" w:fill="95B3D7" w:themeFill="accent1" w:themeFillTint="99"/>
            <w:tcMar>
              <w:top w:w="100" w:type="dxa"/>
              <w:left w:w="100" w:type="dxa"/>
              <w:bottom w:w="100" w:type="dxa"/>
              <w:right w:w="100" w:type="dxa"/>
            </w:tcMar>
          </w:tcPr>
          <w:p w14:paraId="2F0A7B10"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F0A7B11"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r>
      <w:tr w:rsidR="00DC323E" w14:paraId="2F0A7B1C" w14:textId="77777777">
        <w:trPr>
          <w:trHeight w:val="815"/>
          <w:jc w:val="center"/>
        </w:trPr>
        <w:tc>
          <w:tcPr>
            <w:tcW w:w="177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F0A7B13" w14:textId="77777777" w:rsidR="00DC323E" w:rsidRDefault="00935F3E">
            <w:pPr>
              <w:pStyle w:val="Normal1"/>
              <w:spacing w:before="120" w:after="120" w:line="360" w:lineRule="auto"/>
              <w:jc w:val="center"/>
              <w:rPr>
                <w:rFonts w:ascii="Times New Roman" w:hAnsi="Times New Roman" w:cs="Times New Roman"/>
                <w:b/>
                <w:sz w:val="20"/>
                <w:szCs w:val="20"/>
                <w:lang w:val="en-AU"/>
              </w:rPr>
            </w:pPr>
            <w:r>
              <w:rPr>
                <w:rFonts w:ascii="Times New Roman" w:hAnsi="Times New Roman" w:cs="Times New Roman"/>
                <w:b/>
                <w:sz w:val="20"/>
                <w:szCs w:val="20"/>
                <w:lang w:val="en-AU"/>
              </w:rPr>
              <w:t>Discussing data</w:t>
            </w:r>
          </w:p>
        </w:tc>
        <w:tc>
          <w:tcPr>
            <w:tcW w:w="906" w:type="dxa"/>
            <w:tcBorders>
              <w:top w:val="nil"/>
              <w:left w:val="nil"/>
              <w:bottom w:val="single" w:sz="8" w:space="0" w:color="000000"/>
              <w:right w:val="single" w:sz="8" w:space="0" w:color="000000"/>
            </w:tcBorders>
            <w:tcMar>
              <w:top w:w="100" w:type="dxa"/>
              <w:left w:w="100" w:type="dxa"/>
              <w:bottom w:w="100" w:type="dxa"/>
              <w:right w:w="100" w:type="dxa"/>
            </w:tcMar>
          </w:tcPr>
          <w:p w14:paraId="2F0A7B14"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6" w:type="dxa"/>
            <w:tcBorders>
              <w:top w:val="nil"/>
              <w:left w:val="nil"/>
              <w:bottom w:val="single" w:sz="8" w:space="0" w:color="000000"/>
              <w:right w:val="single" w:sz="8" w:space="0" w:color="000000"/>
            </w:tcBorders>
            <w:tcMar>
              <w:top w:w="100" w:type="dxa"/>
              <w:left w:w="100" w:type="dxa"/>
              <w:bottom w:w="100" w:type="dxa"/>
              <w:right w:w="100" w:type="dxa"/>
            </w:tcMar>
          </w:tcPr>
          <w:p w14:paraId="2F0A7B15"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16"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17"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18"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19"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shd w:val="clear" w:color="auto" w:fill="31849B"/>
            <w:tcMar>
              <w:top w:w="100" w:type="dxa"/>
              <w:left w:w="100" w:type="dxa"/>
              <w:bottom w:w="100" w:type="dxa"/>
              <w:right w:w="100" w:type="dxa"/>
            </w:tcMar>
          </w:tcPr>
          <w:p w14:paraId="2F0A7B1A"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shd w:val="clear" w:color="auto" w:fill="31849B"/>
            <w:tcMar>
              <w:top w:w="100" w:type="dxa"/>
              <w:left w:w="100" w:type="dxa"/>
              <w:bottom w:w="100" w:type="dxa"/>
              <w:right w:w="100" w:type="dxa"/>
            </w:tcMar>
          </w:tcPr>
          <w:p w14:paraId="2F0A7B1B"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r>
      <w:tr w:rsidR="00DC323E" w14:paraId="2F0A7B26" w14:textId="77777777">
        <w:trPr>
          <w:trHeight w:val="1175"/>
          <w:jc w:val="center"/>
        </w:trPr>
        <w:tc>
          <w:tcPr>
            <w:tcW w:w="177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F0A7B1D" w14:textId="77777777" w:rsidR="00DC323E" w:rsidRDefault="00935F3E">
            <w:pPr>
              <w:pStyle w:val="Normal1"/>
              <w:spacing w:before="120" w:after="120" w:line="360" w:lineRule="auto"/>
              <w:jc w:val="center"/>
              <w:rPr>
                <w:rFonts w:ascii="Times New Roman" w:hAnsi="Times New Roman" w:cs="Times New Roman"/>
                <w:b/>
                <w:sz w:val="20"/>
                <w:szCs w:val="20"/>
                <w:lang w:val="en-AU"/>
              </w:rPr>
            </w:pPr>
            <w:r>
              <w:rPr>
                <w:rFonts w:ascii="Times New Roman" w:hAnsi="Times New Roman" w:cs="Times New Roman"/>
                <w:b/>
                <w:sz w:val="20"/>
                <w:szCs w:val="20"/>
                <w:lang w:val="en-AU"/>
              </w:rPr>
              <w:t>concluding the research</w:t>
            </w:r>
          </w:p>
        </w:tc>
        <w:tc>
          <w:tcPr>
            <w:tcW w:w="906" w:type="dxa"/>
            <w:tcBorders>
              <w:top w:val="nil"/>
              <w:left w:val="nil"/>
              <w:bottom w:val="single" w:sz="8" w:space="0" w:color="000000"/>
              <w:right w:val="single" w:sz="8" w:space="0" w:color="000000"/>
            </w:tcBorders>
            <w:tcMar>
              <w:top w:w="100" w:type="dxa"/>
              <w:left w:w="100" w:type="dxa"/>
              <w:bottom w:w="100" w:type="dxa"/>
              <w:right w:w="100" w:type="dxa"/>
            </w:tcMar>
          </w:tcPr>
          <w:p w14:paraId="2F0A7B1E"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6" w:type="dxa"/>
            <w:tcBorders>
              <w:top w:val="nil"/>
              <w:left w:val="nil"/>
              <w:bottom w:val="single" w:sz="8" w:space="0" w:color="000000"/>
              <w:right w:val="single" w:sz="8" w:space="0" w:color="000000"/>
            </w:tcBorders>
            <w:tcMar>
              <w:top w:w="100" w:type="dxa"/>
              <w:left w:w="100" w:type="dxa"/>
              <w:bottom w:w="100" w:type="dxa"/>
              <w:right w:w="100" w:type="dxa"/>
            </w:tcMar>
          </w:tcPr>
          <w:p w14:paraId="2F0A7B1F"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20"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21"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22"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23"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24"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shd w:val="clear" w:color="auto" w:fill="F79646"/>
            <w:tcMar>
              <w:top w:w="100" w:type="dxa"/>
              <w:left w:w="100" w:type="dxa"/>
              <w:bottom w:w="100" w:type="dxa"/>
              <w:right w:w="100" w:type="dxa"/>
            </w:tcMar>
          </w:tcPr>
          <w:p w14:paraId="2F0A7B25"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r>
      <w:tr w:rsidR="00DC323E" w14:paraId="2F0A7B30" w14:textId="77777777">
        <w:trPr>
          <w:trHeight w:val="1895"/>
          <w:jc w:val="center"/>
        </w:trPr>
        <w:tc>
          <w:tcPr>
            <w:tcW w:w="177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F0A7B27" w14:textId="77777777" w:rsidR="00DC323E" w:rsidRDefault="00935F3E">
            <w:pPr>
              <w:pStyle w:val="Normal1"/>
              <w:spacing w:before="120" w:after="120" w:line="360" w:lineRule="auto"/>
              <w:jc w:val="center"/>
              <w:rPr>
                <w:rFonts w:ascii="Times New Roman" w:hAnsi="Times New Roman" w:cs="Times New Roman"/>
                <w:b/>
                <w:sz w:val="20"/>
                <w:szCs w:val="20"/>
                <w:lang w:val="en-AU"/>
              </w:rPr>
            </w:pPr>
            <w:r>
              <w:rPr>
                <w:rFonts w:ascii="Times New Roman" w:hAnsi="Times New Roman" w:cs="Times New Roman"/>
                <w:b/>
                <w:sz w:val="20"/>
                <w:szCs w:val="20"/>
                <w:lang w:val="en-AU"/>
              </w:rPr>
              <w:t>Prepare and submit the final research project</w:t>
            </w:r>
          </w:p>
        </w:tc>
        <w:tc>
          <w:tcPr>
            <w:tcW w:w="906" w:type="dxa"/>
            <w:tcBorders>
              <w:top w:val="nil"/>
              <w:left w:val="nil"/>
              <w:bottom w:val="single" w:sz="8" w:space="0" w:color="000000"/>
              <w:right w:val="single" w:sz="8" w:space="0" w:color="000000"/>
            </w:tcBorders>
            <w:tcMar>
              <w:top w:w="100" w:type="dxa"/>
              <w:left w:w="100" w:type="dxa"/>
              <w:bottom w:w="100" w:type="dxa"/>
              <w:right w:w="100" w:type="dxa"/>
            </w:tcMar>
          </w:tcPr>
          <w:p w14:paraId="2F0A7B28"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6" w:type="dxa"/>
            <w:tcBorders>
              <w:top w:val="nil"/>
              <w:left w:val="nil"/>
              <w:bottom w:val="single" w:sz="8" w:space="0" w:color="000000"/>
              <w:right w:val="single" w:sz="8" w:space="0" w:color="000000"/>
            </w:tcBorders>
            <w:tcMar>
              <w:top w:w="100" w:type="dxa"/>
              <w:left w:w="100" w:type="dxa"/>
              <w:bottom w:w="100" w:type="dxa"/>
              <w:right w:w="100" w:type="dxa"/>
            </w:tcMar>
          </w:tcPr>
          <w:p w14:paraId="2F0A7B29"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2A"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2B"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2C"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2D"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tcMar>
              <w:top w:w="100" w:type="dxa"/>
              <w:left w:w="100" w:type="dxa"/>
              <w:bottom w:w="100" w:type="dxa"/>
              <w:right w:w="100" w:type="dxa"/>
            </w:tcMar>
          </w:tcPr>
          <w:p w14:paraId="2F0A7B2E"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c>
          <w:tcPr>
            <w:tcW w:w="907" w:type="dxa"/>
            <w:tcBorders>
              <w:top w:val="nil"/>
              <w:left w:val="nil"/>
              <w:bottom w:val="single" w:sz="8" w:space="0" w:color="000000"/>
              <w:right w:val="single" w:sz="8" w:space="0" w:color="000000"/>
            </w:tcBorders>
            <w:shd w:val="clear" w:color="auto" w:fill="C00000"/>
            <w:tcMar>
              <w:top w:w="100" w:type="dxa"/>
              <w:left w:w="100" w:type="dxa"/>
              <w:bottom w:w="100" w:type="dxa"/>
              <w:right w:w="100" w:type="dxa"/>
            </w:tcMar>
          </w:tcPr>
          <w:p w14:paraId="2F0A7B2F" w14:textId="77777777" w:rsidR="00DC323E" w:rsidRDefault="00DC323E">
            <w:pPr>
              <w:pStyle w:val="Normal1"/>
              <w:spacing w:before="120" w:after="120" w:line="360" w:lineRule="auto"/>
              <w:jc w:val="both"/>
              <w:rPr>
                <w:rFonts w:ascii="Times New Roman" w:hAnsi="Times New Roman" w:cs="Times New Roman"/>
                <w:b/>
                <w:sz w:val="20"/>
                <w:szCs w:val="20"/>
                <w:lang w:val="en-AU"/>
              </w:rPr>
            </w:pPr>
          </w:p>
        </w:tc>
      </w:tr>
    </w:tbl>
    <w:p w14:paraId="2F0A7B31" w14:textId="77777777" w:rsidR="00DC323E" w:rsidRDefault="00DC323E"/>
    <w:p w14:paraId="2F0A7B32" w14:textId="77777777" w:rsidR="00DC323E" w:rsidRDefault="00935F3E">
      <w:r>
        <w:t xml:space="preserve">    </w:t>
      </w:r>
    </w:p>
    <w:sectPr w:rsidR="00DC323E">
      <w:headerReference w:type="default" r:id="rId29"/>
      <w:footerReference w:type="default" r:id="rId30"/>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0A7B43" w14:textId="77777777" w:rsidR="00DC323E" w:rsidRDefault="00935F3E">
      <w:pPr>
        <w:spacing w:line="240" w:lineRule="auto"/>
      </w:pPr>
      <w:r>
        <w:separator/>
      </w:r>
    </w:p>
  </w:endnote>
  <w:endnote w:type="continuationSeparator" w:id="0">
    <w:p w14:paraId="2F0A7B44" w14:textId="77777777" w:rsidR="00DC323E" w:rsidRDefault="00935F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B714849-3FA1-4E8C-9019-7F06258515A5}"/>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0DB9AC4B-4652-46BE-94BA-9E9282E016D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4"/>
      </w:rPr>
      <w:id w:val="-1069888771"/>
    </w:sdtPr>
    <w:sdtEndPr/>
    <w:sdtContent>
      <w:p w14:paraId="2F0A7B46" w14:textId="77777777" w:rsidR="00DC323E" w:rsidRDefault="00935F3E">
        <w:pPr>
          <w:pStyle w:val="Footer"/>
          <w:jc w:val="right"/>
          <w:rPr>
            <w:sz w:val="20"/>
            <w:szCs w:val="24"/>
          </w:rPr>
        </w:pPr>
        <w:r>
          <w:rPr>
            <w:sz w:val="20"/>
            <w:szCs w:val="24"/>
          </w:rPr>
          <w:fldChar w:fldCharType="begin"/>
        </w:r>
        <w:r>
          <w:rPr>
            <w:sz w:val="20"/>
            <w:szCs w:val="24"/>
          </w:rPr>
          <w:instrText xml:space="preserve"> PAGE   \* MERGEFORMAT </w:instrText>
        </w:r>
        <w:r>
          <w:rPr>
            <w:sz w:val="20"/>
            <w:szCs w:val="24"/>
          </w:rPr>
          <w:fldChar w:fldCharType="separate"/>
        </w:r>
        <w:r>
          <w:rPr>
            <w:sz w:val="20"/>
            <w:szCs w:val="24"/>
          </w:rPr>
          <w:t>2</w:t>
        </w:r>
        <w:r>
          <w:rPr>
            <w:sz w:val="20"/>
            <w:szCs w:val="24"/>
          </w:rPr>
          <w:fldChar w:fldCharType="end"/>
        </w:r>
      </w:p>
    </w:sdtContent>
  </w:sdt>
  <w:p w14:paraId="2F0A7B47" w14:textId="77777777" w:rsidR="00DC323E" w:rsidRDefault="00DC323E">
    <w:pPr>
      <w:pStyle w:val="Footer"/>
      <w:rPr>
        <w:sz w:val="2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0A7B41" w14:textId="77777777" w:rsidR="00DC323E" w:rsidRDefault="00935F3E">
      <w:r>
        <w:separator/>
      </w:r>
    </w:p>
  </w:footnote>
  <w:footnote w:type="continuationSeparator" w:id="0">
    <w:p w14:paraId="2F0A7B42" w14:textId="77777777" w:rsidR="00DC323E" w:rsidRDefault="00935F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0A7B45" w14:textId="77777777" w:rsidR="00DC323E" w:rsidRDefault="00DC323E">
    <w:pPr>
      <w:jc w:val="center"/>
      <w:rPr>
        <w:b/>
        <w:sz w:val="28"/>
        <w:szCs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B629E7"/>
    <w:multiLevelType w:val="multilevel"/>
    <w:tmpl w:val="7CB629E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DC120BB"/>
    <w:multiLevelType w:val="multilevel"/>
    <w:tmpl w:val="7DC120B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18776090">
    <w:abstractNumId w:val="1"/>
  </w:num>
  <w:num w:numId="2" w16cid:durableId="2881662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164F"/>
    <w:rsid w:val="000411BD"/>
    <w:rsid w:val="00076FEC"/>
    <w:rsid w:val="00090FC7"/>
    <w:rsid w:val="000B1184"/>
    <w:rsid w:val="000C43A8"/>
    <w:rsid w:val="000E7F3B"/>
    <w:rsid w:val="000F6264"/>
    <w:rsid w:val="0011679E"/>
    <w:rsid w:val="00164511"/>
    <w:rsid w:val="00186543"/>
    <w:rsid w:val="00187190"/>
    <w:rsid w:val="001B41F1"/>
    <w:rsid w:val="002148BD"/>
    <w:rsid w:val="00246393"/>
    <w:rsid w:val="002640A1"/>
    <w:rsid w:val="002A6AAC"/>
    <w:rsid w:val="002D26AE"/>
    <w:rsid w:val="002F5B4C"/>
    <w:rsid w:val="003724B2"/>
    <w:rsid w:val="003D1CEE"/>
    <w:rsid w:val="003F1893"/>
    <w:rsid w:val="00485249"/>
    <w:rsid w:val="004B286B"/>
    <w:rsid w:val="004B4EE3"/>
    <w:rsid w:val="005E2069"/>
    <w:rsid w:val="0062777B"/>
    <w:rsid w:val="00642553"/>
    <w:rsid w:val="006547D2"/>
    <w:rsid w:val="006612EC"/>
    <w:rsid w:val="0066796E"/>
    <w:rsid w:val="006A0AE7"/>
    <w:rsid w:val="006D502C"/>
    <w:rsid w:val="006E550C"/>
    <w:rsid w:val="006F7AE4"/>
    <w:rsid w:val="007122DC"/>
    <w:rsid w:val="0074256E"/>
    <w:rsid w:val="00760669"/>
    <w:rsid w:val="007D66AF"/>
    <w:rsid w:val="007E78F1"/>
    <w:rsid w:val="007F070C"/>
    <w:rsid w:val="007F1321"/>
    <w:rsid w:val="0080228D"/>
    <w:rsid w:val="00823ACA"/>
    <w:rsid w:val="00860ED1"/>
    <w:rsid w:val="00885072"/>
    <w:rsid w:val="008A2DE4"/>
    <w:rsid w:val="008B757A"/>
    <w:rsid w:val="00935F3E"/>
    <w:rsid w:val="0096347B"/>
    <w:rsid w:val="00983086"/>
    <w:rsid w:val="00985CBE"/>
    <w:rsid w:val="009D2A1D"/>
    <w:rsid w:val="00A805E6"/>
    <w:rsid w:val="00A82B0C"/>
    <w:rsid w:val="00B21B5B"/>
    <w:rsid w:val="00B57080"/>
    <w:rsid w:val="00B64C60"/>
    <w:rsid w:val="00BC39DE"/>
    <w:rsid w:val="00C62F26"/>
    <w:rsid w:val="00CD2578"/>
    <w:rsid w:val="00D157A6"/>
    <w:rsid w:val="00D3164F"/>
    <w:rsid w:val="00D45659"/>
    <w:rsid w:val="00D626FF"/>
    <w:rsid w:val="00D7164D"/>
    <w:rsid w:val="00DB22B2"/>
    <w:rsid w:val="00DC323E"/>
    <w:rsid w:val="00E1211A"/>
    <w:rsid w:val="00E14B86"/>
    <w:rsid w:val="00E6739F"/>
    <w:rsid w:val="00E85566"/>
    <w:rsid w:val="00EA63B7"/>
    <w:rsid w:val="00ED1E08"/>
    <w:rsid w:val="00ED65BD"/>
    <w:rsid w:val="00EF7971"/>
    <w:rsid w:val="00F24446"/>
    <w:rsid w:val="00F41A10"/>
    <w:rsid w:val="00FC5EC0"/>
    <w:rsid w:val="00FD435F"/>
    <w:rsid w:val="1BF40F11"/>
    <w:rsid w:val="21BA3757"/>
    <w:rsid w:val="385D1123"/>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0A7A1D"/>
  <w15:docId w15:val="{2CFA40CB-2812-473A-B9C8-848E4CD99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sz w:val="24"/>
      <w:szCs w:val="24"/>
      <w:lang w:val="en-GB" w:bidi="bn-IN"/>
    </w:rPr>
  </w:style>
  <w:style w:type="paragraph" w:styleId="Heading1">
    <w:name w:val="heading 1"/>
    <w:basedOn w:val="Normal"/>
    <w:next w:val="Normal"/>
    <w:link w:val="Heading1Char"/>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Heading2"/>
    <w:next w:val="Normal"/>
    <w:uiPriority w:val="9"/>
    <w:unhideWhenUsed/>
    <w:qFormat/>
    <w:pPr>
      <w:outlineLvl w:val="2"/>
    </w:p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semiHidden/>
    <w:unhideWhenUsed/>
    <w:qFormat/>
    <w:pPr>
      <w:spacing w:line="240" w:lineRule="auto"/>
    </w:pPr>
    <w:rPr>
      <w:sz w:val="20"/>
      <w:szCs w:val="25"/>
    </w:rPr>
  </w:style>
  <w:style w:type="character" w:styleId="FollowedHyperlink">
    <w:name w:val="FollowedHyperlink"/>
    <w:basedOn w:val="DefaultParagraphFont"/>
    <w:uiPriority w:val="99"/>
    <w:semiHidden/>
    <w:unhideWhenUsed/>
    <w:qFormat/>
    <w:rPr>
      <w:color w:val="800080" w:themeColor="followedHyperlink"/>
      <w:u w:val="single"/>
    </w:rPr>
  </w:style>
  <w:style w:type="paragraph" w:styleId="Footer">
    <w:name w:val="footer"/>
    <w:basedOn w:val="Normal"/>
    <w:link w:val="FooterChar"/>
    <w:uiPriority w:val="99"/>
    <w:unhideWhenUsed/>
    <w:qFormat/>
    <w:pPr>
      <w:tabs>
        <w:tab w:val="center" w:pos="4513"/>
        <w:tab w:val="right" w:pos="9026"/>
      </w:tabs>
      <w:spacing w:line="240" w:lineRule="auto"/>
    </w:pPr>
    <w:rPr>
      <w:szCs w:val="30"/>
    </w:rPr>
  </w:style>
  <w:style w:type="paragraph" w:styleId="Header">
    <w:name w:val="header"/>
    <w:basedOn w:val="Normal"/>
    <w:link w:val="HeaderChar"/>
    <w:uiPriority w:val="99"/>
    <w:unhideWhenUsed/>
    <w:qFormat/>
    <w:pPr>
      <w:tabs>
        <w:tab w:val="center" w:pos="4513"/>
        <w:tab w:val="right" w:pos="9026"/>
      </w:tabs>
      <w:spacing w:line="240" w:lineRule="auto"/>
    </w:pPr>
    <w:rPr>
      <w:szCs w:val="30"/>
    </w:r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ableofFigures">
    <w:name w:val="table of figures"/>
    <w:basedOn w:val="Normal"/>
    <w:next w:val="Normal"/>
    <w:uiPriority w:val="99"/>
    <w:unhideWhenUsed/>
    <w:qFormat/>
    <w:rPr>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autoRedefine/>
    <w:uiPriority w:val="39"/>
    <w:unhideWhenUsed/>
    <w:qFormat/>
    <w:pPr>
      <w:spacing w:after="100"/>
    </w:pPr>
    <w:rPr>
      <w:szCs w:val="30"/>
    </w:rPr>
  </w:style>
  <w:style w:type="paragraph" w:styleId="TOC2">
    <w:name w:val="toc 2"/>
    <w:basedOn w:val="Normal"/>
    <w:next w:val="Normal"/>
    <w:autoRedefine/>
    <w:uiPriority w:val="39"/>
    <w:unhideWhenUsed/>
    <w:qFormat/>
    <w:pPr>
      <w:spacing w:after="100"/>
      <w:ind w:left="240"/>
    </w:pPr>
    <w:rPr>
      <w:szCs w:val="30"/>
    </w:rPr>
  </w:style>
  <w:style w:type="paragraph" w:styleId="TOC3">
    <w:name w:val="toc 3"/>
    <w:basedOn w:val="Normal"/>
    <w:next w:val="Normal"/>
    <w:autoRedefine/>
    <w:uiPriority w:val="39"/>
    <w:unhideWhenUsed/>
    <w:qFormat/>
    <w:pPr>
      <w:spacing w:after="100"/>
      <w:ind w:left="480"/>
    </w:pPr>
    <w:rPr>
      <w:szCs w:val="30"/>
    </w:rPr>
  </w:style>
  <w:style w:type="table" w:customStyle="1" w:styleId="TableNormal0">
    <w:name w:val="TableNormal"/>
    <w:qFormat/>
    <w:tblPr>
      <w:tblCellMar>
        <w:top w:w="100" w:type="dxa"/>
        <w:left w:w="100" w:type="dxa"/>
        <w:bottom w:w="100" w:type="dxa"/>
        <w:right w:w="100" w:type="dxa"/>
      </w:tblCellMar>
    </w:tblPr>
  </w:style>
  <w:style w:type="table" w:customStyle="1" w:styleId="Style12">
    <w:name w:val="_Style 12"/>
    <w:basedOn w:val="TableNormal0"/>
    <w:qFormat/>
    <w:tblPr/>
  </w:style>
  <w:style w:type="character" w:customStyle="1" w:styleId="CommentTextChar">
    <w:name w:val="Comment Text Char"/>
    <w:basedOn w:val="DefaultParagraphFont"/>
    <w:link w:val="CommentText"/>
    <w:uiPriority w:val="99"/>
    <w:semiHidden/>
    <w:qFormat/>
    <w:rPr>
      <w:sz w:val="20"/>
      <w:szCs w:val="25"/>
    </w:rPr>
  </w:style>
  <w:style w:type="paragraph" w:customStyle="1" w:styleId="Figures">
    <w:name w:val="Figures"/>
    <w:basedOn w:val="Normal"/>
    <w:qFormat/>
    <w:pPr>
      <w:jc w:val="center"/>
    </w:pPr>
    <w:rPr>
      <w:b/>
    </w:rPr>
  </w:style>
  <w:style w:type="paragraph" w:customStyle="1" w:styleId="TOCHeading1">
    <w:name w:val="TOC Heading1"/>
    <w:basedOn w:val="Heading1"/>
    <w:next w:val="Normal"/>
    <w:uiPriority w:val="39"/>
    <w:unhideWhenUsed/>
    <w:qFormat/>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character" w:customStyle="1" w:styleId="HeaderChar">
    <w:name w:val="Header Char"/>
    <w:basedOn w:val="DefaultParagraphFont"/>
    <w:link w:val="Header"/>
    <w:uiPriority w:val="99"/>
    <w:qFormat/>
    <w:rPr>
      <w:szCs w:val="30"/>
    </w:rPr>
  </w:style>
  <w:style w:type="character" w:customStyle="1" w:styleId="FooterChar">
    <w:name w:val="Footer Char"/>
    <w:basedOn w:val="DefaultParagraphFont"/>
    <w:link w:val="Footer"/>
    <w:uiPriority w:val="99"/>
    <w:qFormat/>
    <w:rPr>
      <w:szCs w:val="30"/>
    </w:rPr>
  </w:style>
  <w:style w:type="character" w:customStyle="1" w:styleId="Heading1Char">
    <w:name w:val="Heading 1 Char"/>
    <w:basedOn w:val="DefaultParagraphFont"/>
    <w:link w:val="Heading1"/>
    <w:uiPriority w:val="9"/>
    <w:qFormat/>
    <w:rPr>
      <w:b/>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customStyle="1" w:styleId="Normal1">
    <w:name w:val="Normal1"/>
    <w:qFormat/>
    <w:pPr>
      <w:spacing w:line="276" w:lineRule="auto"/>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007/s10479-023-05272-y" TargetMode="External"/><Relationship Id="rId26" Type="http://schemas.openxmlformats.org/officeDocument/2006/relationships/hyperlink" Target="https://doi.org/10.1016/j.ijsu.2021.105918" TargetMode="External"/><Relationship Id="rId3" Type="http://schemas.openxmlformats.org/officeDocument/2006/relationships/styles" Target="styles.xml"/><Relationship Id="rId21" Type="http://schemas.openxmlformats.org/officeDocument/2006/relationships/hyperlink" Target="http://doi.org/10.53935/jomw.v2024i2.275"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07/s10479-023-05272-y" TargetMode="External"/><Relationship Id="rId25" Type="http://schemas.openxmlformats.org/officeDocument/2006/relationships/hyperlink" Target="https://doi.org/10.47172/2965-730X.SDGsReview.v5.n01.pe02642" TargetMode="External"/><Relationship Id="rId2" Type="http://schemas.openxmlformats.org/officeDocument/2006/relationships/numbering" Target="numbering.xml"/><Relationship Id="rId16" Type="http://schemas.openxmlformats.org/officeDocument/2006/relationships/hyperlink" Target="https://doi.org/10.1016/j.rineng.2025.104018" TargetMode="External"/><Relationship Id="rId20" Type="http://schemas.openxmlformats.org/officeDocument/2006/relationships/hyperlink" Target="http://dx.doi.org/10.6007/IJARPED/v11-i2/12938"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3390/su162310601"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su162310511" TargetMode="External"/><Relationship Id="rId23" Type="http://schemas.openxmlformats.org/officeDocument/2006/relationships/hyperlink" Target="https://doi.org/10.3390/su162310601" TargetMode="External"/><Relationship Id="rId28" Type="http://schemas.openxmlformats.org/officeDocument/2006/relationships/image" Target="media/image7.png"/><Relationship Id="rId10" Type="http://schemas.openxmlformats.org/officeDocument/2006/relationships/image" Target="media/image3.jpeg"/><Relationship Id="rId19" Type="http://schemas.openxmlformats.org/officeDocument/2006/relationships/hyperlink" Target="http://dx.doi.org/10.1136/bmj.n71"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rineng.2025.104018" TargetMode="External"/><Relationship Id="rId22" Type="http://schemas.openxmlformats.org/officeDocument/2006/relationships/hyperlink" Target="https://doi.org/10.1186/s13643-020-01542-z" TargetMode="External"/><Relationship Id="rId27" Type="http://schemas.openxmlformats.org/officeDocument/2006/relationships/hyperlink" Target="https://www.unep.org/resources/global-waste-management-outlook-2024"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EC2FBB-8938-4929-903F-E91665CE666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3810</Words>
  <Characters>21719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Vishal Prajapati</dc:creator>
  <cp:lastModifiedBy>Vishal Prajapati</cp:lastModifiedBy>
  <cp:revision>2</cp:revision>
  <dcterms:created xsi:type="dcterms:W3CDTF">2025-11-12T03:04:00Z</dcterms:created>
  <dcterms:modified xsi:type="dcterms:W3CDTF">2025-11-12T03:04:00Z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00d51a31-2b88-4069-9391-7e4dcbbf1820</vt:lpwstr>
  </property>
  <property fmtid="{D5CDD505-2E9C-101B-9397-08002B2CF9AE}" pid="3" name="KSOProductBuildVer">
    <vt:lpwstr>1033-12.2.0.23155</vt:lpwstr>
  </property>
  <property fmtid="{D5CDD505-2E9C-101B-9397-08002B2CF9AE}" pid="4" name="ICV">
    <vt:lpwstr>3C4EADB39B90438691B1343E1C129783_13</vt:lpwstr>
  </property>
</Properties>
</file>