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F73" w:rsidRPr="002D0F73" w:rsidRDefault="002D0F73" w:rsidP="002D0F73">
      <w:pPr>
        <w:spacing w:after="0" w:line="240" w:lineRule="auto"/>
        <w:jc w:val="right"/>
        <w:rPr>
          <w:rFonts w:ascii="Arial" w:eastAsia="Times New Roman" w:hAnsi="Arial" w:cs="Arial"/>
          <w:b/>
          <w:kern w:val="0"/>
          <w:sz w:val="28"/>
          <w:szCs w:val="28"/>
          <w:lang w:val="en-GB" w:eastAsia="en-GB"/>
          <w14:ligatures w14:val="none"/>
        </w:rPr>
      </w:pPr>
      <w:r w:rsidRPr="002D0F73">
        <w:rPr>
          <w:rFonts w:ascii="Calibri" w:eastAsia="Calibri" w:hAnsi="Calibri" w:cs="Arial"/>
          <w:noProof/>
          <w:kern w:val="0"/>
          <w:sz w:val="22"/>
          <w:szCs w:val="22"/>
          <w14:ligatures w14:val="none"/>
        </w:rPr>
        <w:drawing>
          <wp:anchor distT="0" distB="0" distL="114300" distR="114300" simplePos="0" relativeHeight="251659264" behindDoc="0" locked="0" layoutInCell="1" allowOverlap="1" wp14:anchorId="14FD1B4A" wp14:editId="5DFF441F">
            <wp:simplePos x="0" y="0"/>
            <wp:positionH relativeFrom="column">
              <wp:align>left</wp:align>
            </wp:positionH>
            <wp:positionV relativeFrom="paragraph">
              <wp:align>top</wp:align>
            </wp:positionV>
            <wp:extent cx="1809750" cy="723900"/>
            <wp:effectExtent l="0" t="0" r="0" b="0"/>
            <wp:wrapSquare wrapText="bothSides"/>
            <wp:docPr id="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2D0F73">
        <w:rPr>
          <w:rFonts w:ascii="Arial" w:eastAsia="Times New Roman" w:hAnsi="Arial" w:cs="Arial"/>
          <w:kern w:val="0"/>
          <w:sz w:val="20"/>
          <w:szCs w:val="20"/>
          <w:lang w:val="en-GB" w:eastAsia="en-GB"/>
          <w14:ligatures w14:val="none"/>
        </w:rPr>
        <w:t xml:space="preserve"> </w:t>
      </w:r>
      <w:r w:rsidRPr="002D0F73">
        <w:rPr>
          <w:rFonts w:ascii="Arial" w:eastAsia="Times New Roman" w:hAnsi="Arial" w:cs="Arial"/>
          <w:kern w:val="0"/>
          <w:sz w:val="20"/>
          <w:szCs w:val="20"/>
          <w:lang w:val="en-GB" w:eastAsia="en-GB"/>
          <w14:ligatures w14:val="none"/>
        </w:rPr>
        <w:br w:type="textWrapping" w:clear="all"/>
      </w:r>
      <w:r w:rsidRPr="002D0F73">
        <w:rPr>
          <w:rFonts w:ascii="Arial" w:eastAsia="Times New Roman" w:hAnsi="Arial" w:cs="Arial"/>
          <w:b/>
          <w:kern w:val="0"/>
          <w:sz w:val="28"/>
          <w:szCs w:val="28"/>
          <w:lang w:val="en-GB" w:eastAsia="en-GB"/>
          <w14:ligatures w14:val="none"/>
        </w:rPr>
        <w:t>APPENDIX GA36b</w:t>
      </w:r>
    </w:p>
    <w:p w:rsidR="002D0F73" w:rsidRPr="002D0F73" w:rsidRDefault="002D0F73" w:rsidP="002D0F73">
      <w:pPr>
        <w:spacing w:after="0" w:line="240" w:lineRule="auto"/>
        <w:rPr>
          <w:rFonts w:ascii="Arial" w:eastAsia="Times New Roman" w:hAnsi="Arial" w:cs="Arial"/>
          <w:kern w:val="0"/>
          <w:sz w:val="20"/>
          <w:szCs w:val="20"/>
          <w:lang w:val="en-GB"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D0F73" w:rsidRPr="002D0F73">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2D0F73" w:rsidRPr="002D0F73" w:rsidRDefault="002D0F73" w:rsidP="002D0F73">
            <w:pPr>
              <w:keepNext/>
              <w:spacing w:before="120" w:after="120" w:line="240" w:lineRule="auto"/>
              <w:jc w:val="center"/>
              <w:outlineLvl w:val="3"/>
              <w:rPr>
                <w:rFonts w:ascii="Arial" w:eastAsia="Times New Roman" w:hAnsi="Arial" w:cs="Arial"/>
                <w:b/>
                <w:kern w:val="0"/>
                <w:sz w:val="40"/>
                <w:szCs w:val="20"/>
                <w:lang w:val="en-GB" w:eastAsia="en-GB"/>
                <w14:ligatures w14:val="none"/>
              </w:rPr>
            </w:pPr>
            <w:r w:rsidRPr="002D0F73">
              <w:rPr>
                <w:rFonts w:ascii="Arial" w:eastAsia="Times New Roman" w:hAnsi="Arial" w:cs="Arial"/>
                <w:b/>
                <w:kern w:val="0"/>
                <w:sz w:val="40"/>
                <w:szCs w:val="20"/>
                <w:lang w:val="en-GB" w:eastAsia="en-GB"/>
                <w14:ligatures w14:val="none"/>
              </w:rPr>
              <w:t xml:space="preserve">LEVEL 5 ASSESSMENT SPECIFICATION </w:t>
            </w:r>
          </w:p>
        </w:tc>
      </w:tr>
    </w:tbl>
    <w:p w:rsidR="002D0F73" w:rsidRPr="002D0F73" w:rsidRDefault="002D0F73" w:rsidP="002D0F73">
      <w:pPr>
        <w:spacing w:after="0" w:line="240" w:lineRule="auto"/>
        <w:jc w:val="center"/>
        <w:rPr>
          <w:rFonts w:ascii="Arial" w:eastAsia="Times New Roman" w:hAnsi="Arial" w:cs="Arial"/>
          <w:b/>
          <w:i/>
          <w:kern w:val="0"/>
          <w:sz w:val="32"/>
          <w:szCs w:val="20"/>
          <w:lang w:val="en-GB" w:eastAsia="en-GB"/>
          <w14:ligatures w14:val="none"/>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D0F73" w:rsidRPr="002D0F73">
        <w:tc>
          <w:tcPr>
            <w:tcW w:w="20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 xml:space="preserve">BA (Hons) Leadership and Management Skills for the Workplace </w:t>
            </w:r>
          </w:p>
        </w:tc>
      </w:tr>
      <w:tr w:rsidR="002D0F73" w:rsidRPr="002D0F73">
        <w:tc>
          <w:tcPr>
            <w:tcW w:w="20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00" w:beforeAutospacing="1" w:after="100" w:afterAutospacing="1" w:line="240" w:lineRule="auto"/>
              <w:rPr>
                <w:rFonts w:ascii="Times New Roman" w:eastAsia="Times New Roman" w:hAnsi="Times New Roman" w:cs="Times New Roman"/>
                <w:b/>
                <w:bCs/>
                <w:kern w:val="0"/>
                <w:lang w:val="en-GB" w:eastAsia="en-GB"/>
                <w14:ligatures w14:val="none"/>
              </w:rPr>
            </w:pPr>
            <w:r w:rsidRPr="002D0F73">
              <w:rPr>
                <w:rFonts w:ascii="Times New Roman" w:eastAsia="Times New Roman" w:hAnsi="Times New Roman" w:cs="Times New Roman"/>
                <w:b/>
                <w:bCs/>
                <w:kern w:val="0"/>
                <w:lang w:val="en-GB" w:eastAsia="en-GB"/>
                <w14:ligatures w14:val="none"/>
              </w:rPr>
              <w:t xml:space="preserve">Developing and Managing Individuals and Teams </w:t>
            </w:r>
          </w:p>
        </w:tc>
      </w:tr>
      <w:tr w:rsidR="002D0F73" w:rsidRPr="002D0F73" w:rsidTr="002D0F73">
        <w:tc>
          <w:tcPr>
            <w:tcW w:w="20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3875EA">
            <w:pPr>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Module code:</w:t>
            </w:r>
          </w:p>
        </w:tc>
        <w:tc>
          <w:tcPr>
            <w:tcW w:w="32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3875EA">
            <w:pPr>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LCLM5002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2D0F73" w:rsidRPr="002D0F73" w:rsidRDefault="002D0F73" w:rsidP="003875EA">
            <w:pPr>
              <w:rPr>
                <w:rFonts w:ascii="Arial" w:eastAsia="Times New Roman" w:hAnsi="Arial" w:cs="Arial"/>
                <w:b/>
                <w:kern w:val="0"/>
                <w:sz w:val="22"/>
                <w:szCs w:val="22"/>
                <w:lang w:val="en-GB" w:eastAsia="en-GB"/>
                <w14:ligatures w14:val="none"/>
              </w:rPr>
            </w:pPr>
            <w:r>
              <w:rPr>
                <w:rFonts w:ascii="Arial" w:eastAsia="Times New Roman" w:hAnsi="Arial" w:cs="Arial"/>
                <w:b/>
                <w:kern w:val="0"/>
                <w:sz w:val="22"/>
                <w:szCs w:val="22"/>
                <w:lang w:val="en-GB" w:eastAsia="en-GB"/>
                <w14:ligatures w14:val="none"/>
              </w:rPr>
              <w:t>Student Name:</w:t>
            </w:r>
          </w:p>
        </w:tc>
        <w:tc>
          <w:tcPr>
            <w:tcW w:w="2268" w:type="dxa"/>
            <w:tcBorders>
              <w:top w:val="single" w:sz="4" w:space="0" w:color="auto"/>
              <w:left w:val="single" w:sz="4" w:space="0" w:color="auto"/>
              <w:bottom w:val="single" w:sz="4" w:space="0" w:color="auto"/>
              <w:right w:val="single" w:sz="4" w:space="0" w:color="auto"/>
            </w:tcBorders>
            <w:hideMark/>
          </w:tcPr>
          <w:p w:rsidR="002D0F73" w:rsidRPr="002D0F73" w:rsidRDefault="002D0F73" w:rsidP="003875EA">
            <w:pPr>
              <w:rPr>
                <w:rFonts w:ascii="Arial" w:eastAsia="Times New Roman" w:hAnsi="Arial" w:cs="Arial"/>
                <w:b/>
                <w:kern w:val="0"/>
                <w:sz w:val="22"/>
                <w:szCs w:val="22"/>
                <w:lang w:val="en-GB" w:eastAsia="en-GB"/>
                <w14:ligatures w14:val="none"/>
              </w:rPr>
            </w:pPr>
          </w:p>
        </w:tc>
      </w:tr>
      <w:tr w:rsidR="002D0F73" w:rsidRPr="002D0F73" w:rsidTr="002D0F73">
        <w:tc>
          <w:tcPr>
            <w:tcW w:w="20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Module Leader:</w:t>
            </w:r>
          </w:p>
        </w:tc>
        <w:tc>
          <w:tcPr>
            <w:tcW w:w="32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 xml:space="preserve">Doreen </w:t>
            </w:r>
            <w:proofErr w:type="spellStart"/>
            <w:r w:rsidRPr="002D0F73">
              <w:rPr>
                <w:rFonts w:ascii="Arial" w:eastAsia="Times New Roman" w:hAnsi="Arial" w:cs="Arial"/>
                <w:b/>
                <w:bCs/>
                <w:kern w:val="0"/>
                <w:sz w:val="22"/>
                <w:szCs w:val="22"/>
                <w:lang w:val="en-GB" w:eastAsia="en-GB"/>
                <w14:ligatures w14:val="none"/>
              </w:rPr>
              <w:t>Nyaa</w:t>
            </w:r>
            <w:proofErr w:type="spellEnd"/>
            <w:r w:rsidRPr="002D0F73">
              <w:rPr>
                <w:rFonts w:ascii="Arial" w:eastAsia="Times New Roman" w:hAnsi="Arial" w:cs="Arial"/>
                <w:b/>
                <w:bCs/>
                <w:kern w:val="0"/>
                <w:sz w:val="22"/>
                <w:szCs w:val="22"/>
                <w:lang w:val="en-GB" w:eastAsia="en-GB"/>
                <w14:ligatures w14:val="none"/>
              </w:rPr>
              <w:t xml:space="preserve"> </w:t>
            </w:r>
            <w:proofErr w:type="spellStart"/>
            <w:r w:rsidRPr="002D0F73">
              <w:rPr>
                <w:rFonts w:ascii="Arial" w:eastAsia="Times New Roman" w:hAnsi="Arial" w:cs="Arial"/>
                <w:b/>
                <w:bCs/>
                <w:kern w:val="0"/>
                <w:sz w:val="22"/>
                <w:szCs w:val="22"/>
                <w:lang w:val="en-GB" w:eastAsia="en-GB"/>
                <w14:ligatures w14:val="none"/>
              </w:rPr>
              <w:t>Amundam</w:t>
            </w:r>
            <w:proofErr w:type="spellEnd"/>
          </w:p>
          <w:p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Nishi Ramsurrun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Internal Verifier:</w:t>
            </w:r>
          </w:p>
        </w:tc>
        <w:tc>
          <w:tcPr>
            <w:tcW w:w="2268"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Samuel Ofori</w:t>
            </w:r>
          </w:p>
          <w:p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Md Kalam</w:t>
            </w:r>
          </w:p>
        </w:tc>
      </w:tr>
      <w:tr w:rsidR="002D0F73" w:rsidRPr="002D0F73">
        <w:tc>
          <w:tcPr>
            <w:tcW w:w="20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00" w:beforeAutospacing="1" w:after="100" w:afterAutospacing="1" w:line="240" w:lineRule="auto"/>
              <w:rPr>
                <w:rFonts w:ascii="Times New Roman" w:eastAsia="Times New Roman" w:hAnsi="Times New Roman" w:cs="Times New Roman"/>
                <w:b/>
                <w:bCs/>
                <w:kern w:val="0"/>
                <w:lang w:val="en-GB" w:eastAsia="en-GB"/>
                <w14:ligatures w14:val="none"/>
              </w:rPr>
            </w:pPr>
            <w:r w:rsidRPr="002D0F73">
              <w:rPr>
                <w:rFonts w:ascii="Times New Roman" w:eastAsia="Times New Roman" w:hAnsi="Times New Roman" w:cs="Times New Roman"/>
                <w:b/>
                <w:bCs/>
                <w:kern w:val="0"/>
                <w:lang w:val="en-GB" w:eastAsia="en-GB"/>
                <w14:ligatures w14:val="none"/>
              </w:rPr>
              <w:t>Component 2- Individual Report</w:t>
            </w:r>
          </w:p>
        </w:tc>
        <w:tc>
          <w:tcPr>
            <w:tcW w:w="2268"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Pr>
                <w:rFonts w:ascii="Arial" w:eastAsia="Times New Roman" w:hAnsi="Arial" w:cs="Arial"/>
                <w:b/>
                <w:kern w:val="0"/>
                <w:sz w:val="22"/>
                <w:szCs w:val="22"/>
                <w:lang w:val="en-GB" w:eastAsia="en-GB"/>
                <w14:ligatures w14:val="none"/>
              </w:rPr>
              <w:t>Student ID:</w:t>
            </w:r>
          </w:p>
        </w:tc>
        <w:tc>
          <w:tcPr>
            <w:tcW w:w="2268" w:type="dxa"/>
            <w:tcBorders>
              <w:top w:val="single" w:sz="4" w:space="0" w:color="auto"/>
              <w:left w:val="single" w:sz="4" w:space="0" w:color="auto"/>
              <w:bottom w:val="single" w:sz="4" w:space="0" w:color="auto"/>
              <w:right w:val="single" w:sz="4" w:space="0" w:color="auto"/>
            </w:tcBorders>
            <w:hideMark/>
          </w:tcPr>
          <w:p w:rsidR="002D0F73" w:rsidRPr="002D0F73" w:rsidRDefault="002D0F73" w:rsidP="002D0F73">
            <w:pPr>
              <w:spacing w:before="120" w:after="120" w:line="240" w:lineRule="auto"/>
              <w:jc w:val="both"/>
              <w:rPr>
                <w:rFonts w:ascii="Arial" w:eastAsia="Times New Roman" w:hAnsi="Arial" w:cs="Arial"/>
                <w:b/>
                <w:bCs/>
                <w:color w:val="FF0000"/>
                <w:kern w:val="0"/>
                <w:sz w:val="22"/>
                <w:szCs w:val="22"/>
                <w:highlight w:val="yellow"/>
                <w:lang w:val="en-GB" w:eastAsia="en-GB"/>
                <w14:ligatures w14:val="none"/>
              </w:rPr>
            </w:pPr>
          </w:p>
        </w:tc>
      </w:tr>
    </w:tbl>
    <w:p w:rsidR="002D0F73" w:rsidRDefault="002D0F73"/>
    <w:p w:rsidR="002D0F73" w:rsidRDefault="002D0F73">
      <w:r>
        <w:br w:type="page"/>
      </w:r>
    </w:p>
    <w:sdt>
      <w:sdtPr>
        <w:id w:val="-977615226"/>
        <w:docPartObj>
          <w:docPartGallery w:val="Table of Contents"/>
          <w:docPartUnique/>
        </w:docPartObj>
      </w:sdtPr>
      <w:sdtEndPr>
        <w:rPr>
          <w:rFonts w:asciiTheme="minorHAnsi" w:eastAsiaTheme="minorHAnsi" w:hAnsiTheme="minorHAnsi" w:cstheme="minorBidi"/>
          <w:noProof/>
          <w:color w:val="auto"/>
          <w:kern w:val="2"/>
          <w:sz w:val="22"/>
          <w:szCs w:val="22"/>
          <w14:ligatures w14:val="standardContextual"/>
        </w:rPr>
      </w:sdtEndPr>
      <w:sdtContent>
        <w:p w:rsidR="003875EA" w:rsidRPr="003875EA" w:rsidRDefault="003875EA" w:rsidP="003875EA">
          <w:pPr>
            <w:pStyle w:val="TOCHeading"/>
            <w:spacing w:before="0" w:after="200"/>
            <w:jc w:val="center"/>
            <w:rPr>
              <w:rFonts w:asciiTheme="minorBidi" w:hAnsiTheme="minorBidi" w:cstheme="minorBidi"/>
              <w:b/>
              <w:bCs/>
              <w:u w:val="single"/>
            </w:rPr>
          </w:pPr>
          <w:r w:rsidRPr="003875EA">
            <w:rPr>
              <w:rFonts w:asciiTheme="minorBidi" w:hAnsiTheme="minorBidi" w:cstheme="minorBidi"/>
              <w:b/>
              <w:bCs/>
              <w:u w:val="single"/>
            </w:rPr>
            <w:t>Table o</w:t>
          </w:r>
          <w:bookmarkStart w:id="0" w:name="_GoBack"/>
          <w:bookmarkEnd w:id="0"/>
          <w:r w:rsidRPr="003875EA">
            <w:rPr>
              <w:rFonts w:asciiTheme="minorBidi" w:hAnsiTheme="minorBidi" w:cstheme="minorBidi"/>
              <w:b/>
              <w:bCs/>
              <w:u w:val="single"/>
            </w:rPr>
            <w:t>f Contents</w:t>
          </w:r>
        </w:p>
        <w:p w:rsidR="003875EA" w:rsidRPr="003875EA" w:rsidRDefault="003875EA">
          <w:pPr>
            <w:pStyle w:val="TOC1"/>
            <w:tabs>
              <w:tab w:val="left" w:pos="440"/>
              <w:tab w:val="right" w:leader="dot" w:pos="9350"/>
            </w:tabs>
            <w:rPr>
              <w:rFonts w:eastAsiaTheme="minorEastAsia"/>
              <w:noProof/>
              <w:kern w:val="0"/>
              <w:sz w:val="22"/>
              <w:szCs w:val="22"/>
              <w14:ligatures w14:val="none"/>
            </w:rPr>
          </w:pPr>
          <w:r w:rsidRPr="003875EA">
            <w:rPr>
              <w:sz w:val="22"/>
              <w:szCs w:val="22"/>
            </w:rPr>
            <w:fldChar w:fldCharType="begin"/>
          </w:r>
          <w:r w:rsidRPr="003875EA">
            <w:rPr>
              <w:sz w:val="22"/>
              <w:szCs w:val="22"/>
            </w:rPr>
            <w:instrText xml:space="preserve"> TOC \o "1-3" \h \z \u </w:instrText>
          </w:r>
          <w:r w:rsidRPr="003875EA">
            <w:rPr>
              <w:sz w:val="22"/>
              <w:szCs w:val="22"/>
            </w:rPr>
            <w:fldChar w:fldCharType="separate"/>
          </w:r>
          <w:hyperlink w:anchor="_Toc222485874" w:history="1">
            <w:r w:rsidRPr="003875EA">
              <w:rPr>
                <w:rStyle w:val="Hyperlink"/>
                <w:rFonts w:asciiTheme="minorBidi" w:hAnsiTheme="minorBidi"/>
                <w:noProof/>
                <w:sz w:val="22"/>
                <w:szCs w:val="22"/>
              </w:rPr>
              <w:t>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Introduction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_Toc222485874 \h </w:instrText>
            </w:r>
            <w:r w:rsidRPr="003875EA">
              <w:rPr>
                <w:noProof/>
                <w:webHidden/>
                <w:sz w:val="22"/>
                <w:szCs w:val="22"/>
              </w:rPr>
            </w:r>
            <w:r w:rsidRPr="003875EA">
              <w:rPr>
                <w:noProof/>
                <w:webHidden/>
                <w:sz w:val="22"/>
                <w:szCs w:val="22"/>
              </w:rPr>
              <w:fldChar w:fldCharType="separate"/>
            </w:r>
            <w:r w:rsidRPr="003875EA">
              <w:rPr>
                <w:noProof/>
                <w:webHidden/>
                <w:sz w:val="22"/>
                <w:szCs w:val="22"/>
              </w:rPr>
              <w:t>3</w:t>
            </w:r>
            <w:r w:rsidRPr="003875EA">
              <w:rPr>
                <w:noProof/>
                <w:webHidden/>
                <w:sz w:val="22"/>
                <w:szCs w:val="22"/>
              </w:rPr>
              <w:fldChar w:fldCharType="end"/>
            </w:r>
          </w:hyperlink>
        </w:p>
        <w:p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75" w:history="1">
            <w:r w:rsidRPr="003875EA">
              <w:rPr>
                <w:rStyle w:val="Hyperlink"/>
                <w:rFonts w:asciiTheme="minorBidi" w:hAnsiTheme="minorBidi"/>
                <w:noProof/>
                <w:sz w:val="22"/>
                <w:szCs w:val="22"/>
              </w:rPr>
              <w:t>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Explanation of Key HR Factors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_Toc222485875 \h </w:instrText>
            </w:r>
            <w:r w:rsidRPr="003875EA">
              <w:rPr>
                <w:noProof/>
                <w:webHidden/>
                <w:sz w:val="22"/>
                <w:szCs w:val="22"/>
              </w:rPr>
            </w:r>
            <w:r w:rsidRPr="003875EA">
              <w:rPr>
                <w:noProof/>
                <w:webHidden/>
                <w:sz w:val="22"/>
                <w:szCs w:val="22"/>
              </w:rPr>
              <w:fldChar w:fldCharType="separate"/>
            </w:r>
            <w:r w:rsidRPr="003875EA">
              <w:rPr>
                <w:noProof/>
                <w:webHidden/>
                <w:sz w:val="22"/>
                <w:szCs w:val="22"/>
              </w:rPr>
              <w:t>3</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76" w:history="1">
            <w:r w:rsidRPr="003875EA">
              <w:rPr>
                <w:rStyle w:val="Hyperlink"/>
                <w:rFonts w:asciiTheme="minorBidi" w:hAnsiTheme="minorBidi"/>
                <w:noProof/>
                <w:sz w:val="22"/>
                <w:szCs w:val="22"/>
              </w:rPr>
              <w:t>2.1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Meeting Technological Advancement</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_Toc222485876 \h </w:instrText>
            </w:r>
            <w:r w:rsidRPr="003875EA">
              <w:rPr>
                <w:noProof/>
                <w:webHidden/>
                <w:sz w:val="22"/>
                <w:szCs w:val="22"/>
              </w:rPr>
            </w:r>
            <w:r w:rsidRPr="003875EA">
              <w:rPr>
                <w:noProof/>
                <w:webHidden/>
                <w:sz w:val="22"/>
                <w:szCs w:val="22"/>
              </w:rPr>
              <w:fldChar w:fldCharType="separate"/>
            </w:r>
            <w:r w:rsidRPr="003875EA">
              <w:rPr>
                <w:noProof/>
                <w:webHidden/>
                <w:sz w:val="22"/>
                <w:szCs w:val="22"/>
              </w:rPr>
              <w:t>3</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77" w:history="1">
            <w:r w:rsidRPr="003875EA">
              <w:rPr>
                <w:rStyle w:val="Hyperlink"/>
                <w:rFonts w:asciiTheme="minorBidi" w:hAnsiTheme="minorBidi"/>
                <w:noProof/>
                <w:sz w:val="22"/>
                <w:szCs w:val="22"/>
              </w:rPr>
              <w:t>2.2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Talent Acquisition and Retention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_Toc222485877 \h </w:instrText>
            </w:r>
            <w:r w:rsidRPr="003875EA">
              <w:rPr>
                <w:noProof/>
                <w:webHidden/>
                <w:sz w:val="22"/>
                <w:szCs w:val="22"/>
              </w:rPr>
            </w:r>
            <w:r w:rsidRPr="003875EA">
              <w:rPr>
                <w:noProof/>
                <w:webHidden/>
                <w:sz w:val="22"/>
                <w:szCs w:val="22"/>
              </w:rPr>
              <w:fldChar w:fldCharType="separate"/>
            </w:r>
            <w:r w:rsidRPr="003875EA">
              <w:rPr>
                <w:noProof/>
                <w:webHidden/>
                <w:sz w:val="22"/>
                <w:szCs w:val="22"/>
              </w:rPr>
              <w:t>4</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78" w:history="1">
            <w:r w:rsidRPr="003875EA">
              <w:rPr>
                <w:rStyle w:val="Hyperlink"/>
                <w:rFonts w:asciiTheme="minorBidi" w:hAnsiTheme="minorBidi"/>
                <w:noProof/>
                <w:sz w:val="22"/>
                <w:szCs w:val="22"/>
              </w:rPr>
              <w:t>2.3</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Diversity, Equity and Inclusion (DEI)</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_Toc222485878 \h </w:instrText>
            </w:r>
            <w:r w:rsidRPr="003875EA">
              <w:rPr>
                <w:noProof/>
                <w:webHidden/>
                <w:sz w:val="22"/>
                <w:szCs w:val="22"/>
              </w:rPr>
            </w:r>
            <w:r w:rsidRPr="003875EA">
              <w:rPr>
                <w:noProof/>
                <w:webHidden/>
                <w:sz w:val="22"/>
                <w:szCs w:val="22"/>
              </w:rPr>
              <w:fldChar w:fldCharType="separate"/>
            </w:r>
            <w:r w:rsidRPr="003875EA">
              <w:rPr>
                <w:noProof/>
                <w:webHidden/>
                <w:sz w:val="22"/>
                <w:szCs w:val="22"/>
              </w:rPr>
              <w:t>4</w:t>
            </w:r>
            <w:r w:rsidRPr="003875EA">
              <w:rPr>
                <w:noProof/>
                <w:webHidden/>
                <w:sz w:val="22"/>
                <w:szCs w:val="22"/>
              </w:rPr>
              <w:fldChar w:fldCharType="end"/>
            </w:r>
          </w:hyperlink>
        </w:p>
        <w:p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79" w:history="1">
            <w:r w:rsidRPr="003875EA">
              <w:rPr>
                <w:rStyle w:val="Hyperlink"/>
                <w:rFonts w:asciiTheme="minorBidi" w:hAnsiTheme="minorBidi"/>
                <w:noProof/>
                <w:sz w:val="22"/>
                <w:szCs w:val="22"/>
              </w:rPr>
              <w:t>3.</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Evaluation of Contemporary HR Practices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_Toc222485879 \h </w:instrText>
            </w:r>
            <w:r w:rsidRPr="003875EA">
              <w:rPr>
                <w:noProof/>
                <w:webHidden/>
                <w:sz w:val="22"/>
                <w:szCs w:val="22"/>
              </w:rPr>
            </w:r>
            <w:r w:rsidRPr="003875EA">
              <w:rPr>
                <w:noProof/>
                <w:webHidden/>
                <w:sz w:val="22"/>
                <w:szCs w:val="22"/>
              </w:rPr>
              <w:fldChar w:fldCharType="separate"/>
            </w:r>
            <w:r w:rsidRPr="003875EA">
              <w:rPr>
                <w:noProof/>
                <w:webHidden/>
                <w:sz w:val="22"/>
                <w:szCs w:val="22"/>
              </w:rPr>
              <w:t>5</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0" w:history="1">
            <w:r w:rsidRPr="003875EA">
              <w:rPr>
                <w:rStyle w:val="Hyperlink"/>
                <w:rFonts w:asciiTheme="minorBidi" w:hAnsiTheme="minorBidi"/>
                <w:noProof/>
                <w:sz w:val="22"/>
                <w:szCs w:val="22"/>
              </w:rPr>
              <w:t>3.1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HR Practices for Technological Advancement</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_Toc222485880 \h </w:instrText>
            </w:r>
            <w:r w:rsidRPr="003875EA">
              <w:rPr>
                <w:noProof/>
                <w:webHidden/>
                <w:sz w:val="22"/>
                <w:szCs w:val="22"/>
              </w:rPr>
            </w:r>
            <w:r w:rsidRPr="003875EA">
              <w:rPr>
                <w:noProof/>
                <w:webHidden/>
                <w:sz w:val="22"/>
                <w:szCs w:val="22"/>
              </w:rPr>
              <w:fldChar w:fldCharType="separate"/>
            </w:r>
            <w:r w:rsidRPr="003875EA">
              <w:rPr>
                <w:noProof/>
                <w:webHidden/>
                <w:sz w:val="22"/>
                <w:szCs w:val="22"/>
              </w:rPr>
              <w:t>5</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1" w:history="1">
            <w:r w:rsidRPr="003875EA">
              <w:rPr>
                <w:rStyle w:val="Hyperlink"/>
                <w:rFonts w:asciiTheme="minorBidi" w:hAnsiTheme="minorBidi"/>
                <w:noProof/>
                <w:sz w:val="22"/>
                <w:szCs w:val="22"/>
              </w:rPr>
              <w:t>3.2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HR Practices for Talent Acquisition and Retention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_Toc222485881 \h </w:instrText>
            </w:r>
            <w:r w:rsidRPr="003875EA">
              <w:rPr>
                <w:noProof/>
                <w:webHidden/>
                <w:sz w:val="22"/>
                <w:szCs w:val="22"/>
              </w:rPr>
            </w:r>
            <w:r w:rsidRPr="003875EA">
              <w:rPr>
                <w:noProof/>
                <w:webHidden/>
                <w:sz w:val="22"/>
                <w:szCs w:val="22"/>
              </w:rPr>
              <w:fldChar w:fldCharType="separate"/>
            </w:r>
            <w:r w:rsidRPr="003875EA">
              <w:rPr>
                <w:noProof/>
                <w:webHidden/>
                <w:sz w:val="22"/>
                <w:szCs w:val="22"/>
              </w:rPr>
              <w:t>5</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2" w:history="1">
            <w:r w:rsidRPr="003875EA">
              <w:rPr>
                <w:rStyle w:val="Hyperlink"/>
                <w:rFonts w:asciiTheme="minorBidi" w:hAnsiTheme="minorBidi"/>
                <w:noProof/>
                <w:sz w:val="22"/>
                <w:szCs w:val="22"/>
              </w:rPr>
              <w:t>3.3</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HR Practices for DEI</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_Toc222485882 \h </w:instrText>
            </w:r>
            <w:r w:rsidRPr="003875EA">
              <w:rPr>
                <w:noProof/>
                <w:webHidden/>
                <w:sz w:val="22"/>
                <w:szCs w:val="22"/>
              </w:rPr>
            </w:r>
            <w:r w:rsidRPr="003875EA">
              <w:rPr>
                <w:noProof/>
                <w:webHidden/>
                <w:sz w:val="22"/>
                <w:szCs w:val="22"/>
              </w:rPr>
              <w:fldChar w:fldCharType="separate"/>
            </w:r>
            <w:r w:rsidRPr="003875EA">
              <w:rPr>
                <w:noProof/>
                <w:webHidden/>
                <w:sz w:val="22"/>
                <w:szCs w:val="22"/>
              </w:rPr>
              <w:t>6</w:t>
            </w:r>
            <w:r w:rsidRPr="003875EA">
              <w:rPr>
                <w:noProof/>
                <w:webHidden/>
                <w:sz w:val="22"/>
                <w:szCs w:val="22"/>
              </w:rPr>
              <w:fldChar w:fldCharType="end"/>
            </w:r>
          </w:hyperlink>
        </w:p>
        <w:p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83" w:history="1">
            <w:r w:rsidRPr="003875EA">
              <w:rPr>
                <w:rStyle w:val="Hyperlink"/>
                <w:rFonts w:asciiTheme="minorBidi" w:hAnsiTheme="minorBidi"/>
                <w:noProof/>
                <w:sz w:val="22"/>
                <w:szCs w:val="22"/>
              </w:rPr>
              <w:t>4.</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Critical Evaluation of Departmental Managers’ Role in Urgent Implementation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_Toc222485883 \h </w:instrText>
            </w:r>
            <w:r w:rsidRPr="003875EA">
              <w:rPr>
                <w:noProof/>
                <w:webHidden/>
                <w:sz w:val="22"/>
                <w:szCs w:val="22"/>
              </w:rPr>
            </w:r>
            <w:r w:rsidRPr="003875EA">
              <w:rPr>
                <w:noProof/>
                <w:webHidden/>
                <w:sz w:val="22"/>
                <w:szCs w:val="22"/>
              </w:rPr>
              <w:fldChar w:fldCharType="separate"/>
            </w:r>
            <w:r w:rsidRPr="003875EA">
              <w:rPr>
                <w:noProof/>
                <w:webHidden/>
                <w:sz w:val="22"/>
                <w:szCs w:val="22"/>
              </w:rPr>
              <w:t>7</w:t>
            </w:r>
            <w:r w:rsidRPr="003875EA">
              <w:rPr>
                <w:noProof/>
                <w:webHidden/>
                <w:sz w:val="22"/>
                <w:szCs w:val="22"/>
              </w:rPr>
              <w:fldChar w:fldCharType="end"/>
            </w:r>
          </w:hyperlink>
        </w:p>
        <w:p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84" w:history="1">
            <w:r w:rsidRPr="003875EA">
              <w:rPr>
                <w:rStyle w:val="Hyperlink"/>
                <w:rFonts w:asciiTheme="minorBidi" w:hAnsiTheme="minorBidi"/>
                <w:noProof/>
                <w:sz w:val="22"/>
                <w:szCs w:val="22"/>
              </w:rPr>
              <w:t>5.</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Conclusion and Recommendations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_Toc222485884 \h </w:instrText>
            </w:r>
            <w:r w:rsidRPr="003875EA">
              <w:rPr>
                <w:noProof/>
                <w:webHidden/>
                <w:sz w:val="22"/>
                <w:szCs w:val="22"/>
              </w:rPr>
            </w:r>
            <w:r w:rsidRPr="003875EA">
              <w:rPr>
                <w:noProof/>
                <w:webHidden/>
                <w:sz w:val="22"/>
                <w:szCs w:val="22"/>
              </w:rPr>
              <w:fldChar w:fldCharType="separate"/>
            </w:r>
            <w:r w:rsidRPr="003875EA">
              <w:rPr>
                <w:noProof/>
                <w:webHidden/>
                <w:sz w:val="22"/>
                <w:szCs w:val="22"/>
              </w:rPr>
              <w:t>8</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5" w:history="1">
            <w:r w:rsidRPr="003875EA">
              <w:rPr>
                <w:rStyle w:val="Hyperlink"/>
                <w:rFonts w:asciiTheme="minorBidi" w:hAnsiTheme="minorBidi"/>
                <w:noProof/>
                <w:sz w:val="22"/>
                <w:szCs w:val="22"/>
              </w:rPr>
              <w:t>5.1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Conclusion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_Toc222485885 \h </w:instrText>
            </w:r>
            <w:r w:rsidRPr="003875EA">
              <w:rPr>
                <w:noProof/>
                <w:webHidden/>
                <w:sz w:val="22"/>
                <w:szCs w:val="22"/>
              </w:rPr>
            </w:r>
            <w:r w:rsidRPr="003875EA">
              <w:rPr>
                <w:noProof/>
                <w:webHidden/>
                <w:sz w:val="22"/>
                <w:szCs w:val="22"/>
              </w:rPr>
              <w:fldChar w:fldCharType="separate"/>
            </w:r>
            <w:r w:rsidRPr="003875EA">
              <w:rPr>
                <w:noProof/>
                <w:webHidden/>
                <w:sz w:val="22"/>
                <w:szCs w:val="22"/>
              </w:rPr>
              <w:t>8</w:t>
            </w:r>
            <w:r w:rsidRPr="003875EA">
              <w:rPr>
                <w:noProof/>
                <w:webHidden/>
                <w:sz w:val="22"/>
                <w:szCs w:val="22"/>
              </w:rPr>
              <w:fldChar w:fldCharType="end"/>
            </w:r>
          </w:hyperlink>
        </w:p>
        <w:p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6" w:history="1">
            <w:r w:rsidRPr="003875EA">
              <w:rPr>
                <w:rStyle w:val="Hyperlink"/>
                <w:rFonts w:asciiTheme="minorBidi" w:hAnsiTheme="minorBidi"/>
                <w:noProof/>
                <w:sz w:val="22"/>
                <w:szCs w:val="22"/>
              </w:rPr>
              <w:t>5.2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Recommendations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_Toc222485886 \h </w:instrText>
            </w:r>
            <w:r w:rsidRPr="003875EA">
              <w:rPr>
                <w:noProof/>
                <w:webHidden/>
                <w:sz w:val="22"/>
                <w:szCs w:val="22"/>
              </w:rPr>
            </w:r>
            <w:r w:rsidRPr="003875EA">
              <w:rPr>
                <w:noProof/>
                <w:webHidden/>
                <w:sz w:val="22"/>
                <w:szCs w:val="22"/>
              </w:rPr>
              <w:fldChar w:fldCharType="separate"/>
            </w:r>
            <w:r w:rsidRPr="003875EA">
              <w:rPr>
                <w:noProof/>
                <w:webHidden/>
                <w:sz w:val="22"/>
                <w:szCs w:val="22"/>
              </w:rPr>
              <w:t>8</w:t>
            </w:r>
            <w:r w:rsidRPr="003875EA">
              <w:rPr>
                <w:noProof/>
                <w:webHidden/>
                <w:sz w:val="22"/>
                <w:szCs w:val="22"/>
              </w:rPr>
              <w:fldChar w:fldCharType="end"/>
            </w:r>
          </w:hyperlink>
        </w:p>
        <w:p w:rsidR="003875EA" w:rsidRPr="003875EA" w:rsidRDefault="003875EA">
          <w:pPr>
            <w:pStyle w:val="TOC1"/>
            <w:tabs>
              <w:tab w:val="right" w:leader="dot" w:pos="9350"/>
            </w:tabs>
            <w:rPr>
              <w:rFonts w:eastAsiaTheme="minorEastAsia"/>
              <w:noProof/>
              <w:kern w:val="0"/>
              <w:sz w:val="22"/>
              <w:szCs w:val="22"/>
              <w14:ligatures w14:val="none"/>
            </w:rPr>
          </w:pPr>
          <w:hyperlink w:anchor="_Toc222485887" w:history="1">
            <w:r w:rsidRPr="003875EA">
              <w:rPr>
                <w:rStyle w:val="Hyperlink"/>
                <w:rFonts w:asciiTheme="minorBidi" w:hAnsiTheme="minorBidi"/>
                <w:noProof/>
                <w:sz w:val="22"/>
                <w:szCs w:val="22"/>
              </w:rPr>
              <w:t>References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_Toc222485887 \h </w:instrText>
            </w:r>
            <w:r w:rsidRPr="003875EA">
              <w:rPr>
                <w:noProof/>
                <w:webHidden/>
                <w:sz w:val="22"/>
                <w:szCs w:val="22"/>
              </w:rPr>
            </w:r>
            <w:r w:rsidRPr="003875EA">
              <w:rPr>
                <w:noProof/>
                <w:webHidden/>
                <w:sz w:val="22"/>
                <w:szCs w:val="22"/>
              </w:rPr>
              <w:fldChar w:fldCharType="separate"/>
            </w:r>
            <w:r w:rsidRPr="003875EA">
              <w:rPr>
                <w:noProof/>
                <w:webHidden/>
                <w:sz w:val="22"/>
                <w:szCs w:val="22"/>
              </w:rPr>
              <w:t>9</w:t>
            </w:r>
            <w:r w:rsidRPr="003875EA">
              <w:rPr>
                <w:noProof/>
                <w:webHidden/>
                <w:sz w:val="22"/>
                <w:szCs w:val="22"/>
              </w:rPr>
              <w:fldChar w:fldCharType="end"/>
            </w:r>
          </w:hyperlink>
        </w:p>
        <w:p w:rsidR="003875EA" w:rsidRPr="003875EA" w:rsidRDefault="003875EA">
          <w:pPr>
            <w:rPr>
              <w:sz w:val="22"/>
              <w:szCs w:val="22"/>
            </w:rPr>
          </w:pPr>
          <w:r w:rsidRPr="003875EA">
            <w:rPr>
              <w:noProof/>
              <w:sz w:val="22"/>
              <w:szCs w:val="22"/>
            </w:rPr>
            <w:fldChar w:fldCharType="end"/>
          </w:r>
        </w:p>
      </w:sdtContent>
    </w:sdt>
    <w:p w:rsidR="003875EA" w:rsidRDefault="003875EA">
      <w:pPr>
        <w:rPr>
          <w:rFonts w:asciiTheme="minorBidi" w:eastAsiaTheme="majorEastAsia" w:hAnsiTheme="minorBidi"/>
          <w:b/>
          <w:bCs/>
          <w:color w:val="2E74B5" w:themeColor="accent1" w:themeShade="BF"/>
          <w:sz w:val="32"/>
          <w:u w:val="single"/>
        </w:rPr>
      </w:pPr>
      <w:r>
        <w:rPr>
          <w:rFonts w:asciiTheme="minorBidi" w:hAnsiTheme="minorBidi"/>
          <w:b/>
          <w:bCs/>
          <w:sz w:val="32"/>
          <w:u w:val="single"/>
        </w:rPr>
        <w:br w:type="page"/>
      </w:r>
    </w:p>
    <w:p w:rsidR="002D0F73" w:rsidRPr="00714672" w:rsidRDefault="005666FF" w:rsidP="00714672">
      <w:pPr>
        <w:pStyle w:val="Heading1"/>
        <w:numPr>
          <w:ilvl w:val="0"/>
          <w:numId w:val="3"/>
        </w:numPr>
        <w:spacing w:before="0" w:after="200"/>
        <w:ind w:left="450"/>
        <w:rPr>
          <w:rFonts w:asciiTheme="minorBidi" w:hAnsiTheme="minorBidi" w:cstheme="minorBidi"/>
          <w:b/>
          <w:bCs/>
          <w:sz w:val="32"/>
          <w:szCs w:val="24"/>
          <w:u w:val="single"/>
        </w:rPr>
      </w:pPr>
      <w:bookmarkStart w:id="1" w:name="_Toc222485874"/>
      <w:r w:rsidRPr="00714672">
        <w:rPr>
          <w:rFonts w:asciiTheme="minorBidi" w:hAnsiTheme="minorBidi" w:cstheme="minorBidi"/>
          <w:b/>
          <w:bCs/>
          <w:sz w:val="32"/>
          <w:szCs w:val="24"/>
          <w:u w:val="single"/>
        </w:rPr>
        <w:lastRenderedPageBreak/>
        <w:t>Introduction</w:t>
      </w:r>
      <w:bookmarkEnd w:id="1"/>
      <w:r w:rsidRPr="00714672">
        <w:rPr>
          <w:rFonts w:asciiTheme="minorBidi" w:hAnsiTheme="minorBidi" w:cstheme="minorBidi"/>
          <w:b/>
          <w:bCs/>
          <w:sz w:val="32"/>
          <w:szCs w:val="24"/>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forerunners of the current UK </w:t>
      </w:r>
      <w:proofErr w:type="spellStart"/>
      <w:r w:rsidRPr="00714672">
        <w:rPr>
          <w:rFonts w:asciiTheme="minorBidi" w:hAnsiTheme="minorBidi"/>
          <w:sz w:val="22"/>
          <w:szCs w:val="22"/>
        </w:rPr>
        <w:t>organisations</w:t>
      </w:r>
      <w:proofErr w:type="spellEnd"/>
      <w:r w:rsidRPr="00714672">
        <w:rPr>
          <w:rFonts w:asciiTheme="minorBidi" w:hAnsiTheme="minorBidi"/>
          <w:sz w:val="22"/>
          <w:szCs w:val="22"/>
        </w:rPr>
        <w:t xml:space="preserve"> are facing more challenges in human resource (HR) due to the rapid technological discontinuity, competitive </w:t>
      </w:r>
      <w:proofErr w:type="spellStart"/>
      <w:r w:rsidRPr="00714672">
        <w:rPr>
          <w:rFonts w:asciiTheme="minorBidi" w:hAnsiTheme="minorBidi"/>
          <w:sz w:val="22"/>
          <w:szCs w:val="22"/>
        </w:rPr>
        <w:t>labour</w:t>
      </w:r>
      <w:proofErr w:type="spellEnd"/>
      <w:r w:rsidRPr="00714672">
        <w:rPr>
          <w:rFonts w:asciiTheme="minorBidi" w:hAnsiTheme="minorBidi"/>
          <w:sz w:val="22"/>
          <w:szCs w:val="22"/>
        </w:rPr>
        <w:t xml:space="preserve"> forces, and the increasing demands on diversity and inclusion. The speeding up of the digital transformation, demographic workforce changes, and tightening of the regulatory requirements have greatly changed the strategic role of HR. Tesco </w:t>
      </w:r>
      <w:proofErr w:type="spellStart"/>
      <w:r w:rsidRPr="00714672">
        <w:rPr>
          <w:rFonts w:asciiTheme="minorBidi" w:hAnsiTheme="minorBidi"/>
          <w:sz w:val="22"/>
          <w:szCs w:val="22"/>
        </w:rPr>
        <w:t>plc</w:t>
      </w:r>
      <w:proofErr w:type="spellEnd"/>
      <w:r w:rsidRPr="00714672">
        <w:rPr>
          <w:rFonts w:asciiTheme="minorBidi" w:hAnsiTheme="minorBidi"/>
          <w:sz w:val="22"/>
          <w:szCs w:val="22"/>
        </w:rPr>
        <w:t xml:space="preserve"> is the large retailer in the United Kingdom with more than 300,000 colleagues and millions of customers per week, which proves its significant level of operation volume and workforce diversity (Tesco, 2025).</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The report evaluates three essential HR determinants that impact Tesco, including meeting technological progress, talent acquisition and retention, and Diversity, Equity and Inclusion (DEI). It analyzes the modern HR practices that are responding to these aspects and critically examines how the departmental managers can make sure there is urgent and effective implementation. The report will end with a set of recommendations on how to increase strategic HR capability in the dynamic Tesco retail environment.</w:t>
      </w:r>
    </w:p>
    <w:p w:rsidR="002D0F73" w:rsidRPr="00714672" w:rsidRDefault="005666FF" w:rsidP="00714672">
      <w:pPr>
        <w:pStyle w:val="Heading1"/>
        <w:numPr>
          <w:ilvl w:val="0"/>
          <w:numId w:val="3"/>
        </w:numPr>
        <w:spacing w:before="0" w:after="200"/>
        <w:ind w:left="450"/>
        <w:rPr>
          <w:rFonts w:asciiTheme="minorBidi" w:hAnsiTheme="minorBidi" w:cstheme="minorBidi"/>
          <w:b/>
          <w:bCs/>
          <w:sz w:val="32"/>
          <w:szCs w:val="24"/>
          <w:u w:val="single"/>
        </w:rPr>
      </w:pPr>
      <w:bookmarkStart w:id="2" w:name="_Toc222485875"/>
      <w:r w:rsidRPr="00714672">
        <w:rPr>
          <w:rFonts w:asciiTheme="minorBidi" w:hAnsiTheme="minorBidi" w:cstheme="minorBidi"/>
          <w:b/>
          <w:bCs/>
          <w:sz w:val="32"/>
          <w:szCs w:val="24"/>
          <w:u w:val="single"/>
        </w:rPr>
        <w:t>Explanation of Key HR Factors</w:t>
      </w:r>
      <w:bookmarkEnd w:id="2"/>
      <w:r w:rsidRPr="00714672">
        <w:rPr>
          <w:rFonts w:asciiTheme="minorBidi" w:hAnsiTheme="minorBidi" w:cstheme="minorBidi"/>
          <w:b/>
          <w:bCs/>
          <w:sz w:val="32"/>
          <w:szCs w:val="24"/>
          <w:u w:val="single"/>
        </w:rPr>
        <w:t xml:space="preserve"> </w:t>
      </w:r>
    </w:p>
    <w:p w:rsidR="002D0F73"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3" w:name="_Toc222485876"/>
      <w:r w:rsidRPr="009E06C0">
        <w:rPr>
          <w:rFonts w:asciiTheme="minorBidi" w:hAnsiTheme="minorBidi" w:cstheme="minorBidi"/>
          <w:b/>
          <w:bCs/>
          <w:sz w:val="28"/>
          <w:szCs w:val="28"/>
          <w:u w:val="single"/>
        </w:rPr>
        <w:t>Meeting Technological Advancement</w:t>
      </w:r>
      <w:bookmarkEnd w:id="3"/>
      <w:r w:rsidRPr="009E06C0">
        <w:rPr>
          <w:rFonts w:asciiTheme="minorBidi" w:hAnsiTheme="minorBidi" w:cstheme="minorBidi"/>
          <w:b/>
          <w:bCs/>
          <w:sz w:val="28"/>
          <w:szCs w:val="28"/>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The UK retail industry is experiencing a fast-paced digital revolution that is fuelled by artificial intelligence, automation, robotics, and advanced analytics. The World Economic Forum points out that there is a technological change in the way jobs are performed around the world, and 44% of the core skills of workers are likely to change in five years (World Economic Forum, 2025).</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Automation of warehouses, AI-powered demand forecasting, and digital checkout are redefining the needs of the workforce in the retail sector. According to McKinsey, up to 30 percent of the existing work activities in established economies can now be automated, and it is necessary to reskill on scale (McKinsey Global Institute, 2024).</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This forms a digital skills divide, especially in data analytics and </w:t>
      </w:r>
      <w:proofErr w:type="spellStart"/>
      <w:r w:rsidRPr="00714672">
        <w:rPr>
          <w:rFonts w:asciiTheme="minorBidi" w:hAnsiTheme="minorBidi"/>
          <w:sz w:val="22"/>
          <w:szCs w:val="22"/>
        </w:rPr>
        <w:t>cybersecurity</w:t>
      </w:r>
      <w:proofErr w:type="spellEnd"/>
      <w:r w:rsidRPr="00714672">
        <w:rPr>
          <w:rFonts w:asciiTheme="minorBidi" w:hAnsiTheme="minorBidi"/>
          <w:sz w:val="22"/>
          <w:szCs w:val="22"/>
        </w:rPr>
        <w:t>. The Department of Digital, Culture, Media and Sport of the UK discovered that 72 percent of business in the UK report shortages in digital skills (HRD Connect, 2024).</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It is also a response to </w:t>
      </w:r>
      <w:proofErr w:type="spellStart"/>
      <w:r w:rsidRPr="00714672">
        <w:rPr>
          <w:rFonts w:asciiTheme="minorBidi" w:hAnsiTheme="minorBidi"/>
          <w:sz w:val="22"/>
          <w:szCs w:val="22"/>
        </w:rPr>
        <w:t>organisational</w:t>
      </w:r>
      <w:proofErr w:type="spellEnd"/>
      <w:r w:rsidRPr="00714672">
        <w:rPr>
          <w:rFonts w:asciiTheme="minorBidi" w:hAnsiTheme="minorBidi"/>
          <w:sz w:val="22"/>
          <w:szCs w:val="22"/>
        </w:rPr>
        <w:t xml:space="preserve"> change through restructuring and redesign of jobs as a result of the technological advancement, which tends to cause employee resistance owing to the fear of disappearance. According to </w:t>
      </w:r>
      <w:proofErr w:type="spellStart"/>
      <w:r w:rsidRPr="00714672">
        <w:rPr>
          <w:rFonts w:asciiTheme="minorBidi" w:hAnsiTheme="minorBidi"/>
          <w:sz w:val="22"/>
          <w:szCs w:val="22"/>
        </w:rPr>
        <w:t>Kotter</w:t>
      </w:r>
      <w:proofErr w:type="spellEnd"/>
      <w:r w:rsidRPr="00714672">
        <w:rPr>
          <w:rFonts w:asciiTheme="minorBidi" w:hAnsiTheme="minorBidi"/>
          <w:sz w:val="22"/>
          <w:szCs w:val="22"/>
        </w:rPr>
        <w:t xml:space="preserve">, the theory of organizational change, it is necessary to </w:t>
      </w:r>
      <w:r w:rsidRPr="00714672">
        <w:rPr>
          <w:rFonts w:asciiTheme="minorBidi" w:hAnsiTheme="minorBidi"/>
          <w:sz w:val="22"/>
          <w:szCs w:val="22"/>
        </w:rPr>
        <w:lastRenderedPageBreak/>
        <w:t>have a sense of urgency, a clear vision, and well-supported management in order to be successful at change (</w:t>
      </w:r>
      <w:proofErr w:type="spellStart"/>
      <w:r w:rsidRPr="00714672">
        <w:rPr>
          <w:rFonts w:asciiTheme="minorBidi" w:hAnsiTheme="minorBidi"/>
          <w:sz w:val="22"/>
          <w:szCs w:val="22"/>
        </w:rPr>
        <w:t>Ramasamy</w:t>
      </w:r>
      <w:proofErr w:type="spellEnd"/>
      <w:r w:rsidRPr="00714672">
        <w:rPr>
          <w:rFonts w:asciiTheme="minorBidi" w:hAnsiTheme="minorBidi"/>
          <w:sz w:val="22"/>
          <w:szCs w:val="22"/>
        </w:rPr>
        <w:t>, 2017).</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Thus, strategic workforce planning, ongoing reskilling and change management are the areas that HR should pay attention to, so that the Tesco workforce would keep up with the technological change.</w:t>
      </w:r>
    </w:p>
    <w:p w:rsidR="003E2D7E"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4" w:name="_Toc222485877"/>
      <w:r w:rsidRPr="009E06C0">
        <w:rPr>
          <w:rFonts w:asciiTheme="minorBidi" w:hAnsiTheme="minorBidi" w:cstheme="minorBidi"/>
          <w:b/>
          <w:bCs/>
          <w:sz w:val="28"/>
          <w:szCs w:val="28"/>
          <w:u w:val="single"/>
        </w:rPr>
        <w:t>Ta</w:t>
      </w:r>
      <w:r w:rsidR="003E2D7E" w:rsidRPr="009E06C0">
        <w:rPr>
          <w:rFonts w:asciiTheme="minorBidi" w:hAnsiTheme="minorBidi" w:cstheme="minorBidi"/>
          <w:b/>
          <w:bCs/>
          <w:sz w:val="28"/>
          <w:szCs w:val="28"/>
          <w:u w:val="single"/>
        </w:rPr>
        <w:t>lent Acquisition and Retention</w:t>
      </w:r>
      <w:bookmarkEnd w:id="4"/>
      <w:r w:rsidR="003E2D7E" w:rsidRPr="009E06C0">
        <w:rPr>
          <w:rFonts w:asciiTheme="minorBidi" w:hAnsiTheme="minorBidi" w:cstheme="minorBidi"/>
          <w:b/>
          <w:bCs/>
          <w:sz w:val="28"/>
          <w:szCs w:val="28"/>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retailing and logistics industry in the UK is still facing </w:t>
      </w:r>
      <w:proofErr w:type="spellStart"/>
      <w:r w:rsidRPr="00714672">
        <w:rPr>
          <w:rFonts w:asciiTheme="minorBidi" w:hAnsiTheme="minorBidi"/>
          <w:sz w:val="22"/>
          <w:szCs w:val="22"/>
        </w:rPr>
        <w:t>labour</w:t>
      </w:r>
      <w:proofErr w:type="spellEnd"/>
      <w:r w:rsidRPr="00714672">
        <w:rPr>
          <w:rFonts w:asciiTheme="minorBidi" w:hAnsiTheme="minorBidi"/>
          <w:sz w:val="22"/>
          <w:szCs w:val="22"/>
        </w:rPr>
        <w:t xml:space="preserve"> shortages. According to British Retail Consortium, one of the critical operational challenges facing the retailers is the shortage of workforce (BRC, 2025).</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Retail has a history of high turnover of </w:t>
      </w:r>
      <w:r w:rsidRPr="00714672">
        <w:rPr>
          <w:rFonts w:asciiTheme="minorBidi" w:hAnsiTheme="minorBidi"/>
          <w:sz w:val="22"/>
          <w:szCs w:val="22"/>
        </w:rPr>
        <w:t>employee’s</w:t>
      </w:r>
      <w:r w:rsidRPr="00714672">
        <w:rPr>
          <w:rFonts w:asciiTheme="minorBidi" w:hAnsiTheme="minorBidi"/>
          <w:sz w:val="22"/>
          <w:szCs w:val="22"/>
        </w:rPr>
        <w:t xml:space="preserve"> especially front line positions. The CIPD data indicates that the rate of voluntary resignation is still high in the UK sectors (CIPD, 2025).</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Recruitment pressure is further exerted by competition over the digital talent. According to Deloitte, competitive remuneration and flexibility in the workplace are some of the limiting factors that </w:t>
      </w:r>
      <w:proofErr w:type="spellStart"/>
      <w:r w:rsidRPr="00714672">
        <w:rPr>
          <w:rFonts w:asciiTheme="minorBidi" w:hAnsiTheme="minorBidi"/>
          <w:sz w:val="22"/>
          <w:szCs w:val="22"/>
        </w:rPr>
        <w:t>organisations</w:t>
      </w:r>
      <w:proofErr w:type="spellEnd"/>
      <w:r w:rsidRPr="00714672">
        <w:rPr>
          <w:rFonts w:asciiTheme="minorBidi" w:hAnsiTheme="minorBidi"/>
          <w:sz w:val="22"/>
          <w:szCs w:val="22"/>
        </w:rPr>
        <w:t xml:space="preserve"> face in their quest to attract and retain technology qualified workers.</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The two factors theory of Herzberg implies that pay is not the sole factor that leads to retention; recognition, growth and achievement play a great role in motivation.</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Also, younger generations are more concerned with work-life balance and flexible models of work. According to the Workforce Survey provided by PwC, flexibility has become a determiner of the employment choice (PWC, 2024).</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In the case of Tesco, they need to attract and retain talent with the help of effective employer branding, competitive reward systems, career advancement, and effective employee engagement strategies.</w:t>
      </w:r>
    </w:p>
    <w:p w:rsidR="002F6545"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5" w:name="_Toc222485878"/>
      <w:r w:rsidRPr="009E06C0">
        <w:rPr>
          <w:rFonts w:asciiTheme="minorBidi" w:hAnsiTheme="minorBidi" w:cstheme="minorBidi"/>
          <w:b/>
          <w:bCs/>
          <w:sz w:val="28"/>
          <w:szCs w:val="28"/>
          <w:u w:val="single"/>
        </w:rPr>
        <w:t>Diversity, Equity and Inclusion (DEI)</w:t>
      </w:r>
      <w:bookmarkEnd w:id="5"/>
      <w:r w:rsidRPr="009E06C0">
        <w:rPr>
          <w:rFonts w:asciiTheme="minorBidi" w:hAnsiTheme="minorBidi" w:cstheme="minorBidi"/>
          <w:b/>
          <w:bCs/>
          <w:sz w:val="28"/>
          <w:szCs w:val="28"/>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The UK is based on the Equality Act 2010 to guarantee there is no discrimination of individuals in the workplace. The legislation on Equality Act 2010 ensures that individuals do not face discrimination in the workplace and in the rest of the society (GOV.UK, 2013). The large employers are obliged under law to make gender pay gap information available, which makes them more transparent and accountable.</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lastRenderedPageBreak/>
        <w:t xml:space="preserve">According to the research carried out by McKinsey, </w:t>
      </w:r>
      <w:proofErr w:type="spellStart"/>
      <w:r w:rsidRPr="00714672">
        <w:rPr>
          <w:rFonts w:asciiTheme="minorBidi" w:hAnsiTheme="minorBidi"/>
          <w:sz w:val="22"/>
          <w:szCs w:val="22"/>
        </w:rPr>
        <w:t>organisations</w:t>
      </w:r>
      <w:proofErr w:type="spellEnd"/>
      <w:r w:rsidRPr="00714672">
        <w:rPr>
          <w:rFonts w:asciiTheme="minorBidi" w:hAnsiTheme="minorBidi"/>
          <w:sz w:val="22"/>
          <w:szCs w:val="22"/>
        </w:rPr>
        <w:t xml:space="preserve"> that employ diverse executive teams have a 25% higher chance of performing financially (</w:t>
      </w:r>
      <w:proofErr w:type="spellStart"/>
      <w:r w:rsidRPr="00714672">
        <w:rPr>
          <w:rFonts w:asciiTheme="minorBidi" w:hAnsiTheme="minorBidi"/>
          <w:sz w:val="22"/>
          <w:szCs w:val="22"/>
        </w:rPr>
        <w:t>Psico</w:t>
      </w:r>
      <w:proofErr w:type="spellEnd"/>
      <w:r w:rsidRPr="00714672">
        <w:rPr>
          <w:rFonts w:asciiTheme="minorBidi" w:hAnsiTheme="minorBidi"/>
          <w:sz w:val="22"/>
          <w:szCs w:val="22"/>
        </w:rPr>
        <w:t>-smart Editorial Team, 2025). Nevertheless, inclusion may be missing resulting in tokenism. To improve the care of the patients, Ito et al., (2022) concept of psychological safety in a healthcare situation and to present the first theoretical framework of enhancing interpersonal relations in a workplace.</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Lack of effective management of DEI can tarnish the </w:t>
      </w:r>
      <w:proofErr w:type="spellStart"/>
      <w:r w:rsidRPr="00714672">
        <w:rPr>
          <w:rFonts w:asciiTheme="minorBidi" w:hAnsiTheme="minorBidi"/>
          <w:sz w:val="22"/>
          <w:szCs w:val="22"/>
        </w:rPr>
        <w:t>organisational</w:t>
      </w:r>
      <w:proofErr w:type="spellEnd"/>
      <w:r w:rsidRPr="00714672">
        <w:rPr>
          <w:rFonts w:asciiTheme="minorBidi" w:hAnsiTheme="minorBidi"/>
          <w:sz w:val="22"/>
          <w:szCs w:val="22"/>
        </w:rPr>
        <w:t xml:space="preserve"> image. Harvard Business Review states that the sense of inequity has a severe negative impact on the credibility of employer </w:t>
      </w:r>
      <w:proofErr w:type="spellStart"/>
      <w:r w:rsidRPr="00714672">
        <w:rPr>
          <w:rFonts w:asciiTheme="minorBidi" w:hAnsiTheme="minorBidi"/>
          <w:sz w:val="22"/>
          <w:szCs w:val="22"/>
        </w:rPr>
        <w:t>brands.Thus</w:t>
      </w:r>
      <w:proofErr w:type="spellEnd"/>
      <w:r w:rsidRPr="00714672">
        <w:rPr>
          <w:rFonts w:asciiTheme="minorBidi" w:hAnsiTheme="minorBidi"/>
          <w:sz w:val="22"/>
          <w:szCs w:val="22"/>
        </w:rPr>
        <w:t>, Tesco needs to go further in compliance with inclusive culture-building, diverse leadership representation, and quantifiable DEI results.</w:t>
      </w:r>
    </w:p>
    <w:p w:rsidR="002D0F73" w:rsidRPr="00714672" w:rsidRDefault="002D0F73" w:rsidP="00714672">
      <w:pPr>
        <w:pStyle w:val="Heading1"/>
        <w:numPr>
          <w:ilvl w:val="0"/>
          <w:numId w:val="3"/>
        </w:numPr>
        <w:spacing w:before="0" w:after="200"/>
        <w:ind w:left="450"/>
        <w:rPr>
          <w:rFonts w:asciiTheme="minorBidi" w:hAnsiTheme="minorBidi" w:cstheme="minorBidi"/>
          <w:b/>
          <w:bCs/>
          <w:sz w:val="32"/>
          <w:szCs w:val="24"/>
          <w:u w:val="single"/>
        </w:rPr>
      </w:pPr>
      <w:bookmarkStart w:id="6" w:name="_Toc222485879"/>
      <w:r w:rsidRPr="00714672">
        <w:rPr>
          <w:rFonts w:asciiTheme="minorBidi" w:hAnsiTheme="minorBidi" w:cstheme="minorBidi"/>
          <w:b/>
          <w:bCs/>
          <w:sz w:val="32"/>
          <w:szCs w:val="24"/>
          <w:u w:val="single"/>
        </w:rPr>
        <w:t>Evaluatio</w:t>
      </w:r>
      <w:r w:rsidR="00DD02C2" w:rsidRPr="00714672">
        <w:rPr>
          <w:rFonts w:asciiTheme="minorBidi" w:hAnsiTheme="minorBidi" w:cstheme="minorBidi"/>
          <w:b/>
          <w:bCs/>
          <w:sz w:val="32"/>
          <w:szCs w:val="24"/>
          <w:u w:val="single"/>
        </w:rPr>
        <w:t>n of Contemporary HR Practices</w:t>
      </w:r>
      <w:bookmarkEnd w:id="6"/>
      <w:r w:rsidR="00DD02C2" w:rsidRPr="00714672">
        <w:rPr>
          <w:rFonts w:asciiTheme="minorBidi" w:hAnsiTheme="minorBidi" w:cstheme="minorBidi"/>
          <w:b/>
          <w:bCs/>
          <w:sz w:val="32"/>
          <w:szCs w:val="24"/>
          <w:u w:val="single"/>
        </w:rPr>
        <w:t xml:space="preserve"> </w:t>
      </w:r>
    </w:p>
    <w:p w:rsidR="002D0F73"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7" w:name="_Toc222485880"/>
      <w:r w:rsidRPr="009E06C0">
        <w:rPr>
          <w:rFonts w:asciiTheme="minorBidi" w:hAnsiTheme="minorBidi" w:cstheme="minorBidi"/>
          <w:b/>
          <w:bCs/>
          <w:sz w:val="28"/>
          <w:szCs w:val="28"/>
          <w:u w:val="single"/>
        </w:rPr>
        <w:t>HR Practices</w:t>
      </w:r>
      <w:r w:rsidR="00DD02C2" w:rsidRPr="009E06C0">
        <w:rPr>
          <w:rFonts w:asciiTheme="minorBidi" w:hAnsiTheme="minorBidi" w:cstheme="minorBidi"/>
          <w:b/>
          <w:bCs/>
          <w:sz w:val="28"/>
          <w:szCs w:val="28"/>
          <w:u w:val="single"/>
        </w:rPr>
        <w:t xml:space="preserve"> for Technological Advancement</w:t>
      </w:r>
      <w:bookmarkEnd w:id="7"/>
      <w:r w:rsidR="00DD02C2" w:rsidRPr="009E06C0">
        <w:rPr>
          <w:rFonts w:asciiTheme="minorBidi" w:hAnsiTheme="minorBidi" w:cstheme="minorBidi"/>
          <w:b/>
          <w:bCs/>
          <w:sz w:val="28"/>
          <w:szCs w:val="28"/>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Strategic Workforce Planning (SWP) is a practice that helps </w:t>
      </w:r>
      <w:proofErr w:type="spellStart"/>
      <w:r w:rsidRPr="00714672">
        <w:rPr>
          <w:rFonts w:asciiTheme="minorBidi" w:hAnsiTheme="minorBidi"/>
          <w:sz w:val="22"/>
          <w:szCs w:val="22"/>
        </w:rPr>
        <w:t>organisations</w:t>
      </w:r>
      <w:proofErr w:type="spellEnd"/>
      <w:r w:rsidRPr="00714672">
        <w:rPr>
          <w:rFonts w:asciiTheme="minorBidi" w:hAnsiTheme="minorBidi"/>
          <w:sz w:val="22"/>
          <w:szCs w:val="22"/>
        </w:rPr>
        <w:t xml:space="preserve"> to make predictions on the future skills demand and match the supply of talent. CIPD states that SWP improves </w:t>
      </w:r>
      <w:proofErr w:type="spellStart"/>
      <w:r w:rsidRPr="00714672">
        <w:rPr>
          <w:rFonts w:asciiTheme="minorBidi" w:hAnsiTheme="minorBidi"/>
          <w:sz w:val="22"/>
          <w:szCs w:val="22"/>
        </w:rPr>
        <w:t>organisational</w:t>
      </w:r>
      <w:proofErr w:type="spellEnd"/>
      <w:r w:rsidRPr="00714672">
        <w:rPr>
          <w:rFonts w:asciiTheme="minorBidi" w:hAnsiTheme="minorBidi"/>
          <w:sz w:val="22"/>
          <w:szCs w:val="22"/>
        </w:rPr>
        <w:t xml:space="preserve"> agility and resilience Continuous Learning and Development (L&amp;D) plays a vital role in the digital transformation. According to LinkedIn Learning, </w:t>
      </w:r>
      <w:proofErr w:type="spellStart"/>
      <w:r w:rsidRPr="00714672">
        <w:rPr>
          <w:rFonts w:asciiTheme="minorBidi" w:hAnsiTheme="minorBidi"/>
          <w:sz w:val="22"/>
          <w:szCs w:val="22"/>
        </w:rPr>
        <w:t>organisations</w:t>
      </w:r>
      <w:proofErr w:type="spellEnd"/>
      <w:r w:rsidRPr="00714672">
        <w:rPr>
          <w:rFonts w:asciiTheme="minorBidi" w:hAnsiTheme="minorBidi"/>
          <w:sz w:val="22"/>
          <w:szCs w:val="22"/>
        </w:rPr>
        <w:t xml:space="preserve"> with the culture of learning record improved retention and performance.</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HR analytics that </w:t>
      </w:r>
      <w:proofErr w:type="spellStart"/>
      <w:r w:rsidRPr="00714672">
        <w:rPr>
          <w:rFonts w:asciiTheme="minorBidi" w:hAnsiTheme="minorBidi"/>
          <w:sz w:val="22"/>
          <w:szCs w:val="22"/>
        </w:rPr>
        <w:t>utilise</w:t>
      </w:r>
      <w:proofErr w:type="spellEnd"/>
      <w:r w:rsidRPr="00714672">
        <w:rPr>
          <w:rFonts w:asciiTheme="minorBidi" w:hAnsiTheme="minorBidi"/>
          <w:sz w:val="22"/>
          <w:szCs w:val="22"/>
        </w:rPr>
        <w:t xml:space="preserve"> AI is an enhancement to decision-making because it helps forecast attrition and pinpoint areas of skill deficiency. According to Gartner, predictive HR analytics enhances the productivity of the workforce but costs a lot of data governance (Gartner, 2025).</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Agile HR models facilitate quick adaptation, but the cost of implementation and technological infrastructure may be high. Budget constraint, data privacy and cultural resistance are some of the issues in implementation.</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On the whole, although digital HR practices contribute to improved performance and an efficient way of running an organization, their effectiveness relies on the commitment of the leaders and well-organized change management schemes.</w:t>
      </w:r>
    </w:p>
    <w:p w:rsidR="002D0F73"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8" w:name="_Toc222485881"/>
      <w:r w:rsidRPr="009E06C0">
        <w:rPr>
          <w:rFonts w:asciiTheme="minorBidi" w:hAnsiTheme="minorBidi" w:cstheme="minorBidi"/>
          <w:b/>
          <w:bCs/>
          <w:sz w:val="28"/>
          <w:szCs w:val="28"/>
          <w:u w:val="single"/>
        </w:rPr>
        <w:t>HR Practices for Ta</w:t>
      </w:r>
      <w:r w:rsidR="00DD02C2" w:rsidRPr="009E06C0">
        <w:rPr>
          <w:rFonts w:asciiTheme="minorBidi" w:hAnsiTheme="minorBidi" w:cstheme="minorBidi"/>
          <w:b/>
          <w:bCs/>
          <w:sz w:val="28"/>
          <w:szCs w:val="28"/>
          <w:u w:val="single"/>
        </w:rPr>
        <w:t>lent Acquisition and Retention</w:t>
      </w:r>
      <w:bookmarkEnd w:id="8"/>
      <w:r w:rsidR="00DD02C2" w:rsidRPr="009E06C0">
        <w:rPr>
          <w:rFonts w:asciiTheme="minorBidi" w:hAnsiTheme="minorBidi" w:cstheme="minorBidi"/>
          <w:b/>
          <w:bCs/>
          <w:sz w:val="28"/>
          <w:szCs w:val="28"/>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Branding by the employer enhances the attractiveness of the </w:t>
      </w:r>
      <w:proofErr w:type="spellStart"/>
      <w:r w:rsidRPr="00714672">
        <w:rPr>
          <w:rFonts w:asciiTheme="minorBidi" w:hAnsiTheme="minorBidi"/>
          <w:sz w:val="22"/>
          <w:szCs w:val="22"/>
        </w:rPr>
        <w:t>organisation</w:t>
      </w:r>
      <w:proofErr w:type="spellEnd"/>
      <w:r w:rsidRPr="00714672">
        <w:rPr>
          <w:rFonts w:asciiTheme="minorBidi" w:hAnsiTheme="minorBidi"/>
          <w:sz w:val="22"/>
          <w:szCs w:val="22"/>
        </w:rPr>
        <w:t xml:space="preserve">. Backhaus and </w:t>
      </w:r>
      <w:proofErr w:type="spellStart"/>
      <w:r w:rsidRPr="00714672">
        <w:rPr>
          <w:rFonts w:asciiTheme="minorBidi" w:hAnsiTheme="minorBidi"/>
          <w:sz w:val="22"/>
          <w:szCs w:val="22"/>
        </w:rPr>
        <w:t>Tikoo</w:t>
      </w:r>
      <w:proofErr w:type="spellEnd"/>
      <w:r w:rsidRPr="00714672">
        <w:rPr>
          <w:rFonts w:asciiTheme="minorBidi" w:hAnsiTheme="minorBidi"/>
          <w:sz w:val="22"/>
          <w:szCs w:val="22"/>
        </w:rPr>
        <w:t xml:space="preserve"> (2004) emphasize that employer brands that are strong have a positive effect on the quality and </w:t>
      </w:r>
      <w:r w:rsidRPr="00714672">
        <w:rPr>
          <w:rFonts w:asciiTheme="minorBidi" w:hAnsiTheme="minorBidi"/>
          <w:sz w:val="22"/>
          <w:szCs w:val="22"/>
        </w:rPr>
        <w:lastRenderedPageBreak/>
        <w:t>retention of the applicants. There is the concept of employer branding (EB), which has turned into a potent instrument that organizations can use to recruit workers (Hein et al., 2024).</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E-recruitment and AI screening systems are faster hiring methods, but they are prone to algorithm bias when not monitored. According to </w:t>
      </w:r>
      <w:proofErr w:type="spellStart"/>
      <w:r w:rsidRPr="00714672">
        <w:rPr>
          <w:rFonts w:asciiTheme="minorBidi" w:hAnsiTheme="minorBidi"/>
          <w:sz w:val="22"/>
          <w:szCs w:val="22"/>
        </w:rPr>
        <w:t>Acas</w:t>
      </w:r>
      <w:proofErr w:type="spellEnd"/>
      <w:r w:rsidRPr="00714672">
        <w:rPr>
          <w:rFonts w:asciiTheme="minorBidi" w:hAnsiTheme="minorBidi"/>
          <w:sz w:val="22"/>
          <w:szCs w:val="22"/>
        </w:rPr>
        <w:t xml:space="preserve">, automated recruitment should maintain a fairness and equality </w:t>
      </w:r>
      <w:proofErr w:type="spellStart"/>
      <w:r w:rsidRPr="00714672">
        <w:rPr>
          <w:rFonts w:asciiTheme="minorBidi" w:hAnsiTheme="minorBidi"/>
          <w:sz w:val="22"/>
          <w:szCs w:val="22"/>
        </w:rPr>
        <w:t>level.Total</w:t>
      </w:r>
      <w:proofErr w:type="spellEnd"/>
      <w:r w:rsidRPr="00714672">
        <w:rPr>
          <w:rFonts w:asciiTheme="minorBidi" w:hAnsiTheme="minorBidi"/>
          <w:sz w:val="22"/>
          <w:szCs w:val="22"/>
        </w:rPr>
        <w:t xml:space="preserve"> reward strategies are a mix of pay, benefits and recognition </w:t>
      </w:r>
      <w:proofErr w:type="spellStart"/>
      <w:r w:rsidRPr="00714672">
        <w:rPr>
          <w:rFonts w:asciiTheme="minorBidi" w:hAnsiTheme="minorBidi"/>
          <w:sz w:val="22"/>
          <w:szCs w:val="22"/>
        </w:rPr>
        <w:t>programmes</w:t>
      </w:r>
      <w:proofErr w:type="spellEnd"/>
      <w:r w:rsidRPr="00714672">
        <w:rPr>
          <w:rFonts w:asciiTheme="minorBidi" w:hAnsiTheme="minorBidi"/>
          <w:sz w:val="22"/>
          <w:szCs w:val="22"/>
        </w:rPr>
        <w:t xml:space="preserve"> to achieve better engagement. </w:t>
      </w:r>
      <w:proofErr w:type="spellStart"/>
      <w:r w:rsidRPr="00714672">
        <w:rPr>
          <w:rFonts w:asciiTheme="minorBidi" w:hAnsiTheme="minorBidi"/>
          <w:sz w:val="22"/>
          <w:szCs w:val="22"/>
        </w:rPr>
        <w:t>WorldatWork</w:t>
      </w:r>
      <w:proofErr w:type="spellEnd"/>
      <w:r w:rsidRPr="00714672">
        <w:rPr>
          <w:rFonts w:asciiTheme="minorBidi" w:hAnsiTheme="minorBidi"/>
          <w:sz w:val="22"/>
          <w:szCs w:val="22"/>
        </w:rPr>
        <w:t xml:space="preserve"> underlines that the integrated reward systems facilitate the long-term retention.</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According to psychological contract theory, commitment decreases and turnover increases the expectations that are not met. Another way that flexible job arrangements enhance job satisfaction is through the generation of operational schedule complexities in retail. That is why HR has to strike the balance between flexibility and efficiency of the service.</w:t>
      </w:r>
    </w:p>
    <w:p w:rsidR="002D0F73" w:rsidRPr="009E06C0" w:rsidRDefault="003A5947" w:rsidP="009E06C0">
      <w:pPr>
        <w:pStyle w:val="Heading2"/>
        <w:numPr>
          <w:ilvl w:val="1"/>
          <w:numId w:val="3"/>
        </w:numPr>
        <w:spacing w:before="0" w:after="200"/>
        <w:rPr>
          <w:rFonts w:asciiTheme="minorBidi" w:hAnsiTheme="minorBidi" w:cstheme="minorBidi"/>
          <w:b/>
          <w:bCs/>
          <w:sz w:val="28"/>
          <w:szCs w:val="28"/>
          <w:u w:val="single"/>
        </w:rPr>
      </w:pPr>
      <w:bookmarkStart w:id="9" w:name="_Toc222485882"/>
      <w:r w:rsidRPr="009E06C0">
        <w:rPr>
          <w:rFonts w:asciiTheme="minorBidi" w:hAnsiTheme="minorBidi" w:cstheme="minorBidi"/>
          <w:b/>
          <w:bCs/>
          <w:sz w:val="28"/>
          <w:szCs w:val="28"/>
          <w:u w:val="single"/>
        </w:rPr>
        <w:t>HR Practices for DEI</w:t>
      </w:r>
      <w:bookmarkEnd w:id="9"/>
      <w:r w:rsidRPr="009E06C0">
        <w:rPr>
          <w:rFonts w:asciiTheme="minorBidi" w:hAnsiTheme="minorBidi" w:cstheme="minorBidi"/>
          <w:b/>
          <w:bCs/>
          <w:sz w:val="28"/>
          <w:szCs w:val="28"/>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Unconscious bias can be minimized through blind recruitment that eliminates identifying information in the shortlisting process. The </w:t>
      </w:r>
      <w:proofErr w:type="spellStart"/>
      <w:r w:rsidRPr="00714672">
        <w:rPr>
          <w:rFonts w:asciiTheme="minorBidi" w:hAnsiTheme="minorBidi"/>
          <w:sz w:val="22"/>
          <w:szCs w:val="22"/>
        </w:rPr>
        <w:t>Behavioural</w:t>
      </w:r>
      <w:proofErr w:type="spellEnd"/>
      <w:r w:rsidRPr="00714672">
        <w:rPr>
          <w:rFonts w:asciiTheme="minorBidi" w:hAnsiTheme="minorBidi"/>
          <w:sz w:val="22"/>
          <w:szCs w:val="22"/>
        </w:rPr>
        <w:t xml:space="preserve"> Insights Team discovered that when the anonymity of the applications was upheld, the chances of minority candidates being successful went up. Human resource management is a significant undertaking that determines the performance of the organization through recruitment (</w:t>
      </w:r>
      <w:proofErr w:type="spellStart"/>
      <w:r w:rsidRPr="00714672">
        <w:rPr>
          <w:rFonts w:asciiTheme="minorBidi" w:hAnsiTheme="minorBidi"/>
          <w:sz w:val="22"/>
          <w:szCs w:val="22"/>
        </w:rPr>
        <w:t>Vivek</w:t>
      </w:r>
      <w:proofErr w:type="spellEnd"/>
      <w:r w:rsidRPr="00714672">
        <w:rPr>
          <w:rFonts w:asciiTheme="minorBidi" w:hAnsiTheme="minorBidi"/>
          <w:sz w:val="22"/>
          <w:szCs w:val="22"/>
        </w:rPr>
        <w:t xml:space="preserve">, 2022).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Diverse teams are enhanced through inclusive leadership training, which enhances managerial competency. Catalyst, the nonprofit aimed at creating workplaces that work for women around the world, proves that the leaders of the company that empathize assist in employee engagement and innovativeness, as well as eliminate the intention to resign and burnout (Catalyst, 2021). Pay equity audits determine unfair disparities in pay and strengthen equity. The Chartered Management Institute enhances methodical pay audits in order to correct gender inequalities.</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ERGs serve as a way to foster membership but will become symbolic without executive leadership backing. Inclusion beyond representation takes measuring employee surveys and </w:t>
      </w:r>
      <w:proofErr w:type="spellStart"/>
      <w:r w:rsidRPr="00714672">
        <w:rPr>
          <w:rFonts w:asciiTheme="minorBidi" w:hAnsiTheme="minorBidi"/>
          <w:sz w:val="22"/>
          <w:szCs w:val="22"/>
        </w:rPr>
        <w:t>behavioural</w:t>
      </w:r>
      <w:proofErr w:type="spellEnd"/>
      <w:r w:rsidRPr="00714672">
        <w:rPr>
          <w:rFonts w:asciiTheme="minorBidi" w:hAnsiTheme="minorBidi"/>
          <w:sz w:val="22"/>
          <w:szCs w:val="22"/>
        </w:rPr>
        <w:t xml:space="preserve"> measures.</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Although </w:t>
      </w:r>
      <w:proofErr w:type="spellStart"/>
      <w:r w:rsidRPr="00714672">
        <w:rPr>
          <w:rFonts w:asciiTheme="minorBidi" w:hAnsiTheme="minorBidi"/>
          <w:sz w:val="22"/>
          <w:szCs w:val="22"/>
        </w:rPr>
        <w:t>organisational</w:t>
      </w:r>
      <w:proofErr w:type="spellEnd"/>
      <w:r w:rsidRPr="00714672">
        <w:rPr>
          <w:rFonts w:asciiTheme="minorBidi" w:hAnsiTheme="minorBidi"/>
          <w:sz w:val="22"/>
          <w:szCs w:val="22"/>
        </w:rPr>
        <w:t xml:space="preserve"> reputation and performance are enhanced by DEI efforts, accountability procedures and regular cultural reinforcement are the key to sustainability.</w:t>
      </w:r>
    </w:p>
    <w:p w:rsidR="002D0F73" w:rsidRPr="00714672" w:rsidRDefault="002D0F73" w:rsidP="00714672">
      <w:pPr>
        <w:pStyle w:val="Heading1"/>
        <w:numPr>
          <w:ilvl w:val="0"/>
          <w:numId w:val="3"/>
        </w:numPr>
        <w:spacing w:before="0" w:after="200"/>
        <w:ind w:left="450"/>
        <w:rPr>
          <w:rFonts w:asciiTheme="minorBidi" w:hAnsiTheme="minorBidi" w:cstheme="minorBidi"/>
          <w:b/>
          <w:bCs/>
          <w:sz w:val="32"/>
          <w:szCs w:val="24"/>
          <w:u w:val="single"/>
        </w:rPr>
      </w:pPr>
      <w:bookmarkStart w:id="10" w:name="_Toc222485883"/>
      <w:r w:rsidRPr="00714672">
        <w:rPr>
          <w:rFonts w:asciiTheme="minorBidi" w:hAnsiTheme="minorBidi" w:cstheme="minorBidi"/>
          <w:b/>
          <w:bCs/>
          <w:sz w:val="32"/>
          <w:szCs w:val="24"/>
          <w:u w:val="single"/>
        </w:rPr>
        <w:lastRenderedPageBreak/>
        <w:t>Critical Evaluation of Departmental Managers’ Role in Urgent Implementation</w:t>
      </w:r>
      <w:bookmarkEnd w:id="10"/>
      <w:r w:rsidRPr="00714672">
        <w:rPr>
          <w:rFonts w:asciiTheme="minorBidi" w:hAnsiTheme="minorBidi" w:cstheme="minorBidi"/>
          <w:b/>
          <w:bCs/>
          <w:sz w:val="32"/>
          <w:szCs w:val="24"/>
          <w:u w:val="single"/>
        </w:rPr>
        <w:t xml:space="preserve"> </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Departmental managers are significant in the conversion of HR strategy into operational practice. KPIs that are performance-based can be used to enhance leadership accountability and make managers accountable in terms of diversity outcomes, engagement rates, and training success.</w:t>
      </w:r>
    </w:p>
    <w:p w:rsidR="001E20B5" w:rsidRPr="00714672" w:rsidRDefault="001E20B5" w:rsidP="00714672">
      <w:pPr>
        <w:spacing w:after="200" w:line="360" w:lineRule="auto"/>
        <w:jc w:val="both"/>
        <w:rPr>
          <w:rFonts w:asciiTheme="minorBidi" w:hAnsiTheme="minorBidi"/>
          <w:sz w:val="22"/>
          <w:szCs w:val="22"/>
        </w:rPr>
      </w:pPr>
      <w:proofErr w:type="spellStart"/>
      <w:r w:rsidRPr="00714672">
        <w:rPr>
          <w:rFonts w:asciiTheme="minorBidi" w:hAnsiTheme="minorBidi"/>
          <w:sz w:val="22"/>
          <w:szCs w:val="22"/>
        </w:rPr>
        <w:t>Kotter</w:t>
      </w:r>
      <w:proofErr w:type="spellEnd"/>
      <w:r w:rsidRPr="00714672">
        <w:rPr>
          <w:rFonts w:asciiTheme="minorBidi" w:hAnsiTheme="minorBidi"/>
          <w:sz w:val="22"/>
          <w:szCs w:val="22"/>
        </w:rPr>
        <w:t xml:space="preserve"> change model focuses on the establishment of urgency, the establishment of coalitions and entrenchment of change into the </w:t>
      </w:r>
      <w:proofErr w:type="spellStart"/>
      <w:r w:rsidRPr="00714672">
        <w:rPr>
          <w:rFonts w:asciiTheme="minorBidi" w:hAnsiTheme="minorBidi"/>
          <w:sz w:val="22"/>
          <w:szCs w:val="22"/>
        </w:rPr>
        <w:t>organisational</w:t>
      </w:r>
      <w:proofErr w:type="spellEnd"/>
      <w:r w:rsidRPr="00714672">
        <w:rPr>
          <w:rFonts w:asciiTheme="minorBidi" w:hAnsiTheme="minorBidi"/>
          <w:sz w:val="22"/>
          <w:szCs w:val="22"/>
        </w:rPr>
        <w:t xml:space="preserve"> culture and this needs to be </w:t>
      </w:r>
      <w:proofErr w:type="spellStart"/>
      <w:r w:rsidRPr="00714672">
        <w:rPr>
          <w:rFonts w:asciiTheme="minorBidi" w:hAnsiTheme="minorBidi"/>
          <w:sz w:val="22"/>
          <w:szCs w:val="22"/>
        </w:rPr>
        <w:t>functionalised</w:t>
      </w:r>
      <w:proofErr w:type="spellEnd"/>
      <w:r w:rsidRPr="00714672">
        <w:rPr>
          <w:rFonts w:asciiTheme="minorBidi" w:hAnsiTheme="minorBidi"/>
          <w:sz w:val="22"/>
          <w:szCs w:val="22"/>
        </w:rPr>
        <w:t xml:space="preserve"> by the managers at departmental levels. </w:t>
      </w:r>
      <w:proofErr w:type="spellStart"/>
      <w:r w:rsidRPr="00714672">
        <w:rPr>
          <w:rFonts w:asciiTheme="minorBidi" w:hAnsiTheme="minorBidi"/>
          <w:sz w:val="22"/>
          <w:szCs w:val="22"/>
        </w:rPr>
        <w:t>Carreno</w:t>
      </w:r>
      <w:proofErr w:type="spellEnd"/>
      <w:r w:rsidRPr="00714672">
        <w:rPr>
          <w:rFonts w:asciiTheme="minorBidi" w:hAnsiTheme="minorBidi"/>
          <w:sz w:val="22"/>
          <w:szCs w:val="22"/>
        </w:rPr>
        <w:t xml:space="preserve">, (2024) seeks to critically </w:t>
      </w:r>
      <w:proofErr w:type="spellStart"/>
      <w:r w:rsidRPr="00714672">
        <w:rPr>
          <w:rFonts w:asciiTheme="minorBidi" w:hAnsiTheme="minorBidi"/>
          <w:sz w:val="22"/>
          <w:szCs w:val="22"/>
        </w:rPr>
        <w:t>analyse</w:t>
      </w:r>
      <w:proofErr w:type="spellEnd"/>
      <w:r w:rsidRPr="00714672">
        <w:rPr>
          <w:rFonts w:asciiTheme="minorBidi" w:hAnsiTheme="minorBidi"/>
          <w:sz w:val="22"/>
          <w:szCs w:val="22"/>
        </w:rPr>
        <w:t xml:space="preserve"> the 8-step leadership model of change put forward by John P. </w:t>
      </w:r>
      <w:proofErr w:type="spellStart"/>
      <w:r w:rsidRPr="00714672">
        <w:rPr>
          <w:rFonts w:asciiTheme="minorBidi" w:hAnsiTheme="minorBidi"/>
          <w:sz w:val="22"/>
          <w:szCs w:val="22"/>
        </w:rPr>
        <w:t>Kotter</w:t>
      </w:r>
      <w:proofErr w:type="spellEnd"/>
      <w:r w:rsidRPr="00714672">
        <w:rPr>
          <w:rFonts w:asciiTheme="minorBidi" w:hAnsiTheme="minorBidi"/>
          <w:sz w:val="22"/>
          <w:szCs w:val="22"/>
        </w:rPr>
        <w:t xml:space="preserve"> in relation to the contemporary transformation of </w:t>
      </w:r>
      <w:proofErr w:type="spellStart"/>
      <w:r w:rsidRPr="00714672">
        <w:rPr>
          <w:rFonts w:asciiTheme="minorBidi" w:hAnsiTheme="minorBidi"/>
          <w:sz w:val="22"/>
          <w:szCs w:val="22"/>
        </w:rPr>
        <w:t>organisations</w:t>
      </w:r>
      <w:proofErr w:type="spellEnd"/>
      <w:r w:rsidRPr="00714672">
        <w:rPr>
          <w:rFonts w:asciiTheme="minorBidi" w:hAnsiTheme="minorBidi"/>
          <w:sz w:val="22"/>
          <w:szCs w:val="22"/>
        </w:rPr>
        <w:t>.</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Good communication techniques </w:t>
      </w:r>
      <w:proofErr w:type="spellStart"/>
      <w:r w:rsidRPr="00714672">
        <w:rPr>
          <w:rFonts w:asciiTheme="minorBidi" w:hAnsiTheme="minorBidi"/>
          <w:sz w:val="22"/>
          <w:szCs w:val="22"/>
        </w:rPr>
        <w:t>minimise</w:t>
      </w:r>
      <w:proofErr w:type="spellEnd"/>
      <w:r w:rsidRPr="00714672">
        <w:rPr>
          <w:rFonts w:asciiTheme="minorBidi" w:hAnsiTheme="minorBidi"/>
          <w:sz w:val="22"/>
          <w:szCs w:val="22"/>
        </w:rPr>
        <w:t xml:space="preserve"> the opposition of technological and cultural shifts. Employees should be involved in decision-making by the managers in order to increase ownership and minimize uncertainty.</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HR analytics dashboards enable tracking of the real-time workforce data, such as the attrition trends and diversity metrics. Frequent review meetings are also accountable and constantly improving.</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To incorporate HR into line management, there has to be systematic training on employment law, inclusive leadership and performance management. The systems of coaching and mentoring contribute to the systems of capability development.</w:t>
      </w:r>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Nevertheless, obstacles are also important. Urgent implementation may be hampered by resistance to change, limited departmental budgets, inertia of middle-management, and time pressures of environmentally fast-paced retail environments.</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The managers should therefore exhibit adaptive leadership, give HR initiatives priority under the constraint of operations and should align the departmental goals with the overall strategic goals of Tesco. HR policies cannot be superficially adopted without commitment on the part of the managers.</w:t>
      </w:r>
    </w:p>
    <w:p w:rsidR="002D0F73" w:rsidRPr="00714672" w:rsidRDefault="002D0F73" w:rsidP="00714672">
      <w:pPr>
        <w:pStyle w:val="Heading1"/>
        <w:numPr>
          <w:ilvl w:val="0"/>
          <w:numId w:val="3"/>
        </w:numPr>
        <w:spacing w:before="0" w:after="200"/>
        <w:ind w:left="450"/>
        <w:rPr>
          <w:rFonts w:asciiTheme="minorBidi" w:hAnsiTheme="minorBidi" w:cstheme="minorBidi"/>
          <w:b/>
          <w:bCs/>
          <w:sz w:val="32"/>
          <w:szCs w:val="24"/>
          <w:u w:val="single"/>
        </w:rPr>
      </w:pPr>
      <w:bookmarkStart w:id="11" w:name="_Toc222485884"/>
      <w:r w:rsidRPr="00714672">
        <w:rPr>
          <w:rFonts w:asciiTheme="minorBidi" w:hAnsiTheme="minorBidi" w:cstheme="minorBidi"/>
          <w:b/>
          <w:bCs/>
          <w:sz w:val="32"/>
          <w:szCs w:val="24"/>
          <w:u w:val="single"/>
        </w:rPr>
        <w:lastRenderedPageBreak/>
        <w:t>Conclusion</w:t>
      </w:r>
      <w:r w:rsidR="00DD02C2" w:rsidRPr="00714672">
        <w:rPr>
          <w:rFonts w:asciiTheme="minorBidi" w:hAnsiTheme="minorBidi" w:cstheme="minorBidi"/>
          <w:b/>
          <w:bCs/>
          <w:sz w:val="32"/>
          <w:szCs w:val="24"/>
          <w:u w:val="single"/>
        </w:rPr>
        <w:t xml:space="preserve"> and Recommendations</w:t>
      </w:r>
      <w:bookmarkEnd w:id="11"/>
      <w:r w:rsidR="00DD02C2" w:rsidRPr="00714672">
        <w:rPr>
          <w:rFonts w:asciiTheme="minorBidi" w:hAnsiTheme="minorBidi" w:cstheme="minorBidi"/>
          <w:b/>
          <w:bCs/>
          <w:sz w:val="32"/>
          <w:szCs w:val="24"/>
          <w:u w:val="single"/>
        </w:rPr>
        <w:t xml:space="preserve"> </w:t>
      </w:r>
    </w:p>
    <w:p w:rsidR="002D0F73" w:rsidRPr="009E06C0" w:rsidRDefault="00DD02C2" w:rsidP="009E06C0">
      <w:pPr>
        <w:pStyle w:val="Heading2"/>
        <w:numPr>
          <w:ilvl w:val="1"/>
          <w:numId w:val="3"/>
        </w:numPr>
        <w:spacing w:before="0" w:after="200"/>
        <w:rPr>
          <w:rFonts w:asciiTheme="minorBidi" w:hAnsiTheme="minorBidi" w:cstheme="minorBidi"/>
          <w:b/>
          <w:bCs/>
          <w:sz w:val="28"/>
          <w:szCs w:val="28"/>
          <w:u w:val="single"/>
        </w:rPr>
      </w:pPr>
      <w:bookmarkStart w:id="12" w:name="_Toc222485885"/>
      <w:r w:rsidRPr="009E06C0">
        <w:rPr>
          <w:rFonts w:asciiTheme="minorBidi" w:hAnsiTheme="minorBidi" w:cstheme="minorBidi"/>
          <w:b/>
          <w:bCs/>
          <w:sz w:val="28"/>
          <w:szCs w:val="28"/>
          <w:u w:val="single"/>
        </w:rPr>
        <w:t>Conclusion</w:t>
      </w:r>
      <w:bookmarkEnd w:id="12"/>
      <w:r w:rsidRPr="009E06C0">
        <w:rPr>
          <w:rFonts w:asciiTheme="minorBidi" w:hAnsiTheme="minorBidi" w:cstheme="minorBidi"/>
          <w:b/>
          <w:bCs/>
          <w:sz w:val="28"/>
          <w:szCs w:val="28"/>
          <w:u w:val="single"/>
        </w:rPr>
        <w:t xml:space="preserve"> </w:t>
      </w:r>
    </w:p>
    <w:p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As this report shows, technological progress, issues with talent acquisition, and the pressure of DEI have a strong influence on the HR strategy at Tesco. Digital transformation necessitates life-long workforce reskilling and change management. The ability to retain talents is reliant on the integrated reward systems, employer branding, and fulfilment of psychological contracts. DEI is a performance driver and a legal requirement. Finally, the strategic HR integration increases </w:t>
      </w:r>
      <w:proofErr w:type="spellStart"/>
      <w:r w:rsidRPr="00714672">
        <w:rPr>
          <w:rFonts w:asciiTheme="minorBidi" w:hAnsiTheme="minorBidi"/>
          <w:sz w:val="22"/>
          <w:szCs w:val="22"/>
        </w:rPr>
        <w:t>organisational</w:t>
      </w:r>
      <w:proofErr w:type="spellEnd"/>
      <w:r w:rsidRPr="00714672">
        <w:rPr>
          <w:rFonts w:asciiTheme="minorBidi" w:hAnsiTheme="minorBidi"/>
          <w:sz w:val="22"/>
          <w:szCs w:val="22"/>
        </w:rPr>
        <w:t xml:space="preserve"> resilience and competitive advantage in the changing UK retailing industry.</w:t>
      </w:r>
    </w:p>
    <w:p w:rsidR="00DD02C2"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13" w:name="_Toc222485886"/>
      <w:r w:rsidRPr="009E06C0">
        <w:rPr>
          <w:rFonts w:asciiTheme="minorBidi" w:hAnsiTheme="minorBidi" w:cstheme="minorBidi"/>
          <w:b/>
          <w:bCs/>
          <w:sz w:val="28"/>
          <w:szCs w:val="28"/>
          <w:u w:val="single"/>
        </w:rPr>
        <w:t>Recommendations</w:t>
      </w:r>
      <w:bookmarkEnd w:id="13"/>
    </w:p>
    <w:p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Invest in digital learning and reskilling platforms to facilitate technology change and readiness to future workforce.</w:t>
      </w:r>
    </w:p>
    <w:p w:rsidR="001E20B5" w:rsidRPr="00714672" w:rsidRDefault="001E20B5" w:rsidP="00714672">
      <w:pPr>
        <w:numPr>
          <w:ilvl w:val="0"/>
          <w:numId w:val="1"/>
        </w:numPr>
        <w:spacing w:after="200" w:line="360" w:lineRule="auto"/>
        <w:jc w:val="both"/>
        <w:rPr>
          <w:rFonts w:asciiTheme="minorBidi" w:hAnsiTheme="minorBidi"/>
          <w:sz w:val="22"/>
          <w:szCs w:val="22"/>
        </w:rPr>
      </w:pPr>
      <w:r w:rsidRPr="00714672">
        <w:rPr>
          <w:rFonts w:asciiTheme="minorBidi" w:hAnsiTheme="minorBidi"/>
          <w:sz w:val="22"/>
          <w:szCs w:val="22"/>
        </w:rPr>
        <w:t>Enhance employer branding and create proper career movements and development to improve attraction and retention of talents.</w:t>
      </w:r>
    </w:p>
    <w:p w:rsidR="001E20B5" w:rsidRPr="00714672" w:rsidRDefault="001E20B5" w:rsidP="00714672">
      <w:pPr>
        <w:numPr>
          <w:ilvl w:val="0"/>
          <w:numId w:val="1"/>
        </w:numPr>
        <w:spacing w:after="200" w:line="360" w:lineRule="auto"/>
        <w:jc w:val="both"/>
        <w:rPr>
          <w:rFonts w:asciiTheme="minorBidi" w:hAnsiTheme="minorBidi"/>
          <w:sz w:val="22"/>
          <w:szCs w:val="22"/>
        </w:rPr>
      </w:pPr>
      <w:r w:rsidRPr="00714672">
        <w:rPr>
          <w:rFonts w:asciiTheme="minorBidi" w:hAnsiTheme="minorBidi"/>
          <w:sz w:val="22"/>
          <w:szCs w:val="22"/>
        </w:rPr>
        <w:t>Incorporate the quantifiable DEI goals on a departmental level, with frequent audits of pay and leadership development initiatives including everyone.</w:t>
      </w:r>
    </w:p>
    <w:p w:rsidR="002D0F73" w:rsidRPr="00714672" w:rsidRDefault="001E20B5" w:rsidP="00714672">
      <w:pPr>
        <w:numPr>
          <w:ilvl w:val="0"/>
          <w:numId w:val="1"/>
        </w:numPr>
        <w:spacing w:after="200" w:line="360" w:lineRule="auto"/>
        <w:jc w:val="both"/>
        <w:rPr>
          <w:rFonts w:asciiTheme="minorBidi" w:hAnsiTheme="minorBidi"/>
          <w:sz w:val="22"/>
          <w:szCs w:val="22"/>
        </w:rPr>
      </w:pPr>
      <w:r w:rsidRPr="00714672">
        <w:rPr>
          <w:rFonts w:asciiTheme="minorBidi" w:hAnsiTheme="minorBidi"/>
          <w:sz w:val="22"/>
          <w:szCs w:val="22"/>
        </w:rPr>
        <w:t>Enforce performance-based KPIs on departmental managers and adopt integrated HR analytics systems to monitor the workforce based on the data.</w:t>
      </w:r>
    </w:p>
    <w:p w:rsidR="007E3FA7" w:rsidRPr="00714672" w:rsidRDefault="002D0F73" w:rsidP="00714672">
      <w:pPr>
        <w:pStyle w:val="Heading1"/>
        <w:spacing w:before="0" w:after="200"/>
        <w:rPr>
          <w:rFonts w:asciiTheme="minorBidi" w:hAnsiTheme="minorBidi" w:cstheme="minorBidi"/>
          <w:b/>
          <w:bCs/>
          <w:sz w:val="32"/>
          <w:szCs w:val="24"/>
          <w:u w:val="single"/>
        </w:rPr>
      </w:pPr>
      <w:r w:rsidRPr="00714672">
        <w:rPr>
          <w:rFonts w:asciiTheme="minorBidi" w:hAnsiTheme="minorBidi" w:cstheme="minorBidi"/>
          <w:sz w:val="22"/>
          <w:szCs w:val="22"/>
        </w:rPr>
        <w:br w:type="page"/>
      </w:r>
      <w:bookmarkStart w:id="14" w:name="_Toc222485887"/>
      <w:r w:rsidRPr="00714672">
        <w:rPr>
          <w:rFonts w:asciiTheme="minorBidi" w:hAnsiTheme="minorBidi" w:cstheme="minorBidi"/>
          <w:b/>
          <w:bCs/>
          <w:sz w:val="32"/>
          <w:szCs w:val="24"/>
          <w:u w:val="single"/>
        </w:rPr>
        <w:lastRenderedPageBreak/>
        <w:t>References</w:t>
      </w:r>
      <w:bookmarkEnd w:id="14"/>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CIPD (2025). </w:t>
      </w:r>
      <w:proofErr w:type="spellStart"/>
      <w:r w:rsidRPr="00714672">
        <w:rPr>
          <w:rFonts w:asciiTheme="minorBidi" w:hAnsiTheme="minorBidi"/>
          <w:i/>
          <w:iCs/>
          <w:sz w:val="22"/>
          <w:szCs w:val="22"/>
        </w:rPr>
        <w:t>Labour</w:t>
      </w:r>
      <w:proofErr w:type="spellEnd"/>
      <w:r w:rsidRPr="00714672">
        <w:rPr>
          <w:rFonts w:asciiTheme="minorBidi" w:hAnsiTheme="minorBidi"/>
          <w:i/>
          <w:iCs/>
          <w:sz w:val="22"/>
          <w:szCs w:val="22"/>
        </w:rPr>
        <w:t xml:space="preserve"> Market Outlook – Winter 2024/25</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CIPD. Available at: </w:t>
      </w:r>
      <w:hyperlink r:id="rId8" w:history="1">
        <w:r w:rsidRPr="00714672">
          <w:rPr>
            <w:rStyle w:val="Hyperlink"/>
            <w:rFonts w:asciiTheme="minorBidi" w:hAnsiTheme="minorBidi"/>
            <w:sz w:val="22"/>
            <w:szCs w:val="22"/>
          </w:rPr>
          <w:t>https://www.cipd.org/uk/knowledge/reports/labour-market-outlook/</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Tesco (2025). </w:t>
      </w:r>
      <w:r w:rsidRPr="00714672">
        <w:rPr>
          <w:rFonts w:asciiTheme="minorBidi" w:hAnsiTheme="minorBidi"/>
          <w:i/>
          <w:iCs/>
          <w:sz w:val="22"/>
          <w:szCs w:val="22"/>
        </w:rPr>
        <w:t>About Us</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Tesco PLC. Available at: </w:t>
      </w:r>
      <w:hyperlink r:id="rId9" w:history="1">
        <w:r w:rsidRPr="00714672">
          <w:rPr>
            <w:rStyle w:val="Hyperlink"/>
            <w:rFonts w:asciiTheme="minorBidi" w:hAnsiTheme="minorBidi"/>
            <w:sz w:val="22"/>
            <w:szCs w:val="22"/>
          </w:rPr>
          <w:t>https://www.tescoplc.com/about</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World Economic Forum (2025) </w:t>
      </w:r>
      <w:r w:rsidRPr="00714672">
        <w:rPr>
          <w:rFonts w:asciiTheme="minorBidi" w:hAnsiTheme="minorBidi"/>
          <w:i/>
          <w:iCs/>
          <w:sz w:val="22"/>
          <w:szCs w:val="22"/>
        </w:rPr>
        <w:t>Future of Jobs Report 2025</w:t>
      </w:r>
      <w:r w:rsidRPr="00714672">
        <w:rPr>
          <w:rFonts w:asciiTheme="minorBidi" w:hAnsiTheme="minorBidi"/>
          <w:sz w:val="22"/>
          <w:szCs w:val="22"/>
        </w:rPr>
        <w:t xml:space="preserve">. Geneva: World Economic Forum. Available at: </w:t>
      </w:r>
      <w:hyperlink r:id="rId10" w:tgtFrame="_new" w:history="1">
        <w:r w:rsidRPr="00714672">
          <w:rPr>
            <w:rStyle w:val="Hyperlink"/>
            <w:rFonts w:asciiTheme="minorBidi" w:hAnsiTheme="minorBidi"/>
            <w:sz w:val="22"/>
            <w:szCs w:val="22"/>
          </w:rPr>
          <w:t>https://reports.weforum.org/docs/WEF_Future_of_Jobs_Report_2025.pdf</w:t>
        </w:r>
      </w:hyperlink>
      <w:r w:rsidRPr="00714672">
        <w:rPr>
          <w:rFonts w:asciiTheme="minorBidi" w:hAnsiTheme="minorBidi"/>
          <w:sz w:val="22"/>
          <w:szCs w:val="22"/>
        </w:rPr>
        <w:t xml:space="preserve"> (Accessed: 20 February 2026).</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McKinsey Global Institute (2024). </w:t>
      </w:r>
      <w:r w:rsidRPr="00714672">
        <w:rPr>
          <w:rFonts w:asciiTheme="minorBidi" w:hAnsiTheme="minorBidi"/>
          <w:i/>
          <w:iCs/>
          <w:sz w:val="22"/>
          <w:szCs w:val="22"/>
        </w:rPr>
        <w:t>A new future of work: The race to deploy AI and raise skills in Europe and beyond</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www.mckinsey.com. Available at: </w:t>
      </w:r>
      <w:hyperlink r:id="rId11" w:history="1">
        <w:r w:rsidRPr="00714672">
          <w:rPr>
            <w:rStyle w:val="Hyperlink"/>
            <w:rFonts w:asciiTheme="minorBidi" w:hAnsiTheme="minorBidi"/>
            <w:sz w:val="22"/>
            <w:szCs w:val="22"/>
          </w:rPr>
          <w:t>https://www.mckinsey.com/mgi/our-research/a-new-future-of-work-the-race-to-deploy-ai-and-raise-skills-in-europe-and-beyond</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HRD Connect (2024). </w:t>
      </w:r>
      <w:r w:rsidRPr="00714672">
        <w:rPr>
          <w:rFonts w:asciiTheme="minorBidi" w:hAnsiTheme="minorBidi"/>
          <w:i/>
          <w:iCs/>
          <w:sz w:val="22"/>
          <w:szCs w:val="22"/>
        </w:rPr>
        <w:t xml:space="preserve">72% of UK Firms Struggle with Skills Gaps, Turning to AI and </w:t>
      </w:r>
      <w:proofErr w:type="spellStart"/>
      <w:r w:rsidRPr="00714672">
        <w:rPr>
          <w:rFonts w:asciiTheme="minorBidi" w:hAnsiTheme="minorBidi"/>
          <w:i/>
          <w:iCs/>
          <w:sz w:val="22"/>
          <w:szCs w:val="22"/>
        </w:rPr>
        <w:t>Upskilling</w:t>
      </w:r>
      <w:proofErr w:type="spellEnd"/>
      <w:r w:rsidRPr="00714672">
        <w:rPr>
          <w:rFonts w:asciiTheme="minorBidi" w:hAnsiTheme="minorBidi"/>
          <w:i/>
          <w:iCs/>
          <w:sz w:val="22"/>
          <w:szCs w:val="22"/>
        </w:rPr>
        <w:t xml:space="preserve"> </w:t>
      </w:r>
      <w:proofErr w:type="gramStart"/>
      <w:r w:rsidRPr="00714672">
        <w:rPr>
          <w:rFonts w:asciiTheme="minorBidi" w:hAnsiTheme="minorBidi"/>
          <w:i/>
          <w:iCs/>
          <w:sz w:val="22"/>
          <w:szCs w:val="22"/>
        </w:rPr>
        <w:t>Amid</w:t>
      </w:r>
      <w:proofErr w:type="gramEnd"/>
      <w:r w:rsidRPr="00714672">
        <w:rPr>
          <w:rFonts w:asciiTheme="minorBidi" w:hAnsiTheme="minorBidi"/>
          <w:i/>
          <w:iCs/>
          <w:sz w:val="22"/>
          <w:szCs w:val="22"/>
        </w:rPr>
        <w:t xml:space="preserve"> £275M Productivity Loss - HRD</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HRD. Available at: </w:t>
      </w:r>
      <w:hyperlink r:id="rId12" w:history="1">
        <w:r w:rsidRPr="00714672">
          <w:rPr>
            <w:rStyle w:val="Hyperlink"/>
            <w:rFonts w:asciiTheme="minorBidi" w:hAnsiTheme="minorBidi"/>
            <w:sz w:val="22"/>
            <w:szCs w:val="22"/>
          </w:rPr>
          <w:t>https://www.hrdconnect.com/2024/09/25/72-of-uk-firms-struggle-with-skills-gaps-turning-to-ai-and-upskilling-amid-275m-productivity-loss/</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proofErr w:type="spellStart"/>
      <w:r w:rsidRPr="00714672">
        <w:rPr>
          <w:rFonts w:asciiTheme="minorBidi" w:hAnsiTheme="minorBidi"/>
          <w:sz w:val="22"/>
          <w:szCs w:val="22"/>
        </w:rPr>
        <w:t>Ramasamy</w:t>
      </w:r>
      <w:proofErr w:type="spellEnd"/>
      <w:r w:rsidRPr="00714672">
        <w:rPr>
          <w:rFonts w:asciiTheme="minorBidi" w:hAnsiTheme="minorBidi"/>
          <w:sz w:val="22"/>
          <w:szCs w:val="22"/>
        </w:rPr>
        <w:t>, R. (2017). </w:t>
      </w:r>
      <w:r w:rsidRPr="00714672">
        <w:rPr>
          <w:rFonts w:asciiTheme="minorBidi" w:hAnsiTheme="minorBidi"/>
          <w:i/>
          <w:iCs/>
          <w:sz w:val="22"/>
          <w:szCs w:val="22"/>
        </w:rPr>
        <w:t xml:space="preserve">A Critical Analysis of John P. </w:t>
      </w:r>
      <w:proofErr w:type="spellStart"/>
      <w:r w:rsidRPr="00714672">
        <w:rPr>
          <w:rFonts w:asciiTheme="minorBidi" w:hAnsiTheme="minorBidi"/>
          <w:i/>
          <w:iCs/>
          <w:sz w:val="22"/>
          <w:szCs w:val="22"/>
        </w:rPr>
        <w:t>Kotter’s</w:t>
      </w:r>
      <w:proofErr w:type="spellEnd"/>
      <w:r w:rsidRPr="00714672">
        <w:rPr>
          <w:rFonts w:asciiTheme="minorBidi" w:hAnsiTheme="minorBidi"/>
          <w:i/>
          <w:iCs/>
          <w:sz w:val="22"/>
          <w:szCs w:val="22"/>
        </w:rPr>
        <w:t xml:space="preserve"> Change Management Framework</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w:t>
      </w:r>
      <w:proofErr w:type="spellStart"/>
      <w:r w:rsidRPr="00714672">
        <w:rPr>
          <w:rFonts w:asciiTheme="minorBidi" w:hAnsiTheme="minorBidi"/>
          <w:sz w:val="22"/>
          <w:szCs w:val="22"/>
        </w:rPr>
        <w:t>ResearchGate</w:t>
      </w:r>
      <w:proofErr w:type="spellEnd"/>
      <w:r w:rsidRPr="00714672">
        <w:rPr>
          <w:rFonts w:asciiTheme="minorBidi" w:hAnsiTheme="minorBidi"/>
          <w:sz w:val="22"/>
          <w:szCs w:val="22"/>
        </w:rPr>
        <w:t xml:space="preserve">. Available at: </w:t>
      </w:r>
      <w:hyperlink r:id="rId13" w:history="1">
        <w:r w:rsidRPr="00714672">
          <w:rPr>
            <w:rStyle w:val="Hyperlink"/>
            <w:rFonts w:asciiTheme="minorBidi" w:hAnsiTheme="minorBidi"/>
            <w:sz w:val="22"/>
            <w:szCs w:val="22"/>
          </w:rPr>
          <w:t>https://www.researchgate.net/publication/318481875_A_critical_analysis_of_John_P_Kotter</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BRC (2025). </w:t>
      </w:r>
      <w:r w:rsidRPr="00714672">
        <w:rPr>
          <w:rFonts w:asciiTheme="minorBidi" w:hAnsiTheme="minorBidi"/>
          <w:i/>
          <w:iCs/>
          <w:sz w:val="22"/>
          <w:szCs w:val="22"/>
        </w:rPr>
        <w:t xml:space="preserve">How employee health and financial wellbeing challenges are affecting retail industry </w:t>
      </w:r>
      <w:proofErr w:type="spellStart"/>
      <w:r w:rsidRPr="00714672">
        <w:rPr>
          <w:rFonts w:asciiTheme="minorBidi" w:hAnsiTheme="minorBidi"/>
          <w:i/>
          <w:iCs/>
          <w:sz w:val="22"/>
          <w:szCs w:val="22"/>
        </w:rPr>
        <w:t>labour</w:t>
      </w:r>
      <w:proofErr w:type="spellEnd"/>
      <w:r w:rsidRPr="00714672">
        <w:rPr>
          <w:rFonts w:asciiTheme="minorBidi" w:hAnsiTheme="minorBidi"/>
          <w:i/>
          <w:iCs/>
          <w:sz w:val="22"/>
          <w:szCs w:val="22"/>
        </w:rPr>
        <w:t xml:space="preserve"> shortages</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Brc.org.uk. Available at: </w:t>
      </w:r>
      <w:hyperlink r:id="rId14" w:history="1">
        <w:r w:rsidRPr="00714672">
          <w:rPr>
            <w:rStyle w:val="Hyperlink"/>
            <w:rFonts w:asciiTheme="minorBidi" w:hAnsiTheme="minorBidi"/>
            <w:sz w:val="22"/>
            <w:szCs w:val="22"/>
          </w:rPr>
          <w:t>https://brc.org.uk/news-and-events/news/associate-insight/2025/how-employee-health-and-financial-wellbeing-challenges-are-affecting-retail-industry-labour-shortages/</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PWC (2024). </w:t>
      </w:r>
      <w:r w:rsidRPr="00714672">
        <w:rPr>
          <w:rFonts w:asciiTheme="minorBidi" w:hAnsiTheme="minorBidi"/>
          <w:i/>
          <w:iCs/>
          <w:sz w:val="22"/>
          <w:szCs w:val="22"/>
        </w:rPr>
        <w:t>Global Workforce Hopes and Fears Survey</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PwC. Available at: </w:t>
      </w:r>
      <w:hyperlink r:id="rId15" w:history="1">
        <w:r w:rsidRPr="00714672">
          <w:rPr>
            <w:rStyle w:val="Hyperlink"/>
            <w:rFonts w:asciiTheme="minorBidi" w:hAnsiTheme="minorBidi"/>
            <w:sz w:val="22"/>
            <w:szCs w:val="22"/>
          </w:rPr>
          <w:t>https://www.pwc.com/gx/en/issues/workforce/hopes-and-fears.html</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GOV.UK (2013). </w:t>
      </w:r>
      <w:r w:rsidRPr="00714672">
        <w:rPr>
          <w:rFonts w:asciiTheme="minorBidi" w:hAnsiTheme="minorBidi"/>
          <w:i/>
          <w:iCs/>
          <w:sz w:val="22"/>
          <w:szCs w:val="22"/>
        </w:rPr>
        <w:t>Equality Act 2010</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GOV.UK. Available at: </w:t>
      </w:r>
      <w:hyperlink r:id="rId16" w:history="1">
        <w:r w:rsidRPr="00714672">
          <w:rPr>
            <w:rStyle w:val="Hyperlink"/>
            <w:rFonts w:asciiTheme="minorBidi" w:hAnsiTheme="minorBidi"/>
            <w:sz w:val="22"/>
            <w:szCs w:val="22"/>
          </w:rPr>
          <w:t>https://www.gov.uk/guidance/equality-act-2010-guidance</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proofErr w:type="spellStart"/>
      <w:r w:rsidRPr="00714672">
        <w:rPr>
          <w:rFonts w:asciiTheme="minorBidi" w:hAnsiTheme="minorBidi"/>
          <w:sz w:val="22"/>
          <w:szCs w:val="22"/>
        </w:rPr>
        <w:t>Psico</w:t>
      </w:r>
      <w:proofErr w:type="spellEnd"/>
      <w:r w:rsidRPr="00714672">
        <w:rPr>
          <w:rFonts w:asciiTheme="minorBidi" w:hAnsiTheme="minorBidi"/>
          <w:sz w:val="22"/>
          <w:szCs w:val="22"/>
        </w:rPr>
        <w:t xml:space="preserve">-smart Editorial Team (2025) </w:t>
      </w:r>
      <w:proofErr w:type="gramStart"/>
      <w:r w:rsidRPr="00714672">
        <w:rPr>
          <w:rFonts w:asciiTheme="minorBidi" w:hAnsiTheme="minorBidi"/>
          <w:i/>
          <w:iCs/>
          <w:sz w:val="22"/>
          <w:szCs w:val="22"/>
        </w:rPr>
        <w:t>What</w:t>
      </w:r>
      <w:proofErr w:type="gramEnd"/>
      <w:r w:rsidRPr="00714672">
        <w:rPr>
          <w:rFonts w:asciiTheme="minorBidi" w:hAnsiTheme="minorBidi"/>
          <w:i/>
          <w:iCs/>
          <w:sz w:val="22"/>
          <w:szCs w:val="22"/>
        </w:rPr>
        <w:t xml:space="preserve"> are the impacts of gender inclusion policies on corporate financial performance, and what research studies highlight these insights?</w:t>
      </w:r>
      <w:r w:rsidRPr="00714672">
        <w:rPr>
          <w:rFonts w:asciiTheme="minorBidi" w:hAnsiTheme="minorBidi"/>
          <w:sz w:val="22"/>
          <w:szCs w:val="22"/>
        </w:rPr>
        <w:t xml:space="preserve"> </w:t>
      </w:r>
      <w:proofErr w:type="spellStart"/>
      <w:r w:rsidRPr="00714672">
        <w:rPr>
          <w:rFonts w:asciiTheme="minorBidi" w:hAnsiTheme="minorBidi"/>
          <w:sz w:val="22"/>
          <w:szCs w:val="22"/>
        </w:rPr>
        <w:t>Psico</w:t>
      </w:r>
      <w:proofErr w:type="spellEnd"/>
      <w:r w:rsidRPr="00714672">
        <w:rPr>
          <w:rFonts w:asciiTheme="minorBidi" w:hAnsiTheme="minorBidi"/>
          <w:sz w:val="22"/>
          <w:szCs w:val="22"/>
        </w:rPr>
        <w:t xml:space="preserve">-smart. Available </w:t>
      </w:r>
      <w:r w:rsidRPr="00714672">
        <w:rPr>
          <w:rFonts w:asciiTheme="minorBidi" w:hAnsiTheme="minorBidi"/>
          <w:sz w:val="22"/>
          <w:szCs w:val="22"/>
        </w:rPr>
        <w:lastRenderedPageBreak/>
        <w:t xml:space="preserve">at: </w:t>
      </w:r>
      <w:hyperlink r:id="rId17" w:tgtFrame="_new" w:history="1">
        <w:r w:rsidRPr="00714672">
          <w:rPr>
            <w:rStyle w:val="Hyperlink"/>
            <w:rFonts w:asciiTheme="minorBidi" w:hAnsiTheme="minorBidi"/>
            <w:sz w:val="22"/>
            <w:szCs w:val="22"/>
          </w:rPr>
          <w:t>https://blogs.psico-smart.com/blog-what-are-the-impacts-of-gender-inclusion-policies-on-corporate-financi-187995</w:t>
        </w:r>
      </w:hyperlink>
      <w:r w:rsidRPr="00714672">
        <w:rPr>
          <w:rFonts w:asciiTheme="minorBidi" w:hAnsiTheme="minorBidi"/>
          <w:sz w:val="22"/>
          <w:szCs w:val="22"/>
        </w:rPr>
        <w:t xml:space="preserve"> (Accessed: 20 February 2026)</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Ito, A., Sato, K., </w:t>
      </w:r>
      <w:proofErr w:type="spellStart"/>
      <w:r w:rsidRPr="00714672">
        <w:rPr>
          <w:rFonts w:asciiTheme="minorBidi" w:hAnsiTheme="minorBidi"/>
          <w:sz w:val="22"/>
          <w:szCs w:val="22"/>
        </w:rPr>
        <w:t>Yumoto</w:t>
      </w:r>
      <w:proofErr w:type="spellEnd"/>
      <w:r w:rsidRPr="00714672">
        <w:rPr>
          <w:rFonts w:asciiTheme="minorBidi" w:hAnsiTheme="minorBidi"/>
          <w:sz w:val="22"/>
          <w:szCs w:val="22"/>
        </w:rPr>
        <w:t>, Y., Sasaki, M. and Ogata, Y. (2022). A concept analysis of psychological safety: Further understanding for application to health care. </w:t>
      </w:r>
      <w:proofErr w:type="spellStart"/>
      <w:r w:rsidRPr="00714672">
        <w:rPr>
          <w:rFonts w:asciiTheme="minorBidi" w:hAnsiTheme="minorBidi"/>
          <w:i/>
          <w:iCs/>
          <w:sz w:val="22"/>
          <w:szCs w:val="22"/>
        </w:rPr>
        <w:t>ProQuest</w:t>
      </w:r>
      <w:proofErr w:type="spellEnd"/>
      <w:r w:rsidRPr="00714672">
        <w:rPr>
          <w:rFonts w:asciiTheme="minorBidi" w:hAnsiTheme="minorBidi"/>
          <w:sz w:val="22"/>
          <w:szCs w:val="22"/>
        </w:rPr>
        <w:t xml:space="preserve">, [online] 9(1), pp.467–489. </w:t>
      </w:r>
      <w:proofErr w:type="spellStart"/>
      <w:r w:rsidRPr="00714672">
        <w:rPr>
          <w:rFonts w:asciiTheme="minorBidi" w:hAnsiTheme="minorBidi"/>
          <w:sz w:val="22"/>
          <w:szCs w:val="22"/>
        </w:rPr>
        <w:t>doi:https</w:t>
      </w:r>
      <w:proofErr w:type="spellEnd"/>
      <w:r w:rsidRPr="00714672">
        <w:rPr>
          <w:rFonts w:asciiTheme="minorBidi" w:hAnsiTheme="minorBidi"/>
          <w:sz w:val="22"/>
          <w:szCs w:val="22"/>
        </w:rPr>
        <w:t>://doi.org/10.1002/nop2.1086.</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Gartner (2025). </w:t>
      </w:r>
      <w:r w:rsidRPr="00714672">
        <w:rPr>
          <w:rFonts w:asciiTheme="minorBidi" w:hAnsiTheme="minorBidi"/>
          <w:i/>
          <w:iCs/>
          <w:sz w:val="22"/>
          <w:szCs w:val="22"/>
        </w:rPr>
        <w:t>Predictive Analytics in HR: What, Why and How to Use It</w:t>
      </w:r>
      <w:r w:rsidRPr="00714672">
        <w:rPr>
          <w:rFonts w:asciiTheme="minorBidi" w:hAnsiTheme="minorBidi"/>
          <w:sz w:val="22"/>
          <w:szCs w:val="22"/>
        </w:rPr>
        <w:t>. [online] Gartner. Available at: https://www.gartner.com/en/documents/6144591 [Accessed 20 Feb. 2026].</w:t>
      </w:r>
    </w:p>
    <w:p w:rsidR="00714672" w:rsidRPr="00714672" w:rsidRDefault="00714672" w:rsidP="00714672">
      <w:pPr>
        <w:spacing w:after="200" w:line="360" w:lineRule="auto"/>
        <w:jc w:val="both"/>
        <w:rPr>
          <w:rFonts w:asciiTheme="minorBidi" w:hAnsiTheme="minorBidi"/>
          <w:sz w:val="22"/>
          <w:szCs w:val="22"/>
        </w:rPr>
      </w:pPr>
      <w:proofErr w:type="spellStart"/>
      <w:r w:rsidRPr="00714672">
        <w:rPr>
          <w:rFonts w:asciiTheme="minorBidi" w:hAnsiTheme="minorBidi"/>
          <w:sz w:val="22"/>
          <w:szCs w:val="22"/>
        </w:rPr>
        <w:t>Carreno</w:t>
      </w:r>
      <w:proofErr w:type="spellEnd"/>
      <w:r w:rsidRPr="00714672">
        <w:rPr>
          <w:rFonts w:asciiTheme="minorBidi" w:hAnsiTheme="minorBidi"/>
          <w:sz w:val="22"/>
          <w:szCs w:val="22"/>
        </w:rPr>
        <w:t>, A.M. (2024). </w:t>
      </w:r>
      <w:r w:rsidRPr="00714672">
        <w:rPr>
          <w:rFonts w:asciiTheme="minorBidi" w:hAnsiTheme="minorBidi"/>
          <w:i/>
          <w:iCs/>
          <w:sz w:val="22"/>
          <w:szCs w:val="22"/>
        </w:rPr>
        <w:t xml:space="preserve">An Analytical Review of John </w:t>
      </w:r>
      <w:proofErr w:type="spellStart"/>
      <w:r w:rsidRPr="00714672">
        <w:rPr>
          <w:rFonts w:asciiTheme="minorBidi" w:hAnsiTheme="minorBidi"/>
          <w:i/>
          <w:iCs/>
          <w:sz w:val="22"/>
          <w:szCs w:val="22"/>
        </w:rPr>
        <w:t>Kotter’s</w:t>
      </w:r>
      <w:proofErr w:type="spellEnd"/>
      <w:r w:rsidRPr="00714672">
        <w:rPr>
          <w:rFonts w:asciiTheme="minorBidi" w:hAnsiTheme="minorBidi"/>
          <w:i/>
          <w:iCs/>
          <w:sz w:val="22"/>
          <w:szCs w:val="22"/>
        </w:rPr>
        <w:t xml:space="preserve"> Change Leadership Framework: A Modern Approach to Sustainable...</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w:t>
      </w:r>
      <w:proofErr w:type="spellStart"/>
      <w:r w:rsidRPr="00714672">
        <w:rPr>
          <w:rFonts w:asciiTheme="minorBidi" w:hAnsiTheme="minorBidi"/>
          <w:sz w:val="22"/>
          <w:szCs w:val="22"/>
        </w:rPr>
        <w:t>ResearchGate</w:t>
      </w:r>
      <w:proofErr w:type="spellEnd"/>
      <w:r w:rsidRPr="00714672">
        <w:rPr>
          <w:rFonts w:asciiTheme="minorBidi" w:hAnsiTheme="minorBidi"/>
          <w:sz w:val="22"/>
          <w:szCs w:val="22"/>
        </w:rPr>
        <w:t xml:space="preserve">. Available at: </w:t>
      </w:r>
      <w:hyperlink r:id="rId18" w:history="1">
        <w:r w:rsidRPr="00714672">
          <w:rPr>
            <w:rStyle w:val="Hyperlink"/>
            <w:rFonts w:asciiTheme="minorBidi" w:hAnsiTheme="minorBidi"/>
            <w:sz w:val="22"/>
            <w:szCs w:val="22"/>
          </w:rPr>
          <w:t>https://www.researchgate.net/publication/384065104_An_Analytical_Review_of_John_Kotter</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Catalyst (2021). </w:t>
      </w:r>
      <w:r w:rsidRPr="00714672">
        <w:rPr>
          <w:rFonts w:asciiTheme="minorBidi" w:hAnsiTheme="minorBidi"/>
          <w:i/>
          <w:iCs/>
          <w:sz w:val="22"/>
          <w:szCs w:val="22"/>
        </w:rPr>
        <w:t>Empathic Leaders Drive Employee Engagement and Innovation</w:t>
      </w:r>
      <w:r w:rsidRPr="00714672">
        <w:rPr>
          <w:rFonts w:asciiTheme="minorBidi" w:hAnsiTheme="minorBidi"/>
          <w:sz w:val="22"/>
          <w:szCs w:val="22"/>
        </w:rPr>
        <w:t>. [</w:t>
      </w:r>
      <w:proofErr w:type="gramStart"/>
      <w:r w:rsidRPr="00714672">
        <w:rPr>
          <w:rFonts w:asciiTheme="minorBidi" w:hAnsiTheme="minorBidi"/>
          <w:sz w:val="22"/>
          <w:szCs w:val="22"/>
        </w:rPr>
        <w:t>online</w:t>
      </w:r>
      <w:proofErr w:type="gramEnd"/>
      <w:r w:rsidRPr="00714672">
        <w:rPr>
          <w:rFonts w:asciiTheme="minorBidi" w:hAnsiTheme="minorBidi"/>
          <w:sz w:val="22"/>
          <w:szCs w:val="22"/>
        </w:rPr>
        <w:t xml:space="preserve">] Catalyst.org. Available at: </w:t>
      </w:r>
      <w:hyperlink r:id="rId19" w:history="1">
        <w:r w:rsidRPr="00714672">
          <w:rPr>
            <w:rStyle w:val="Hyperlink"/>
            <w:rFonts w:asciiTheme="minorBidi" w:hAnsiTheme="minorBidi"/>
            <w:sz w:val="22"/>
            <w:szCs w:val="22"/>
          </w:rPr>
          <w:t>https://www.catalyst.org/about/newsroom/2021/empathic-leaders-drive-employee-engagement</w:t>
        </w:r>
      </w:hyperlink>
      <w:r w:rsidRPr="00714672">
        <w:rPr>
          <w:rFonts w:asciiTheme="minorBidi" w:hAnsiTheme="minorBidi"/>
          <w:sz w:val="22"/>
          <w:szCs w:val="22"/>
        </w:rPr>
        <w:t>.</w:t>
      </w:r>
    </w:p>
    <w:p w:rsidR="00714672" w:rsidRPr="00714672" w:rsidRDefault="00714672" w:rsidP="00714672">
      <w:pPr>
        <w:spacing w:after="200" w:line="360" w:lineRule="auto"/>
        <w:jc w:val="both"/>
        <w:rPr>
          <w:rFonts w:asciiTheme="minorBidi" w:hAnsiTheme="minorBidi"/>
          <w:sz w:val="22"/>
          <w:szCs w:val="22"/>
        </w:rPr>
      </w:pPr>
      <w:proofErr w:type="spellStart"/>
      <w:r w:rsidRPr="00714672">
        <w:rPr>
          <w:rFonts w:asciiTheme="minorBidi" w:hAnsiTheme="minorBidi"/>
          <w:sz w:val="22"/>
          <w:szCs w:val="22"/>
        </w:rPr>
        <w:t>Vivek</w:t>
      </w:r>
      <w:proofErr w:type="spellEnd"/>
      <w:r w:rsidRPr="00714672">
        <w:rPr>
          <w:rFonts w:asciiTheme="minorBidi" w:hAnsiTheme="minorBidi"/>
          <w:sz w:val="22"/>
          <w:szCs w:val="22"/>
        </w:rPr>
        <w:t>, R. (2022). Is Blind Recruitment an Effective Recruitment Method? </w:t>
      </w:r>
      <w:r w:rsidRPr="00714672">
        <w:rPr>
          <w:rFonts w:asciiTheme="minorBidi" w:hAnsiTheme="minorBidi"/>
          <w:i/>
          <w:iCs/>
          <w:sz w:val="22"/>
          <w:szCs w:val="22"/>
        </w:rPr>
        <w:t>International Journal of Applied Research in Business and Management</w:t>
      </w:r>
      <w:r w:rsidRPr="00714672">
        <w:rPr>
          <w:rFonts w:asciiTheme="minorBidi" w:hAnsiTheme="minorBidi"/>
          <w:sz w:val="22"/>
          <w:szCs w:val="22"/>
        </w:rPr>
        <w:t xml:space="preserve">, [online] 3(3), pp.56–72. </w:t>
      </w:r>
      <w:proofErr w:type="spellStart"/>
      <w:r w:rsidRPr="00714672">
        <w:rPr>
          <w:rFonts w:asciiTheme="minorBidi" w:hAnsiTheme="minorBidi"/>
          <w:sz w:val="22"/>
          <w:szCs w:val="22"/>
        </w:rPr>
        <w:t>doi:https</w:t>
      </w:r>
      <w:proofErr w:type="spellEnd"/>
      <w:r w:rsidRPr="00714672">
        <w:rPr>
          <w:rFonts w:asciiTheme="minorBidi" w:hAnsiTheme="minorBidi"/>
          <w:sz w:val="22"/>
          <w:szCs w:val="22"/>
        </w:rPr>
        <w:t>://doi.org/10.51137/ijarbm.2022.3.3.4.</w:t>
      </w:r>
    </w:p>
    <w:p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Hein, A.Z., </w:t>
      </w:r>
      <w:proofErr w:type="spellStart"/>
      <w:r w:rsidRPr="00714672">
        <w:rPr>
          <w:rFonts w:asciiTheme="minorBidi" w:hAnsiTheme="minorBidi"/>
          <w:sz w:val="22"/>
          <w:szCs w:val="22"/>
        </w:rPr>
        <w:t>Elving</w:t>
      </w:r>
      <w:proofErr w:type="spellEnd"/>
      <w:r w:rsidRPr="00714672">
        <w:rPr>
          <w:rFonts w:asciiTheme="minorBidi" w:hAnsiTheme="minorBidi"/>
          <w:sz w:val="22"/>
          <w:szCs w:val="22"/>
        </w:rPr>
        <w:t xml:space="preserve">, W.J.L., </w:t>
      </w:r>
      <w:proofErr w:type="spellStart"/>
      <w:r w:rsidRPr="00714672">
        <w:rPr>
          <w:rFonts w:asciiTheme="minorBidi" w:hAnsiTheme="minorBidi"/>
          <w:sz w:val="22"/>
          <w:szCs w:val="22"/>
        </w:rPr>
        <w:t>Koster</w:t>
      </w:r>
      <w:proofErr w:type="spellEnd"/>
      <w:r w:rsidRPr="00714672">
        <w:rPr>
          <w:rFonts w:asciiTheme="minorBidi" w:hAnsiTheme="minorBidi"/>
          <w:sz w:val="22"/>
          <w:szCs w:val="22"/>
        </w:rPr>
        <w:t xml:space="preserve">, S. and </w:t>
      </w:r>
      <w:proofErr w:type="spellStart"/>
      <w:r w:rsidRPr="00714672">
        <w:rPr>
          <w:rFonts w:asciiTheme="minorBidi" w:hAnsiTheme="minorBidi"/>
          <w:sz w:val="22"/>
          <w:szCs w:val="22"/>
        </w:rPr>
        <w:t>Edzes</w:t>
      </w:r>
      <w:proofErr w:type="spellEnd"/>
      <w:r w:rsidRPr="00714672">
        <w:rPr>
          <w:rFonts w:asciiTheme="minorBidi" w:hAnsiTheme="minorBidi"/>
          <w:sz w:val="22"/>
          <w:szCs w:val="22"/>
        </w:rPr>
        <w:t>, A. (2024). Is your employer branding strategy effective? The role of employee predisposition in achieving employer attractiveness. </w:t>
      </w:r>
      <w:r w:rsidRPr="00714672">
        <w:rPr>
          <w:rFonts w:asciiTheme="minorBidi" w:hAnsiTheme="minorBidi"/>
          <w:i/>
          <w:iCs/>
          <w:sz w:val="22"/>
          <w:szCs w:val="22"/>
        </w:rPr>
        <w:t>Corporate Communications: An International Journal</w:t>
      </w:r>
      <w:r w:rsidRPr="00714672">
        <w:rPr>
          <w:rFonts w:asciiTheme="minorBidi" w:hAnsiTheme="minorBidi"/>
          <w:sz w:val="22"/>
          <w:szCs w:val="22"/>
        </w:rPr>
        <w:t xml:space="preserve">, 29(7), pp.1–20. </w:t>
      </w:r>
      <w:proofErr w:type="spellStart"/>
      <w:r w:rsidRPr="00714672">
        <w:rPr>
          <w:rFonts w:asciiTheme="minorBidi" w:hAnsiTheme="minorBidi"/>
          <w:sz w:val="22"/>
          <w:szCs w:val="22"/>
        </w:rPr>
        <w:t>doi:https</w:t>
      </w:r>
      <w:proofErr w:type="spellEnd"/>
      <w:r w:rsidRPr="00714672">
        <w:rPr>
          <w:rFonts w:asciiTheme="minorBidi" w:hAnsiTheme="minorBidi"/>
          <w:sz w:val="22"/>
          <w:szCs w:val="22"/>
        </w:rPr>
        <w:t>://doi.org/10.1108/ccij-07-2022-0070.</w:t>
      </w:r>
    </w:p>
    <w:p w:rsidR="00714672" w:rsidRPr="00714672" w:rsidRDefault="00714672" w:rsidP="00714672">
      <w:pPr>
        <w:spacing w:after="200" w:line="360" w:lineRule="auto"/>
        <w:jc w:val="both"/>
        <w:rPr>
          <w:rFonts w:asciiTheme="minorBidi" w:hAnsiTheme="minorBidi"/>
          <w:sz w:val="22"/>
          <w:szCs w:val="22"/>
        </w:rPr>
      </w:pPr>
    </w:p>
    <w:p w:rsidR="002D0F73" w:rsidRPr="00714672" w:rsidRDefault="002D0F73" w:rsidP="00714672">
      <w:pPr>
        <w:spacing w:after="200" w:line="360" w:lineRule="auto"/>
        <w:jc w:val="both"/>
        <w:rPr>
          <w:rFonts w:asciiTheme="minorBidi" w:hAnsiTheme="minorBidi"/>
          <w:sz w:val="22"/>
          <w:szCs w:val="22"/>
        </w:rPr>
      </w:pPr>
    </w:p>
    <w:sectPr w:rsidR="002D0F73" w:rsidRPr="007146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757A3F"/>
    <w:multiLevelType w:val="multilevel"/>
    <w:tmpl w:val="5368325A"/>
    <w:lvl w:ilvl="0">
      <w:start w:val="1"/>
      <w:numFmt w:val="decimal"/>
      <w:lvlText w:val="%1."/>
      <w:lvlJc w:val="left"/>
      <w:pPr>
        <w:ind w:left="810" w:hanging="45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4286526F"/>
    <w:multiLevelType w:val="hybridMultilevel"/>
    <w:tmpl w:val="747AC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FA7C6F"/>
    <w:multiLevelType w:val="multilevel"/>
    <w:tmpl w:val="FA2E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F73"/>
    <w:rsid w:val="00041AFD"/>
    <w:rsid w:val="000A6A13"/>
    <w:rsid w:val="0015727E"/>
    <w:rsid w:val="001E20B5"/>
    <w:rsid w:val="00247071"/>
    <w:rsid w:val="002D0F73"/>
    <w:rsid w:val="002F6545"/>
    <w:rsid w:val="0031779D"/>
    <w:rsid w:val="003875EA"/>
    <w:rsid w:val="003A5947"/>
    <w:rsid w:val="003E2D7E"/>
    <w:rsid w:val="005666FF"/>
    <w:rsid w:val="006F719C"/>
    <w:rsid w:val="00704A61"/>
    <w:rsid w:val="00714672"/>
    <w:rsid w:val="00723232"/>
    <w:rsid w:val="007E3FA7"/>
    <w:rsid w:val="0099097A"/>
    <w:rsid w:val="009E06C0"/>
    <w:rsid w:val="00A721BC"/>
    <w:rsid w:val="00B67CCA"/>
    <w:rsid w:val="00B9351D"/>
    <w:rsid w:val="00CC67CD"/>
    <w:rsid w:val="00DD02C2"/>
    <w:rsid w:val="00F64885"/>
    <w:rsid w:val="00FA2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884995-B692-403D-993A-F59594CCC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0F7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2D0F7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D0F7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D0F7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D0F7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D0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F7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2D0F7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D0F7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D0F7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D0F7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D0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F73"/>
    <w:rPr>
      <w:rFonts w:eastAsiaTheme="majorEastAsia" w:cstheme="majorBidi"/>
      <w:color w:val="272727" w:themeColor="text1" w:themeTint="D8"/>
    </w:rPr>
  </w:style>
  <w:style w:type="paragraph" w:styleId="Title">
    <w:name w:val="Title"/>
    <w:basedOn w:val="Normal"/>
    <w:next w:val="Normal"/>
    <w:link w:val="TitleChar"/>
    <w:uiPriority w:val="10"/>
    <w:qFormat/>
    <w:rsid w:val="002D0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F73"/>
    <w:pPr>
      <w:spacing w:before="160"/>
      <w:jc w:val="center"/>
    </w:pPr>
    <w:rPr>
      <w:i/>
      <w:iCs/>
      <w:color w:val="404040" w:themeColor="text1" w:themeTint="BF"/>
    </w:rPr>
  </w:style>
  <w:style w:type="character" w:customStyle="1" w:styleId="QuoteChar">
    <w:name w:val="Quote Char"/>
    <w:basedOn w:val="DefaultParagraphFont"/>
    <w:link w:val="Quote"/>
    <w:uiPriority w:val="29"/>
    <w:rsid w:val="002D0F73"/>
    <w:rPr>
      <w:i/>
      <w:iCs/>
      <w:color w:val="404040" w:themeColor="text1" w:themeTint="BF"/>
    </w:rPr>
  </w:style>
  <w:style w:type="paragraph" w:styleId="ListParagraph">
    <w:name w:val="List Paragraph"/>
    <w:basedOn w:val="Normal"/>
    <w:uiPriority w:val="34"/>
    <w:qFormat/>
    <w:rsid w:val="002D0F73"/>
    <w:pPr>
      <w:ind w:left="720"/>
      <w:contextualSpacing/>
    </w:pPr>
  </w:style>
  <w:style w:type="character" w:styleId="IntenseEmphasis">
    <w:name w:val="Intense Emphasis"/>
    <w:basedOn w:val="DefaultParagraphFont"/>
    <w:uiPriority w:val="21"/>
    <w:qFormat/>
    <w:rsid w:val="002D0F73"/>
    <w:rPr>
      <w:i/>
      <w:iCs/>
      <w:color w:val="2E74B5" w:themeColor="accent1" w:themeShade="BF"/>
    </w:rPr>
  </w:style>
  <w:style w:type="paragraph" w:styleId="IntenseQuote">
    <w:name w:val="Intense Quote"/>
    <w:basedOn w:val="Normal"/>
    <w:next w:val="Normal"/>
    <w:link w:val="IntenseQuoteChar"/>
    <w:uiPriority w:val="30"/>
    <w:qFormat/>
    <w:rsid w:val="002D0F7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D0F73"/>
    <w:rPr>
      <w:i/>
      <w:iCs/>
      <w:color w:val="2E74B5" w:themeColor="accent1" w:themeShade="BF"/>
    </w:rPr>
  </w:style>
  <w:style w:type="character" w:styleId="IntenseReference">
    <w:name w:val="Intense Reference"/>
    <w:basedOn w:val="DefaultParagraphFont"/>
    <w:uiPriority w:val="32"/>
    <w:qFormat/>
    <w:rsid w:val="002D0F73"/>
    <w:rPr>
      <w:b/>
      <w:bCs/>
      <w:smallCaps/>
      <w:color w:val="2E74B5" w:themeColor="accent1" w:themeShade="BF"/>
      <w:spacing w:val="5"/>
    </w:rPr>
  </w:style>
  <w:style w:type="character" w:styleId="Hyperlink">
    <w:name w:val="Hyperlink"/>
    <w:basedOn w:val="DefaultParagraphFont"/>
    <w:uiPriority w:val="99"/>
    <w:unhideWhenUsed/>
    <w:rsid w:val="002D0F73"/>
    <w:rPr>
      <w:color w:val="0563C1" w:themeColor="hyperlink"/>
      <w:u w:val="single"/>
    </w:rPr>
  </w:style>
  <w:style w:type="character" w:customStyle="1" w:styleId="UnresolvedMention">
    <w:name w:val="Unresolved Mention"/>
    <w:basedOn w:val="DefaultParagraphFont"/>
    <w:uiPriority w:val="99"/>
    <w:semiHidden/>
    <w:unhideWhenUsed/>
    <w:rsid w:val="002D0F73"/>
    <w:rPr>
      <w:color w:val="605E5C"/>
      <w:shd w:val="clear" w:color="auto" w:fill="E1DFDD"/>
    </w:rPr>
  </w:style>
  <w:style w:type="paragraph" w:styleId="TOCHeading">
    <w:name w:val="TOC Heading"/>
    <w:basedOn w:val="Heading1"/>
    <w:next w:val="Normal"/>
    <w:uiPriority w:val="39"/>
    <w:unhideWhenUsed/>
    <w:qFormat/>
    <w:rsid w:val="003875EA"/>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875EA"/>
    <w:pPr>
      <w:spacing w:after="100"/>
      <w:ind w:left="240"/>
    </w:pPr>
  </w:style>
  <w:style w:type="paragraph" w:styleId="TOC1">
    <w:name w:val="toc 1"/>
    <w:basedOn w:val="Normal"/>
    <w:next w:val="Normal"/>
    <w:autoRedefine/>
    <w:uiPriority w:val="39"/>
    <w:unhideWhenUsed/>
    <w:rsid w:val="003875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labour-market-outlook/" TargetMode="External"/><Relationship Id="rId13" Type="http://schemas.openxmlformats.org/officeDocument/2006/relationships/hyperlink" Target="https://www.researchgate.net/publication/318481875_A_critical_analysis_of_John_P_Kotter" TargetMode="External"/><Relationship Id="rId18" Type="http://schemas.openxmlformats.org/officeDocument/2006/relationships/hyperlink" Target="https://www.researchgate.net/publication/384065104_An_Analytical_Review_of_John_Kott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hyperlink" Target="https://www.hrdconnect.com/2024/09/25/72-of-uk-firms-struggle-with-skills-gaps-turning-to-ai-and-upskilling-amid-275m-productivity-loss/" TargetMode="External"/><Relationship Id="rId17" Type="http://schemas.openxmlformats.org/officeDocument/2006/relationships/hyperlink" Target="https://blogs.psico-smart.com/blog-what-are-the-impacts-of-gender-inclusion-policies-on-corporate-financi-187995?utm_source=chatgpt.com" TargetMode="External"/><Relationship Id="rId2" Type="http://schemas.openxmlformats.org/officeDocument/2006/relationships/numbering" Target="numbering.xml"/><Relationship Id="rId16" Type="http://schemas.openxmlformats.org/officeDocument/2006/relationships/hyperlink" Target="https://www.gov.uk/guidance/equality-act-2010-guida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ckinsey.com/mgi/our-research/a-new-future-of-work-the-race-to-deploy-ai-and-raise-skills-in-europe-and-beyond" TargetMode="External"/><Relationship Id="rId5" Type="http://schemas.openxmlformats.org/officeDocument/2006/relationships/webSettings" Target="webSettings.xml"/><Relationship Id="rId15" Type="http://schemas.openxmlformats.org/officeDocument/2006/relationships/hyperlink" Target="https://www.pwc.com/gx/en/issues/workforce/hopes-and-fears.html" TargetMode="External"/><Relationship Id="rId10" Type="http://schemas.openxmlformats.org/officeDocument/2006/relationships/hyperlink" Target="https://reports.weforum.org/docs/WEF_Future_of_Jobs_Report_2025.pdf?utm_source=chatgpt.com" TargetMode="External"/><Relationship Id="rId19" Type="http://schemas.openxmlformats.org/officeDocument/2006/relationships/hyperlink" Target="https://www.catalyst.org/about/newsroom/2021/empathic-leaders-drive-employee-engagement" TargetMode="External"/><Relationship Id="rId4" Type="http://schemas.openxmlformats.org/officeDocument/2006/relationships/settings" Target="settings.xml"/><Relationship Id="rId9" Type="http://schemas.openxmlformats.org/officeDocument/2006/relationships/hyperlink" Target="https://www.tescoplc.com/about" TargetMode="External"/><Relationship Id="rId14" Type="http://schemas.openxmlformats.org/officeDocument/2006/relationships/hyperlink" Target="https://brc.org.uk/news-and-events/news/associate-insight/2025/how-employee-health-and-financial-wellbeing-challenges-are-affecting-retail-industry-labour-shor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0B25B-6281-4207-8FF4-0CB764CA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Pages>
  <Words>2843</Words>
  <Characters>16207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 Idrees</dc:creator>
  <cp:keywords/>
  <dc:description/>
  <cp:lastModifiedBy>arshiaidrees</cp:lastModifiedBy>
  <cp:revision>14</cp:revision>
  <dcterms:created xsi:type="dcterms:W3CDTF">2026-02-20T01:12:00Z</dcterms:created>
  <dcterms:modified xsi:type="dcterms:W3CDTF">2026-02-20T08:18:00Z</dcterms:modified>
</cp:coreProperties>
</file>