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558B0" w:rsidP="00C558B0" w:rsidRDefault="00C558B0" w14:paraId="4AA1C463" w14:textId="77777777">
      <w:pPr>
        <w:spacing w:line="360" w:lineRule="auto"/>
        <w:rPr>
          <w:rFonts w:ascii="Arial" w:hAnsi="Arial" w:cs="Arial"/>
          <w:szCs w:val="24"/>
        </w:rPr>
      </w:pPr>
      <w:r>
        <w:rPr>
          <w:noProof/>
        </w:rPr>
        <w:drawing>
          <wp:anchor distT="0" distB="0" distL="114300" distR="114300" simplePos="0" relativeHeight="251658240"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rsidR="00C558B0" w:rsidP="00C558B0" w:rsidRDefault="00C558B0" w14:paraId="3AF7F3B0" w14:textId="77777777">
      <w:pPr>
        <w:spacing w:line="360" w:lineRule="auto"/>
        <w:rPr>
          <w:rFonts w:ascii="Arial" w:hAnsi="Arial" w:cs="Arial"/>
          <w:szCs w:val="24"/>
        </w:rPr>
      </w:pPr>
    </w:p>
    <w:p w:rsidR="00C558B0" w:rsidP="00C558B0" w:rsidRDefault="00C558B0" w14:paraId="554C8C17" w14:textId="77777777">
      <w:pPr>
        <w:spacing w:line="360" w:lineRule="auto"/>
        <w:rPr>
          <w:rFonts w:ascii="Arial" w:hAnsi="Arial" w:cs="Arial"/>
          <w:szCs w:val="24"/>
        </w:rPr>
      </w:pPr>
    </w:p>
    <w:p w:rsidR="00C558B0" w:rsidP="00C558B0" w:rsidRDefault="00C558B0" w14:paraId="74A7306F" w14:textId="77777777">
      <w:pPr>
        <w:spacing w:line="360" w:lineRule="auto"/>
        <w:rPr>
          <w:rFonts w:ascii="Arial" w:hAnsi="Arial" w:cs="Arial"/>
          <w:szCs w:val="24"/>
        </w:rPr>
      </w:pPr>
    </w:p>
    <w:p w:rsidR="00287266" w:rsidP="00635393" w:rsidRDefault="00287266" w14:paraId="018B370A" w14:textId="77777777">
      <w:pPr>
        <w:pStyle w:val="Title"/>
        <w:jc w:val="center"/>
        <w:rPr>
          <w:rFonts w:ascii="Arial" w:hAnsi="Arial" w:cs="Arial"/>
          <w:sz w:val="72"/>
          <w:szCs w:val="72"/>
        </w:rPr>
      </w:pPr>
    </w:p>
    <w:p w:rsidRPr="00B102FD" w:rsidR="00635393" w:rsidP="00B102FD" w:rsidRDefault="00635393" w14:paraId="2206E3AF" w14:textId="46DE5889">
      <w:pPr>
        <w:pStyle w:val="Title"/>
        <w:jc w:val="center"/>
        <w:rPr>
          <w:rFonts w:ascii="Arial" w:hAnsi="Arial" w:cs="Arial"/>
          <w:sz w:val="72"/>
          <w:szCs w:val="72"/>
        </w:rPr>
      </w:pPr>
      <w:r w:rsidRPr="00635393">
        <w:rPr>
          <w:rFonts w:ascii="Arial" w:hAnsi="Arial" w:cs="Arial"/>
          <w:sz w:val="72"/>
          <w:szCs w:val="72"/>
        </w:rPr>
        <w:t>Global Chain of Care</w:t>
      </w:r>
      <w:r w:rsidR="00B102FD">
        <w:rPr>
          <w:rFonts w:ascii="Arial" w:hAnsi="Arial" w:cs="Arial"/>
          <w:sz w:val="72"/>
          <w:szCs w:val="72"/>
        </w:rPr>
        <w:t>, Person-Centred Care and Policy Implications in Health and Social Care</w:t>
      </w:r>
    </w:p>
    <w:p w:rsidR="00635393" w:rsidP="00635393" w:rsidRDefault="00635393" w14:paraId="6B9EFE87" w14:textId="77777777"/>
    <w:p w:rsidR="00635393" w:rsidP="00635393" w:rsidRDefault="00635393" w14:paraId="4571C039" w14:textId="77777777"/>
    <w:p w:rsidR="00635393" w:rsidP="00635393" w:rsidRDefault="00635393" w14:paraId="6130709F" w14:textId="77777777"/>
    <w:p w:rsidR="00635393" w:rsidP="00635393" w:rsidRDefault="00635393" w14:paraId="0F51DB47" w14:textId="77777777"/>
    <w:p w:rsidR="00635393" w:rsidP="00635393" w:rsidRDefault="00635393" w14:paraId="4666C01B" w14:textId="77777777"/>
    <w:p w:rsidR="00635393" w:rsidP="4AFC6600" w:rsidRDefault="00635393" w14:paraId="2F0777A0" w14:textId="77777777"/>
    <w:p w:rsidRPr="00635393" w:rsidR="00635393" w:rsidP="00635393" w:rsidRDefault="00635393" w14:paraId="231E1F22" w14:textId="77777777"/>
    <w:p w:rsidRPr="006524ED" w:rsidR="00C558B0" w:rsidP="00C558B0" w:rsidRDefault="00C558B0" w14:paraId="2F4F861B" w14:textId="7C16F012">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D83E4F">
        <w:rPr>
          <w:rFonts w:ascii="Arial" w:hAnsi="Arial" w:cs="Arial"/>
          <w:sz w:val="28"/>
          <w:szCs w:val="28"/>
          <w:lang w:val="nl-NL"/>
        </w:rPr>
        <w:t xml:space="preserve"> Mihaela Marcela Bakos</w:t>
      </w:r>
    </w:p>
    <w:p w:rsidRPr="006524ED" w:rsidR="00C558B0" w:rsidP="00C558B0" w:rsidRDefault="00C558B0" w14:paraId="18D88AE2" w14:textId="567DECD5">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D83E4F">
        <w:rPr>
          <w:rFonts w:ascii="Arial" w:hAnsi="Arial" w:cs="Arial"/>
          <w:sz w:val="28"/>
          <w:szCs w:val="28"/>
          <w:lang w:val="nl-NL"/>
        </w:rPr>
        <w:t xml:space="preserve"> 2325464</w:t>
      </w:r>
    </w:p>
    <w:p w:rsidRPr="006524ED" w:rsidR="00C558B0" w:rsidP="00C558B0" w:rsidRDefault="00C558B0" w14:paraId="4654C81C" w14:textId="77777777">
      <w:pPr>
        <w:tabs>
          <w:tab w:val="left" w:pos="6540"/>
        </w:tabs>
        <w:spacing w:line="360" w:lineRule="auto"/>
        <w:rPr>
          <w:rFonts w:ascii="Arial" w:hAnsi="Arial" w:cs="Arial"/>
          <w:sz w:val="28"/>
          <w:szCs w:val="28"/>
          <w:lang w:val="nl-NL"/>
        </w:rPr>
      </w:pPr>
    </w:p>
    <w:p w:rsidRPr="006524ED" w:rsidR="00C558B0" w:rsidP="00C558B0" w:rsidRDefault="00C558B0" w14:paraId="3D8DA301" w14:textId="438AA99B">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sidRPr="00D83E4F" w:rsidR="00D83E4F">
        <w:rPr>
          <w:rFonts w:ascii="Arial" w:hAnsi="Arial" w:cs="Arial"/>
          <w:sz w:val="28"/>
          <w:szCs w:val="28"/>
        </w:rPr>
        <w:t xml:space="preserve">Principles of Health and Social Care Practice </w:t>
      </w:r>
    </w:p>
    <w:p w:rsidR="00C558B0" w:rsidP="00C558B0" w:rsidRDefault="00C558B0" w14:paraId="7DB3261D" w14:textId="168570FD">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D83E4F">
        <w:rPr>
          <w:rFonts w:ascii="Arial" w:hAnsi="Arial" w:cs="Arial"/>
          <w:sz w:val="28"/>
          <w:szCs w:val="28"/>
        </w:rPr>
        <w:t xml:space="preserve"> </w:t>
      </w:r>
      <w:r w:rsidRPr="00D83E4F" w:rsidR="00D83E4F">
        <w:rPr>
          <w:rFonts w:ascii="Arial" w:hAnsi="Arial" w:cs="Arial"/>
          <w:sz w:val="28"/>
          <w:szCs w:val="28"/>
        </w:rPr>
        <w:t xml:space="preserve">BMHP5016 </w:t>
      </w:r>
    </w:p>
    <w:p w:rsidR="00C558B0" w:rsidP="00C558B0" w:rsidRDefault="00C558B0" w14:paraId="5CCA350C" w14:textId="77222F9F">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D83E4F">
        <w:rPr>
          <w:rFonts w:ascii="Arial" w:hAnsi="Arial" w:cs="Arial"/>
          <w:sz w:val="28"/>
          <w:szCs w:val="28"/>
        </w:rPr>
        <w:t xml:space="preserve"> </w:t>
      </w:r>
      <w:r w:rsidRPr="00D83E4F" w:rsidR="00D83E4F">
        <w:rPr>
          <w:rFonts w:ascii="Arial" w:hAnsi="Arial" w:cs="Arial"/>
          <w:sz w:val="28"/>
          <w:szCs w:val="28"/>
        </w:rPr>
        <w:t xml:space="preserve">Dr Farah Wiita </w:t>
      </w:r>
    </w:p>
    <w:p w:rsidR="00287266" w:rsidP="00C558B0" w:rsidRDefault="00287266" w14:paraId="0EEBD9EC" w14:textId="77777777">
      <w:pPr>
        <w:tabs>
          <w:tab w:val="left" w:pos="6540"/>
        </w:tabs>
        <w:spacing w:line="360" w:lineRule="auto"/>
        <w:rPr>
          <w:rFonts w:ascii="Arial" w:hAnsi="Arial" w:cs="Arial"/>
          <w:sz w:val="28"/>
          <w:szCs w:val="28"/>
        </w:rPr>
      </w:pPr>
    </w:p>
    <w:p w:rsidR="00287266" w:rsidP="00C558B0" w:rsidRDefault="00287266" w14:paraId="5B091C13" w14:textId="77777777">
      <w:pPr>
        <w:tabs>
          <w:tab w:val="left" w:pos="6540"/>
        </w:tabs>
        <w:spacing w:line="360" w:lineRule="auto"/>
        <w:rPr>
          <w:rFonts w:ascii="Arial" w:hAnsi="Arial" w:cs="Arial"/>
          <w:sz w:val="28"/>
          <w:szCs w:val="28"/>
        </w:rPr>
      </w:pPr>
    </w:p>
    <w:p w:rsidRPr="00287266" w:rsidR="00C558B0" w:rsidP="00C558B0" w:rsidRDefault="00635393" w14:paraId="5461F9C8" w14:textId="70454083">
      <w:pPr>
        <w:tabs>
          <w:tab w:val="left" w:pos="6540"/>
        </w:tabs>
        <w:spacing w:line="360" w:lineRule="auto"/>
        <w:rPr>
          <w:rFonts w:ascii="Arial" w:hAnsi="Arial" w:cs="Arial"/>
          <w:b/>
          <w:bCs/>
          <w:sz w:val="28"/>
          <w:szCs w:val="28"/>
          <w:u w:val="single"/>
        </w:rPr>
      </w:pPr>
      <w:r w:rsidRPr="00287266">
        <w:rPr>
          <w:rFonts w:ascii="Arial" w:hAnsi="Arial" w:cs="Arial"/>
          <w:b/>
          <w:bCs/>
          <w:sz w:val="28"/>
          <w:szCs w:val="28"/>
          <w:u w:val="single"/>
        </w:rPr>
        <w:t>Table of Contents</w:t>
      </w:r>
    </w:p>
    <w:p w:rsidR="00287266" w:rsidP="00C558B0" w:rsidRDefault="00287266" w14:paraId="5BE55327" w14:textId="77777777">
      <w:pPr>
        <w:tabs>
          <w:tab w:val="left" w:pos="6540"/>
        </w:tabs>
        <w:spacing w:line="360" w:lineRule="auto"/>
        <w:rPr>
          <w:rFonts w:ascii="Arial" w:hAnsi="Arial" w:cs="Arial"/>
          <w:sz w:val="28"/>
          <w:szCs w:val="28"/>
        </w:rPr>
      </w:pPr>
    </w:p>
    <w:tbl>
      <w:tblPr>
        <w:tblStyle w:val="GridTable2-Accent5"/>
        <w:tblW w:w="9446" w:type="dxa"/>
        <w:tblLook w:val="04A0" w:firstRow="1" w:lastRow="0" w:firstColumn="1" w:lastColumn="0" w:noHBand="0" w:noVBand="1"/>
      </w:tblPr>
      <w:tblGrid>
        <w:gridCol w:w="4723"/>
        <w:gridCol w:w="4723"/>
      </w:tblGrid>
      <w:tr w:rsidR="00635393" w:rsidTr="00287266" w14:paraId="1E798345" w14:textId="77777777">
        <w:trPr>
          <w:cnfStyle w:val="100000000000" w:firstRow="1" w:lastRow="0" w:firstColumn="0" w:lastColumn="0" w:oddVBand="0" w:evenVBand="0" w:oddHBand="0" w:evenHBand="0" w:firstRowFirstColumn="0" w:firstRowLastColumn="0" w:lastRowFirstColumn="0" w:lastRowLastColumn="0"/>
          <w:trHeight w:val="1107"/>
        </w:trPr>
        <w:tc>
          <w:tcPr>
            <w:cnfStyle w:val="001000000000" w:firstRow="0" w:lastRow="0" w:firstColumn="1" w:lastColumn="0" w:oddVBand="0" w:evenVBand="0" w:oddHBand="0" w:evenHBand="0" w:firstRowFirstColumn="0" w:firstRowLastColumn="0" w:lastRowFirstColumn="0" w:lastRowLastColumn="0"/>
            <w:tcW w:w="4723" w:type="dxa"/>
          </w:tcPr>
          <w:p w:rsidR="00635393" w:rsidP="00C558B0" w:rsidRDefault="00635393" w14:paraId="28B51942" w14:textId="3029FBF0">
            <w:pPr>
              <w:tabs>
                <w:tab w:val="left" w:pos="6540"/>
              </w:tabs>
              <w:spacing w:line="360" w:lineRule="auto"/>
              <w:rPr>
                <w:rFonts w:ascii="Arial" w:hAnsi="Arial" w:cs="Arial"/>
                <w:sz w:val="28"/>
                <w:szCs w:val="28"/>
              </w:rPr>
            </w:pPr>
            <w:r>
              <w:rPr>
                <w:rFonts w:ascii="Arial" w:hAnsi="Arial" w:cs="Arial"/>
                <w:sz w:val="28"/>
                <w:szCs w:val="28"/>
              </w:rPr>
              <w:t>TOPIC</w:t>
            </w:r>
          </w:p>
        </w:tc>
        <w:tc>
          <w:tcPr>
            <w:tcW w:w="4723" w:type="dxa"/>
          </w:tcPr>
          <w:p w:rsidR="00635393" w:rsidP="00C558B0" w:rsidRDefault="00635393" w14:paraId="4696B3B8" w14:textId="32683EB7">
            <w:pPr>
              <w:tabs>
                <w:tab w:val="left" w:pos="6540"/>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PAGE NUMBER</w:t>
            </w:r>
          </w:p>
        </w:tc>
      </w:tr>
      <w:tr w:rsidR="00635393" w:rsidTr="00287266" w14:paraId="0C2B6032" w14:textId="77777777">
        <w:trPr>
          <w:cnfStyle w:val="000000100000" w:firstRow="0" w:lastRow="0" w:firstColumn="0" w:lastColumn="0" w:oddVBand="0" w:evenVBand="0" w:oddHBand="1" w:evenHBand="0" w:firstRowFirstColumn="0" w:firstRowLastColumn="0" w:lastRowFirstColumn="0" w:lastRowLastColumn="0"/>
          <w:trHeight w:val="1107"/>
        </w:trPr>
        <w:tc>
          <w:tcPr>
            <w:cnfStyle w:val="001000000000" w:firstRow="0" w:lastRow="0" w:firstColumn="1" w:lastColumn="0" w:oddVBand="0" w:evenVBand="0" w:oddHBand="0" w:evenHBand="0" w:firstRowFirstColumn="0" w:firstRowLastColumn="0" w:lastRowFirstColumn="0" w:lastRowLastColumn="0"/>
            <w:tcW w:w="4723" w:type="dxa"/>
          </w:tcPr>
          <w:p w:rsidR="00635393" w:rsidP="00C558B0" w:rsidRDefault="00635393" w14:paraId="36ADB759" w14:textId="4A578006">
            <w:pPr>
              <w:tabs>
                <w:tab w:val="left" w:pos="6540"/>
              </w:tabs>
              <w:spacing w:line="360" w:lineRule="auto"/>
              <w:rPr>
                <w:rFonts w:ascii="Arial" w:hAnsi="Arial" w:cs="Arial"/>
                <w:sz w:val="28"/>
                <w:szCs w:val="28"/>
              </w:rPr>
            </w:pPr>
            <w:r>
              <w:rPr>
                <w:rFonts w:ascii="Arial" w:hAnsi="Arial" w:cs="Arial"/>
                <w:sz w:val="28"/>
                <w:szCs w:val="28"/>
              </w:rPr>
              <w:t>INTRODUCTION</w:t>
            </w:r>
          </w:p>
        </w:tc>
        <w:tc>
          <w:tcPr>
            <w:tcW w:w="4723" w:type="dxa"/>
          </w:tcPr>
          <w:p w:rsidR="00635393" w:rsidP="00C558B0" w:rsidRDefault="00115718" w14:paraId="415F9D89" w14:textId="1381CE28">
            <w:pPr>
              <w:tabs>
                <w:tab w:val="left" w:pos="6540"/>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 xml:space="preserve">                                                       3</w:t>
            </w:r>
          </w:p>
        </w:tc>
      </w:tr>
      <w:tr w:rsidR="00635393" w:rsidTr="00287266" w14:paraId="0AC180D4" w14:textId="77777777">
        <w:trPr>
          <w:trHeight w:val="1107"/>
        </w:trPr>
        <w:tc>
          <w:tcPr>
            <w:cnfStyle w:val="001000000000" w:firstRow="0" w:lastRow="0" w:firstColumn="1" w:lastColumn="0" w:oddVBand="0" w:evenVBand="0" w:oddHBand="0" w:evenHBand="0" w:firstRowFirstColumn="0" w:firstRowLastColumn="0" w:lastRowFirstColumn="0" w:lastRowLastColumn="0"/>
            <w:tcW w:w="4723" w:type="dxa"/>
          </w:tcPr>
          <w:p w:rsidR="00635393" w:rsidP="00C558B0" w:rsidRDefault="00635393" w14:paraId="3A744F9C" w14:textId="15D210C2">
            <w:pPr>
              <w:tabs>
                <w:tab w:val="left" w:pos="6540"/>
              </w:tabs>
              <w:spacing w:line="360" w:lineRule="auto"/>
              <w:rPr>
                <w:rFonts w:ascii="Arial" w:hAnsi="Arial" w:cs="Arial"/>
                <w:sz w:val="28"/>
                <w:szCs w:val="28"/>
              </w:rPr>
            </w:pPr>
            <w:r>
              <w:rPr>
                <w:rFonts w:ascii="Arial" w:hAnsi="Arial" w:cs="Arial"/>
                <w:sz w:val="28"/>
                <w:szCs w:val="28"/>
              </w:rPr>
              <w:t>THE DEVELOPMENT</w:t>
            </w:r>
          </w:p>
        </w:tc>
        <w:tc>
          <w:tcPr>
            <w:tcW w:w="4723" w:type="dxa"/>
          </w:tcPr>
          <w:p w:rsidR="00635393" w:rsidP="00C558B0" w:rsidRDefault="00115718" w14:paraId="1B1EE19A" w14:textId="73B16E35">
            <w:pPr>
              <w:tabs>
                <w:tab w:val="left" w:pos="654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 xml:space="preserve">                                                       3</w:t>
            </w:r>
          </w:p>
        </w:tc>
      </w:tr>
      <w:tr w:rsidR="00635393" w:rsidTr="00287266" w14:paraId="6274A49C" w14:textId="77777777">
        <w:trPr>
          <w:cnfStyle w:val="000000100000" w:firstRow="0" w:lastRow="0" w:firstColumn="0" w:lastColumn="0" w:oddVBand="0" w:evenVBand="0" w:oddHBand="1" w:evenHBand="0" w:firstRowFirstColumn="0" w:firstRowLastColumn="0" w:lastRowFirstColumn="0" w:lastRowLastColumn="0"/>
          <w:trHeight w:val="1107"/>
        </w:trPr>
        <w:tc>
          <w:tcPr>
            <w:cnfStyle w:val="001000000000" w:firstRow="0" w:lastRow="0" w:firstColumn="1" w:lastColumn="0" w:oddVBand="0" w:evenVBand="0" w:oddHBand="0" w:evenHBand="0" w:firstRowFirstColumn="0" w:firstRowLastColumn="0" w:lastRowFirstColumn="0" w:lastRowLastColumn="0"/>
            <w:tcW w:w="4723" w:type="dxa"/>
          </w:tcPr>
          <w:p w:rsidR="00635393" w:rsidP="00C558B0" w:rsidRDefault="00635393" w14:paraId="77162651" w14:textId="4F2D922D">
            <w:pPr>
              <w:tabs>
                <w:tab w:val="left" w:pos="6540"/>
              </w:tabs>
              <w:spacing w:line="360" w:lineRule="auto"/>
              <w:rPr>
                <w:rFonts w:ascii="Arial" w:hAnsi="Arial" w:cs="Arial"/>
                <w:sz w:val="28"/>
                <w:szCs w:val="28"/>
              </w:rPr>
            </w:pPr>
            <w:r>
              <w:rPr>
                <w:rFonts w:ascii="Arial" w:hAnsi="Arial" w:cs="Arial"/>
                <w:sz w:val="28"/>
                <w:szCs w:val="28"/>
              </w:rPr>
              <w:t>APPLICATION IN PRACTICE</w:t>
            </w:r>
          </w:p>
        </w:tc>
        <w:tc>
          <w:tcPr>
            <w:tcW w:w="4723" w:type="dxa"/>
          </w:tcPr>
          <w:p w:rsidR="00635393" w:rsidP="00C558B0" w:rsidRDefault="004705CF" w14:paraId="27C8EE8F" w14:textId="01216BDD">
            <w:pPr>
              <w:tabs>
                <w:tab w:val="left" w:pos="6540"/>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 xml:space="preserve">                                                       5</w:t>
            </w:r>
          </w:p>
        </w:tc>
      </w:tr>
      <w:tr w:rsidR="00635393" w:rsidTr="00287266" w14:paraId="449C1293" w14:textId="77777777">
        <w:trPr>
          <w:trHeight w:val="1107"/>
        </w:trPr>
        <w:tc>
          <w:tcPr>
            <w:cnfStyle w:val="001000000000" w:firstRow="0" w:lastRow="0" w:firstColumn="1" w:lastColumn="0" w:oddVBand="0" w:evenVBand="0" w:oddHBand="0" w:evenHBand="0" w:firstRowFirstColumn="0" w:firstRowLastColumn="0" w:lastRowFirstColumn="0" w:lastRowLastColumn="0"/>
            <w:tcW w:w="4723" w:type="dxa"/>
          </w:tcPr>
          <w:p w:rsidR="00635393" w:rsidP="00C558B0" w:rsidRDefault="00635393" w14:paraId="1358BF7A" w14:textId="5ADE91CE">
            <w:pPr>
              <w:tabs>
                <w:tab w:val="left" w:pos="6540"/>
              </w:tabs>
              <w:spacing w:line="360" w:lineRule="auto"/>
              <w:rPr>
                <w:rFonts w:ascii="Arial" w:hAnsi="Arial" w:cs="Arial"/>
                <w:sz w:val="28"/>
                <w:szCs w:val="28"/>
              </w:rPr>
            </w:pPr>
            <w:r>
              <w:rPr>
                <w:rFonts w:ascii="Arial" w:hAnsi="Arial" w:cs="Arial"/>
                <w:sz w:val="28"/>
                <w:szCs w:val="28"/>
              </w:rPr>
              <w:t>RECOMMENDATIONS</w:t>
            </w:r>
          </w:p>
        </w:tc>
        <w:tc>
          <w:tcPr>
            <w:tcW w:w="4723" w:type="dxa"/>
          </w:tcPr>
          <w:p w:rsidR="00635393" w:rsidP="00C558B0" w:rsidRDefault="004705CF" w14:paraId="4EB659B3" w14:textId="53F9F228">
            <w:pPr>
              <w:tabs>
                <w:tab w:val="left" w:pos="654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 xml:space="preserve">                                                       </w:t>
            </w:r>
            <w:r w:rsidR="00260D24">
              <w:rPr>
                <w:rFonts w:ascii="Arial" w:hAnsi="Arial" w:cs="Arial"/>
                <w:sz w:val="28"/>
                <w:szCs w:val="28"/>
              </w:rPr>
              <w:t>8</w:t>
            </w:r>
          </w:p>
        </w:tc>
      </w:tr>
      <w:tr w:rsidR="00635393" w:rsidTr="00287266" w14:paraId="080F7C6B" w14:textId="77777777">
        <w:trPr>
          <w:cnfStyle w:val="000000100000" w:firstRow="0" w:lastRow="0" w:firstColumn="0" w:lastColumn="0" w:oddVBand="0" w:evenVBand="0" w:oddHBand="1" w:evenHBand="0" w:firstRowFirstColumn="0" w:firstRowLastColumn="0" w:lastRowFirstColumn="0" w:lastRowLastColumn="0"/>
          <w:trHeight w:val="1107"/>
        </w:trPr>
        <w:tc>
          <w:tcPr>
            <w:cnfStyle w:val="001000000000" w:firstRow="0" w:lastRow="0" w:firstColumn="1" w:lastColumn="0" w:oddVBand="0" w:evenVBand="0" w:oddHBand="0" w:evenHBand="0" w:firstRowFirstColumn="0" w:firstRowLastColumn="0" w:lastRowFirstColumn="0" w:lastRowLastColumn="0"/>
            <w:tcW w:w="4723" w:type="dxa"/>
          </w:tcPr>
          <w:p w:rsidR="00635393" w:rsidP="00C558B0" w:rsidRDefault="00635393" w14:paraId="2FDBEB82" w14:textId="48B8473F">
            <w:pPr>
              <w:tabs>
                <w:tab w:val="left" w:pos="6540"/>
              </w:tabs>
              <w:spacing w:line="360" w:lineRule="auto"/>
              <w:rPr>
                <w:rFonts w:ascii="Arial" w:hAnsi="Arial" w:cs="Arial"/>
                <w:sz w:val="28"/>
                <w:szCs w:val="28"/>
              </w:rPr>
            </w:pPr>
            <w:r>
              <w:rPr>
                <w:rFonts w:ascii="Arial" w:hAnsi="Arial" w:cs="Arial"/>
                <w:sz w:val="28"/>
                <w:szCs w:val="28"/>
              </w:rPr>
              <w:t>CONCLUSION</w:t>
            </w:r>
          </w:p>
        </w:tc>
        <w:tc>
          <w:tcPr>
            <w:tcW w:w="4723" w:type="dxa"/>
          </w:tcPr>
          <w:p w:rsidR="00635393" w:rsidP="00C558B0" w:rsidRDefault="00E63C8B" w14:paraId="22E6B737" w14:textId="2BDD1C29">
            <w:pPr>
              <w:tabs>
                <w:tab w:val="left" w:pos="6540"/>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 xml:space="preserve">                                                       9</w:t>
            </w:r>
          </w:p>
        </w:tc>
      </w:tr>
      <w:tr w:rsidR="00635393" w:rsidTr="00287266" w14:paraId="2A237D14" w14:textId="77777777">
        <w:trPr>
          <w:trHeight w:val="1107"/>
        </w:trPr>
        <w:tc>
          <w:tcPr>
            <w:cnfStyle w:val="001000000000" w:firstRow="0" w:lastRow="0" w:firstColumn="1" w:lastColumn="0" w:oddVBand="0" w:evenVBand="0" w:oddHBand="0" w:evenHBand="0" w:firstRowFirstColumn="0" w:firstRowLastColumn="0" w:lastRowFirstColumn="0" w:lastRowLastColumn="0"/>
            <w:tcW w:w="4723" w:type="dxa"/>
          </w:tcPr>
          <w:p w:rsidR="00635393" w:rsidP="00C558B0" w:rsidRDefault="00635393" w14:paraId="5524DAA1" w14:textId="4AA44AD1">
            <w:pPr>
              <w:tabs>
                <w:tab w:val="left" w:pos="6540"/>
              </w:tabs>
              <w:spacing w:line="360" w:lineRule="auto"/>
              <w:rPr>
                <w:rFonts w:ascii="Arial" w:hAnsi="Arial" w:cs="Arial"/>
                <w:sz w:val="28"/>
                <w:szCs w:val="28"/>
              </w:rPr>
            </w:pPr>
            <w:r>
              <w:rPr>
                <w:rFonts w:ascii="Arial" w:hAnsi="Arial" w:cs="Arial"/>
                <w:sz w:val="28"/>
                <w:szCs w:val="28"/>
              </w:rPr>
              <w:t>REFERENCES</w:t>
            </w:r>
          </w:p>
        </w:tc>
        <w:tc>
          <w:tcPr>
            <w:tcW w:w="4723" w:type="dxa"/>
          </w:tcPr>
          <w:p w:rsidR="00635393" w:rsidP="00C558B0" w:rsidRDefault="00E63C8B" w14:paraId="01E43074" w14:textId="2A48C362">
            <w:pPr>
              <w:tabs>
                <w:tab w:val="left" w:pos="654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 xml:space="preserve">                                                     10</w:t>
            </w:r>
          </w:p>
        </w:tc>
      </w:tr>
    </w:tbl>
    <w:p w:rsidR="00635393" w:rsidP="00C558B0" w:rsidRDefault="00635393" w14:paraId="549679FA" w14:textId="77777777">
      <w:pPr>
        <w:tabs>
          <w:tab w:val="left" w:pos="6540"/>
        </w:tabs>
        <w:spacing w:line="360" w:lineRule="auto"/>
        <w:rPr>
          <w:rFonts w:ascii="Arial" w:hAnsi="Arial" w:cs="Arial"/>
          <w:sz w:val="28"/>
          <w:szCs w:val="28"/>
        </w:rPr>
      </w:pPr>
    </w:p>
    <w:p w:rsidR="006D2F2D" w:rsidRDefault="006D2F2D" w14:paraId="79C715ED" w14:textId="16914D07">
      <w:pPr>
        <w:spacing w:line="259" w:lineRule="auto"/>
      </w:pPr>
      <w:r>
        <w:br w:type="page"/>
      </w:r>
    </w:p>
    <w:p w:rsidRPr="00B102FD" w:rsidR="00B102FD" w:rsidP="6E7E6F32" w:rsidRDefault="664807CF" w14:paraId="2D78A374" w14:textId="77777777">
      <w:pPr>
        <w:spacing w:before="100" w:beforeAutospacing="on" w:after="100" w:afterAutospacing="on" w:line="360" w:lineRule="auto"/>
        <w:jc w:val="both"/>
        <w:outlineLvl w:val="1"/>
        <w:rPr>
          <w:rFonts w:ascii="Arial" w:hAnsi="Arial" w:eastAsia="Times New Roman" w:cs="Arial"/>
          <w:color w:val="4472C4" w:themeColor="accent1"/>
          <w:sz w:val="28"/>
          <w:szCs w:val="28"/>
          <w:lang w:eastAsia="en-GB"/>
        </w:rPr>
      </w:pPr>
      <w:bookmarkStart w:name="_Hlk216118324" w:id="0"/>
      <w:r w:rsidRPr="6E7E6F32" w:rsidR="664807CF">
        <w:rPr>
          <w:rFonts w:ascii="Arial" w:hAnsi="Arial" w:eastAsia="Times New Roman" w:cs="Arial"/>
          <w:color w:val="4472C4" w:themeColor="accent1" w:themeTint="FF" w:themeShade="FF"/>
          <w:sz w:val="28"/>
          <w:szCs w:val="28"/>
          <w:lang w:eastAsia="en-GB"/>
        </w:rPr>
        <w:t>Introduction</w:t>
      </w:r>
    </w:p>
    <w:p w:rsidR="6E7E6F32" w:rsidP="6E7E6F32" w:rsidRDefault="6E7E6F32" w14:paraId="692154B5" w14:textId="060E7278">
      <w:pPr>
        <w:spacing w:beforeAutospacing="on" w:afterAutospacing="on" w:line="360" w:lineRule="auto"/>
        <w:jc w:val="both"/>
        <w:outlineLvl w:val="1"/>
        <w:rPr>
          <w:rFonts w:ascii="Arial" w:hAnsi="Arial" w:eastAsia="Times New Roman" w:cs="Arial"/>
          <w:color w:val="4472C4" w:themeColor="accent1" w:themeTint="FF" w:themeShade="FF"/>
          <w:sz w:val="28"/>
          <w:szCs w:val="28"/>
          <w:lang w:eastAsia="en-GB"/>
        </w:rPr>
      </w:pPr>
    </w:p>
    <w:p w:rsidRPr="00B102FD" w:rsidR="00B102FD" w:rsidP="00B102FD" w:rsidRDefault="00B102FD" w14:paraId="08237562" w14:textId="27A685A1">
      <w:pPr>
        <w:spacing w:before="100" w:beforeAutospacing="1" w:after="100" w:afterAutospacing="1" w:line="360" w:lineRule="auto"/>
        <w:jc w:val="both"/>
        <w:rPr>
          <w:rFonts w:ascii="Arial" w:hAnsi="Arial" w:eastAsia="Times New Roman" w:cs="Arial"/>
          <w:sz w:val="22"/>
          <w:lang w:eastAsia="en-GB"/>
        </w:rPr>
      </w:pPr>
      <w:r w:rsidRPr="00B102FD">
        <w:rPr>
          <w:rFonts w:ascii="Arial" w:hAnsi="Arial" w:eastAsia="Times New Roman" w:cs="Arial"/>
          <w:sz w:val="22"/>
          <w:lang w:eastAsia="en-GB"/>
        </w:rPr>
        <w:t>The global chain of care (GCC) has become an essential conceptual model for understanding how globalisation, labour migration, and structural inequalities shape the delivery of health and social care across high-income countries such as the United Kingdom (UK). The GCC describes transnational networks in which care labour flows from lower-income to higher-income regions in response to demographic pressures, workforce shortages and economic disparities (Hochschild, 2000</w:t>
      </w:r>
      <w:r>
        <w:rPr>
          <w:rFonts w:ascii="Arial" w:hAnsi="Arial" w:eastAsia="Times New Roman" w:cs="Arial"/>
          <w:sz w:val="22"/>
          <w:lang w:eastAsia="en-GB"/>
        </w:rPr>
        <w:t>)</w:t>
      </w:r>
      <w:r w:rsidRPr="00B102FD">
        <w:rPr>
          <w:rFonts w:ascii="Arial" w:hAnsi="Arial" w:eastAsia="Times New Roman" w:cs="Arial"/>
          <w:sz w:val="22"/>
          <w:lang w:eastAsia="en-GB"/>
        </w:rPr>
        <w:t xml:space="preserve">. Its relevance to UK health and social care is significant because the NHS and social care sectors rely heavily on migrant labour, particularly in nursing, domiciliary care and long-term care settings (Buchan </w:t>
      </w:r>
      <w:r w:rsidRPr="00B102FD">
        <w:rPr>
          <w:rFonts w:ascii="Arial" w:hAnsi="Arial" w:eastAsia="Times New Roman" w:cs="Arial"/>
          <w:i/>
          <w:iCs/>
          <w:sz w:val="22"/>
          <w:lang w:eastAsia="en-GB"/>
        </w:rPr>
        <w:t>et al</w:t>
      </w:r>
      <w:r w:rsidRPr="00B102FD">
        <w:rPr>
          <w:rFonts w:ascii="Arial" w:hAnsi="Arial" w:eastAsia="Times New Roman" w:cs="Arial"/>
          <w:sz w:val="22"/>
          <w:lang w:eastAsia="en-GB"/>
        </w:rPr>
        <w:t>., 2022). At the same time, the UK’s commitment to person-centred care—which emphasises autonomy, dignity, partnership, and shared decision-making—relies on a stable, well-supported and competent workforce (Health Foundation, 2021).</w:t>
      </w:r>
    </w:p>
    <w:p w:rsidRPr="003445B9" w:rsidR="003445B9" w:rsidP="00520752" w:rsidRDefault="00B102FD" w14:paraId="380A4D66" w14:textId="26738E33">
      <w:pPr>
        <w:spacing w:before="100" w:beforeAutospacing="1" w:after="100" w:afterAutospacing="1" w:line="360" w:lineRule="auto"/>
        <w:jc w:val="both"/>
        <w:rPr>
          <w:rFonts w:ascii="Arial" w:hAnsi="Arial" w:eastAsia="Times New Roman" w:cs="Arial"/>
          <w:sz w:val="22"/>
          <w:lang w:eastAsia="en-GB"/>
        </w:rPr>
      </w:pPr>
      <w:r w:rsidRPr="2EF49F58">
        <w:rPr>
          <w:rFonts w:ascii="Arial" w:hAnsi="Arial" w:eastAsia="Times New Roman" w:cs="Arial"/>
          <w:sz w:val="22"/>
          <w:lang w:eastAsia="en-GB"/>
        </w:rPr>
        <w:t>This essay critically examines the development of the GCC, its critiques and associated responses. It then explores how the model is applied within UK policy and practice, highlighting tensions and challenges surrounding legislation, guidelines, person-centred care and partnership working. Finally, it offers evidence-based recommendations for improving health and social care policy and practice, followed by a critical conclusion.</w:t>
      </w:r>
    </w:p>
    <w:p w:rsidR="2EF49F58" w:rsidP="6E7E6F32" w:rsidRDefault="2EF49F58" w14:paraId="6F59ADCA" w14:textId="31E2FDAD">
      <w:pPr>
        <w:spacing w:beforeAutospacing="on" w:afterAutospacing="on" w:line="360" w:lineRule="auto"/>
        <w:jc w:val="both"/>
        <w:rPr>
          <w:rFonts w:ascii="Arial" w:hAnsi="Arial" w:eastAsia="Times New Roman" w:cs="Arial"/>
          <w:sz w:val="22"/>
          <w:szCs w:val="22"/>
        </w:rPr>
      </w:pPr>
    </w:p>
    <w:p w:rsidR="0D976069" w:rsidP="6E7E6F32" w:rsidRDefault="0D976069" w14:paraId="54CC3CDC" w14:textId="21DBEFA1">
      <w:pPr>
        <w:pStyle w:val="Heading1"/>
        <w:spacing w:line="360" w:lineRule="auto"/>
        <w:jc w:val="both"/>
        <w:rPr>
          <w:rFonts w:ascii="Arial" w:hAnsi="Arial" w:eastAsia="Arial" w:cs="Arial"/>
          <w:b w:val="1"/>
          <w:bCs w:val="1"/>
          <w:sz w:val="28"/>
          <w:szCs w:val="28"/>
        </w:rPr>
      </w:pPr>
      <w:r w:rsidRPr="6E7E6F32" w:rsidR="0D976069">
        <w:rPr>
          <w:rFonts w:ascii="Arial" w:hAnsi="Arial" w:eastAsia="Arial" w:cs="Arial"/>
          <w:sz w:val="28"/>
          <w:szCs w:val="28"/>
        </w:rPr>
        <w:t>The Development of the Global Chain of Care</w:t>
      </w:r>
    </w:p>
    <w:p w:rsidR="6E7E6F32" w:rsidP="6E7E6F32" w:rsidRDefault="6E7E6F32" w14:paraId="693DC2CD" w14:textId="46320BEE">
      <w:pPr>
        <w:pStyle w:val="Normal"/>
      </w:pPr>
    </w:p>
    <w:p w:rsidR="0D976069" w:rsidP="6E7E6F32" w:rsidRDefault="0D976069" w14:paraId="4037018F" w14:textId="69BD172D">
      <w:pPr>
        <w:pStyle w:val="Normal"/>
        <w:suppressLineNumbers w:val="0"/>
        <w:bidi w:val="0"/>
        <w:spacing w:beforeAutospacing="on" w:afterAutospacing="on" w:line="360" w:lineRule="auto"/>
        <w:ind w:left="0" w:right="0"/>
        <w:jc w:val="both"/>
        <w:rPr>
          <w:rFonts w:ascii="Arial" w:hAnsi="Arial" w:eastAsia="Times New Roman" w:cs="Arial"/>
          <w:sz w:val="22"/>
          <w:szCs w:val="22"/>
        </w:rPr>
      </w:pPr>
      <w:r w:rsidRPr="6E7E6F32" w:rsidR="0D976069">
        <w:rPr>
          <w:rFonts w:ascii="Arial" w:hAnsi="Arial" w:eastAsia="Times New Roman" w:cs="Arial"/>
          <w:sz w:val="22"/>
          <w:szCs w:val="22"/>
        </w:rPr>
        <w:t xml:space="preserve">The global chain of care </w:t>
      </w:r>
      <w:r w:rsidRPr="6E7E6F32" w:rsidR="0D976069">
        <w:rPr>
          <w:rFonts w:ascii="Arial" w:hAnsi="Arial" w:eastAsia="Times New Roman" w:cs="Arial"/>
          <w:sz w:val="22"/>
          <w:szCs w:val="22"/>
        </w:rPr>
        <w:t>emerged</w:t>
      </w:r>
      <w:r w:rsidRPr="6E7E6F32" w:rsidR="0D976069">
        <w:rPr>
          <w:rFonts w:ascii="Arial" w:hAnsi="Arial" w:eastAsia="Times New Roman" w:cs="Arial"/>
          <w:sz w:val="22"/>
          <w:szCs w:val="22"/>
        </w:rPr>
        <w:t xml:space="preserve"> from feminist scholarship that highlighted </w:t>
      </w:r>
      <w:r w:rsidRPr="6E7E6F32" w:rsidR="1C89BF76">
        <w:rPr>
          <w:rFonts w:ascii="Arial" w:hAnsi="Arial" w:eastAsia="Times New Roman" w:cs="Arial"/>
          <w:sz w:val="22"/>
          <w:szCs w:val="22"/>
        </w:rPr>
        <w:t>how</w:t>
      </w:r>
      <w:r w:rsidRPr="6E7E6F32" w:rsidR="0D976069">
        <w:rPr>
          <w:rFonts w:ascii="Arial" w:hAnsi="Arial" w:eastAsia="Times New Roman" w:cs="Arial"/>
          <w:sz w:val="22"/>
          <w:szCs w:val="22"/>
        </w:rPr>
        <w:t xml:space="preserve"> global inequalities and gendered labour shape the movement of care across national borders. Hochschild’s seminal </w:t>
      </w:r>
      <w:r w:rsidRPr="6E7E6F32" w:rsidR="22BC78D6">
        <w:rPr>
          <w:rFonts w:ascii="Arial" w:hAnsi="Arial" w:eastAsia="Times New Roman" w:cs="Arial"/>
          <w:sz w:val="22"/>
          <w:szCs w:val="22"/>
        </w:rPr>
        <w:t>2000 work</w:t>
      </w:r>
      <w:r w:rsidRPr="6E7E6F32" w:rsidR="0D976069">
        <w:rPr>
          <w:rFonts w:ascii="Arial" w:hAnsi="Arial" w:eastAsia="Times New Roman" w:cs="Arial"/>
          <w:sz w:val="22"/>
          <w:szCs w:val="22"/>
        </w:rPr>
        <w:t xml:space="preserve"> on “global care chains” explained how emotional and domestic labour is transferred internationally through a series of connected relationships</w:t>
      </w:r>
      <w:r w:rsidRPr="6E7E6F32" w:rsidR="645F8033">
        <w:rPr>
          <w:rFonts w:ascii="Source Sans Pro" w:hAnsi="Source Sans Pro" w:eastAsia="Source Sans Pro" w:cs="Source Sans Pro"/>
          <w:b w:val="0"/>
          <w:bCs w:val="0"/>
          <w:i w:val="0"/>
          <w:iCs w:val="0"/>
          <w:caps w:val="0"/>
          <w:smallCaps w:val="0"/>
          <w:noProof w:val="0"/>
          <w:color w:val="3A3A3A"/>
          <w:sz w:val="22"/>
          <w:szCs w:val="22"/>
          <w:lang w:val="en-GB"/>
        </w:rPr>
        <w:t xml:space="preserve"> </w:t>
      </w:r>
      <w:r w:rsidRPr="6E7E6F32" w:rsidR="135813EA">
        <w:rPr>
          <w:rFonts w:ascii="Arial" w:hAnsi="Arial" w:eastAsia="Arial" w:cs="Arial"/>
          <w:b w:val="0"/>
          <w:bCs w:val="0"/>
          <w:i w:val="0"/>
          <w:iCs w:val="0"/>
          <w:caps w:val="0"/>
          <w:smallCaps w:val="0"/>
          <w:noProof w:val="0"/>
          <w:color w:val="3A3A3A"/>
          <w:sz w:val="22"/>
          <w:szCs w:val="22"/>
          <w:lang w:val="en-GB"/>
        </w:rPr>
        <w:t>(</w:t>
      </w:r>
      <w:r w:rsidRPr="6E7E6F32" w:rsidR="135813EA">
        <w:rPr>
          <w:rFonts w:ascii="Arial" w:hAnsi="Arial" w:eastAsia="Arial" w:cs="Arial"/>
          <w:b w:val="0"/>
          <w:bCs w:val="0"/>
          <w:i w:val="0"/>
          <w:iCs w:val="0"/>
          <w:caps w:val="0"/>
          <w:smallCaps w:val="0"/>
          <w:noProof w:val="0"/>
          <w:color w:val="3A3A3A"/>
          <w:sz w:val="22"/>
          <w:szCs w:val="22"/>
          <w:lang w:val="en-GB"/>
        </w:rPr>
        <w:t>Gabriele Griffin, 2017)</w:t>
      </w:r>
      <w:r w:rsidRPr="6E7E6F32" w:rsidR="0D976069">
        <w:rPr>
          <w:rFonts w:ascii="Arial" w:hAnsi="Arial" w:eastAsia="Times New Roman" w:cs="Arial"/>
          <w:sz w:val="22"/>
          <w:szCs w:val="22"/>
        </w:rPr>
        <w:t xml:space="preserve">. These chains often involve women migrating from low-income to high-income countries to provide paid care work, </w:t>
      </w:r>
      <w:r w:rsidRPr="6E7E6F32" w:rsidR="0D976069">
        <w:rPr>
          <w:rFonts w:ascii="Arial" w:hAnsi="Arial" w:eastAsia="Times New Roman" w:cs="Arial"/>
          <w:sz w:val="22"/>
          <w:szCs w:val="22"/>
        </w:rPr>
        <w:t>frequently</w:t>
      </w:r>
      <w:r w:rsidRPr="6E7E6F32" w:rsidR="0D976069">
        <w:rPr>
          <w:rFonts w:ascii="Arial" w:hAnsi="Arial" w:eastAsia="Times New Roman" w:cs="Arial"/>
          <w:sz w:val="22"/>
          <w:szCs w:val="22"/>
        </w:rPr>
        <w:t xml:space="preserve"> leaving their own </w:t>
      </w:r>
      <w:r w:rsidRPr="6E7E6F32" w:rsidR="74E1635B">
        <w:rPr>
          <w:rFonts w:ascii="Arial" w:hAnsi="Arial" w:eastAsia="Times New Roman" w:cs="Arial"/>
          <w:sz w:val="22"/>
          <w:szCs w:val="22"/>
        </w:rPr>
        <w:t>dependents</w:t>
      </w:r>
      <w:r w:rsidRPr="6E7E6F32" w:rsidR="0D976069">
        <w:rPr>
          <w:rFonts w:ascii="Arial" w:hAnsi="Arial" w:eastAsia="Times New Roman" w:cs="Arial"/>
          <w:sz w:val="22"/>
          <w:szCs w:val="22"/>
        </w:rPr>
        <w:t xml:space="preserve"> behind in their home countries. Yeates (2012) later advanced this concept by applying it directly to formal health and social care. Her work illustrated how countries such as the UK have increasingly relied on migrant nurses, doctors, and social care workers to sustain essential services. The model </w:t>
      </w:r>
      <w:r w:rsidRPr="6E7E6F32" w:rsidR="207AB5B1">
        <w:rPr>
          <w:rFonts w:ascii="Arial" w:hAnsi="Arial" w:eastAsia="Times New Roman" w:cs="Arial"/>
          <w:sz w:val="22"/>
          <w:szCs w:val="22"/>
        </w:rPr>
        <w:t xml:space="preserve">was </w:t>
      </w:r>
      <w:r w:rsidRPr="6E7E6F32" w:rsidR="0D976069">
        <w:rPr>
          <w:rFonts w:ascii="Arial" w:hAnsi="Arial" w:eastAsia="Times New Roman" w:cs="Arial"/>
          <w:sz w:val="22"/>
          <w:szCs w:val="22"/>
        </w:rPr>
        <w:t xml:space="preserve">developed during a period characterised by rapid globalisation, ageing populations, and chronic workforce shortages in wealthier nations (WHO, 2020). In the UK context, </w:t>
      </w:r>
      <w:r w:rsidRPr="6E7E6F32" w:rsidR="0D976069">
        <w:rPr>
          <w:rFonts w:ascii="Arial" w:hAnsi="Arial" w:eastAsia="Times New Roman" w:cs="Arial"/>
          <w:sz w:val="22"/>
          <w:szCs w:val="22"/>
        </w:rPr>
        <w:t>additional</w:t>
      </w:r>
      <w:r w:rsidRPr="6E7E6F32" w:rsidR="0D976069">
        <w:rPr>
          <w:rFonts w:ascii="Arial" w:hAnsi="Arial" w:eastAsia="Times New Roman" w:cs="Arial"/>
          <w:sz w:val="22"/>
          <w:szCs w:val="22"/>
        </w:rPr>
        <w:t xml:space="preserve"> pressures linked to Brexit, austerity, and rising demand following the COVID-19 pandemic further intensified the need for international recruitment, embedding the global chain of care within national workforce strategies (RCN, 2023).</w:t>
      </w:r>
    </w:p>
    <w:p w:rsidR="0D976069" w:rsidP="6E7E6F32" w:rsidRDefault="0D976069" w14:paraId="368CFD3D" w14:textId="689A654F">
      <w:pPr>
        <w:pStyle w:val="Normal"/>
        <w:spacing w:beforeAutospacing="on" w:afterAutospacing="on" w:line="360" w:lineRule="auto"/>
        <w:jc w:val="both"/>
        <w:rPr>
          <w:rFonts w:ascii="Arial" w:hAnsi="Arial" w:eastAsia="Times New Roman" w:cs="Arial"/>
          <w:sz w:val="22"/>
          <w:szCs w:val="22"/>
        </w:rPr>
      </w:pPr>
      <w:r w:rsidRPr="6E7E6F32" w:rsidR="0D976069">
        <w:rPr>
          <w:rFonts w:ascii="Arial" w:hAnsi="Arial" w:eastAsia="Times New Roman" w:cs="Arial"/>
          <w:sz w:val="22"/>
          <w:szCs w:val="22"/>
        </w:rPr>
        <w:t xml:space="preserve">As the concept evolved, the global chain of care expanded well beyond its original focus on domestic labour. It now encompasses highly skilled health professionals—including nurses, </w:t>
      </w:r>
      <w:r w:rsidRPr="6E7E6F32" w:rsidR="0D976069">
        <w:rPr>
          <w:rFonts w:ascii="Arial" w:hAnsi="Arial" w:eastAsia="Times New Roman" w:cs="Arial"/>
          <w:sz w:val="22"/>
          <w:szCs w:val="22"/>
        </w:rPr>
        <w:t>doctors</w:t>
      </w:r>
      <w:r w:rsidRPr="6E7E6F32" w:rsidR="0D976069">
        <w:rPr>
          <w:rFonts w:ascii="Arial" w:hAnsi="Arial" w:eastAsia="Times New Roman" w:cs="Arial"/>
          <w:sz w:val="22"/>
          <w:szCs w:val="22"/>
        </w:rPr>
        <w:t xml:space="preserve"> and allied health practitioners—as well as the vast numbers of social care workers employed in domiciliary and residential settings (Bach, 2018; Skills for Care, 2025). The model increasingly recognises the role of structural factors such as visa systems, global economic disparities, and recruitment practices that influence who moves, where they move, and under what conditions. Scholars have also emphasised that the GCC should include emotional and relational forms of labour, acknowledging that care work extends beyond physical or clinical tasks (</w:t>
      </w:r>
      <w:r w:rsidRPr="6E7E6F32" w:rsidR="0D976069">
        <w:rPr>
          <w:rFonts w:ascii="Arial" w:hAnsi="Arial" w:eastAsia="Times New Roman" w:cs="Arial"/>
          <w:sz w:val="22"/>
          <w:szCs w:val="22"/>
        </w:rPr>
        <w:t>Ungerson</w:t>
      </w:r>
      <w:r w:rsidRPr="6E7E6F32" w:rsidR="0D976069">
        <w:rPr>
          <w:rFonts w:ascii="Arial" w:hAnsi="Arial" w:eastAsia="Times New Roman" w:cs="Arial"/>
          <w:sz w:val="22"/>
          <w:szCs w:val="22"/>
        </w:rPr>
        <w:t xml:space="preserve"> &amp; Yeates, 2020). Furthermore, the model draws attention to the broader transnational family dynamics that migration generates, including the “care deficits” experienced in sending countries when workers leave in search of better opportunities</w:t>
      </w:r>
      <w:r w:rsidRPr="6E7E6F32" w:rsidR="5F8BE0EB">
        <w:rPr>
          <w:rFonts w:ascii="Arial" w:hAnsi="Arial" w:eastAsia="Times New Roman" w:cs="Arial"/>
          <w:b w:val="0"/>
          <w:bCs w:val="0"/>
          <w:i w:val="0"/>
          <w:iCs w:val="0"/>
          <w:caps w:val="0"/>
          <w:smallCaps w:val="0"/>
          <w:noProof w:val="0"/>
          <w:sz w:val="22"/>
          <w:szCs w:val="22"/>
          <w:lang w:val="en-GB"/>
        </w:rPr>
        <w:t xml:space="preserve"> (Suter </w:t>
      </w:r>
      <w:r w:rsidRPr="6E7E6F32" w:rsidR="5F8BE0EB">
        <w:rPr>
          <w:rFonts w:ascii="Arial" w:hAnsi="Arial" w:eastAsia="Times New Roman" w:cs="Arial"/>
          <w:b w:val="0"/>
          <w:bCs w:val="0"/>
          <w:i w:val="1"/>
          <w:iCs w:val="1"/>
          <w:caps w:val="0"/>
          <w:smallCaps w:val="0"/>
          <w:noProof w:val="0"/>
          <w:sz w:val="22"/>
          <w:szCs w:val="22"/>
          <w:lang w:val="en-GB"/>
        </w:rPr>
        <w:t xml:space="preserve">et al., </w:t>
      </w:r>
      <w:r w:rsidRPr="6E7E6F32" w:rsidR="5F8BE0EB">
        <w:rPr>
          <w:rFonts w:ascii="Arial" w:hAnsi="Arial" w:eastAsia="Times New Roman" w:cs="Arial"/>
          <w:b w:val="0"/>
          <w:bCs w:val="0"/>
          <w:i w:val="0"/>
          <w:iCs w:val="0"/>
          <w:caps w:val="0"/>
          <w:smallCaps w:val="0"/>
          <w:noProof w:val="0"/>
          <w:sz w:val="22"/>
          <w:szCs w:val="22"/>
          <w:lang w:val="en-GB"/>
        </w:rPr>
        <w:t>2025)</w:t>
      </w:r>
      <w:r w:rsidRPr="6E7E6F32" w:rsidR="0D976069">
        <w:rPr>
          <w:rFonts w:ascii="Arial" w:hAnsi="Arial" w:eastAsia="Times New Roman" w:cs="Arial"/>
          <w:sz w:val="22"/>
          <w:szCs w:val="22"/>
        </w:rPr>
        <w:t>. Together, these developments position the GCC as a valuable framework for analysing how global inequalities shape everyday care practices and the ethical considerations surrounding the international sourcing of labour.</w:t>
      </w:r>
    </w:p>
    <w:p w:rsidR="0D976069" w:rsidP="6E7E6F32" w:rsidRDefault="0D976069" w14:paraId="77BF82EF" w14:textId="14A68F24">
      <w:pPr>
        <w:pStyle w:val="Normal"/>
        <w:spacing w:beforeAutospacing="on" w:afterAutospacing="on" w:line="360" w:lineRule="auto"/>
        <w:jc w:val="both"/>
        <w:rPr>
          <w:rFonts w:ascii="Arial" w:hAnsi="Arial" w:eastAsia="Times New Roman" w:cs="Arial"/>
          <w:sz w:val="22"/>
          <w:szCs w:val="22"/>
        </w:rPr>
      </w:pPr>
      <w:r w:rsidRPr="6E7E6F32" w:rsidR="0D976069">
        <w:rPr>
          <w:rFonts w:ascii="Arial" w:hAnsi="Arial" w:eastAsia="Times New Roman" w:cs="Arial"/>
          <w:sz w:val="22"/>
          <w:szCs w:val="22"/>
        </w:rPr>
        <w:t xml:space="preserve">Despite its </w:t>
      </w:r>
      <w:r w:rsidRPr="6E7E6F32" w:rsidR="53A33AEF">
        <w:rPr>
          <w:rFonts w:ascii="Arial" w:hAnsi="Arial" w:eastAsia="Times New Roman" w:cs="Arial"/>
          <w:sz w:val="22"/>
          <w:szCs w:val="22"/>
        </w:rPr>
        <w:t>vast</w:t>
      </w:r>
      <w:r w:rsidRPr="6E7E6F32" w:rsidR="0D976069">
        <w:rPr>
          <w:rFonts w:ascii="Arial" w:hAnsi="Arial" w:eastAsia="Times New Roman" w:cs="Arial"/>
          <w:sz w:val="22"/>
          <w:szCs w:val="22"/>
        </w:rPr>
        <w:t xml:space="preserve"> influence, the global chain of care has attracted several critiques. One common criticism is that the model places too much emphasis on exploitation, portraying migrant workers primarily as victims of global inequality</w:t>
      </w:r>
      <w:r w:rsidRPr="6E7E6F32" w:rsidR="74D99666">
        <w:rPr>
          <w:rFonts w:ascii="Arial" w:hAnsi="Arial" w:eastAsia="Times New Roman" w:cs="Arial"/>
          <w:b w:val="0"/>
          <w:bCs w:val="0"/>
          <w:i w:val="0"/>
          <w:iCs w:val="0"/>
          <w:caps w:val="0"/>
          <w:smallCaps w:val="0"/>
          <w:noProof w:val="0"/>
          <w:sz w:val="22"/>
          <w:szCs w:val="22"/>
          <w:lang w:val="en-GB"/>
        </w:rPr>
        <w:t xml:space="preserve"> (Miranda Mora, 2025)</w:t>
      </w:r>
      <w:r w:rsidRPr="6E7E6F32" w:rsidR="0D976069">
        <w:rPr>
          <w:rFonts w:ascii="Arial" w:hAnsi="Arial" w:eastAsia="Times New Roman" w:cs="Arial"/>
          <w:sz w:val="22"/>
          <w:szCs w:val="22"/>
        </w:rPr>
        <w:t xml:space="preserve">. Critics argue that this perspective can obscure the agency, resilience, and professional ambitions of migrant workers who often pursue migration to enhance their skills, careers, or life opportunities (Kilkey &amp; Merla, 2014). A related concern is that the GCC sometimes relies on overly simplistic explanations of migration motivations, reducing them </w:t>
      </w:r>
      <w:r w:rsidRPr="6E7E6F32" w:rsidR="0D976069">
        <w:rPr>
          <w:rFonts w:ascii="Arial" w:hAnsi="Arial" w:eastAsia="Times New Roman" w:cs="Arial"/>
          <w:sz w:val="22"/>
          <w:szCs w:val="22"/>
        </w:rPr>
        <w:t>mainly to</w:t>
      </w:r>
      <w:r w:rsidRPr="6E7E6F32" w:rsidR="0D976069">
        <w:rPr>
          <w:rFonts w:ascii="Arial" w:hAnsi="Arial" w:eastAsia="Times New Roman" w:cs="Arial"/>
          <w:sz w:val="22"/>
          <w:szCs w:val="22"/>
        </w:rPr>
        <w:t xml:space="preserve"> economic necessity. Evidence from health sector recruitment, particularly in the NHS, shows that migrants </w:t>
      </w:r>
      <w:r w:rsidRPr="6E7E6F32" w:rsidR="0D976069">
        <w:rPr>
          <w:rFonts w:ascii="Arial" w:hAnsi="Arial" w:eastAsia="Times New Roman" w:cs="Arial"/>
          <w:sz w:val="22"/>
          <w:szCs w:val="22"/>
        </w:rPr>
        <w:t>frequently</w:t>
      </w:r>
      <w:r w:rsidRPr="6E7E6F32" w:rsidR="0D976069">
        <w:rPr>
          <w:rFonts w:ascii="Arial" w:hAnsi="Arial" w:eastAsia="Times New Roman" w:cs="Arial"/>
          <w:sz w:val="22"/>
          <w:szCs w:val="22"/>
        </w:rPr>
        <w:t xml:space="preserve"> cite professional development, cultural exploration, and improved career prospects as significant drivers (NHS England, 2022). Another critique is that the model offers limited guidance for practical policy development. While it effectively exposes structural injustices, it </w:t>
      </w:r>
      <w:r w:rsidRPr="6E7E6F32" w:rsidR="0D976069">
        <w:rPr>
          <w:rFonts w:ascii="Arial" w:hAnsi="Arial" w:eastAsia="Times New Roman" w:cs="Arial"/>
          <w:sz w:val="22"/>
          <w:szCs w:val="22"/>
        </w:rPr>
        <w:t>provides</w:t>
      </w:r>
      <w:r w:rsidRPr="6E7E6F32" w:rsidR="0D976069">
        <w:rPr>
          <w:rFonts w:ascii="Arial" w:hAnsi="Arial" w:eastAsia="Times New Roman" w:cs="Arial"/>
          <w:sz w:val="22"/>
          <w:szCs w:val="22"/>
        </w:rPr>
        <w:t xml:space="preserve"> fewer insights into workable solutions, making implementation challenging for policymakers (Yeates &amp; Bakker, 2021). Finally, some argue that the GCC does not sufficiently address organisational culture and local workplace factors such as discrimination, leadership styles, or unequal resource allocation, all of which shape the real experiences of migrant workers in daily practice (CQC, 2022).</w:t>
      </w:r>
    </w:p>
    <w:p w:rsidR="0D976069" w:rsidP="6E7E6F32" w:rsidRDefault="0D976069" w14:paraId="651CD005" w14:textId="2231DEA6">
      <w:pPr>
        <w:spacing w:beforeAutospacing="on" w:afterAutospacing="on" w:line="360" w:lineRule="auto"/>
        <w:jc w:val="both"/>
        <w:rPr>
          <w:rFonts w:ascii="Arial" w:hAnsi="Arial" w:eastAsia="Times New Roman" w:cs="Arial"/>
          <w:sz w:val="22"/>
          <w:szCs w:val="22"/>
        </w:rPr>
      </w:pPr>
      <w:r w:rsidRPr="6E7E6F32" w:rsidR="0D976069">
        <w:rPr>
          <w:rFonts w:ascii="Arial" w:hAnsi="Arial" w:eastAsia="Times New Roman" w:cs="Arial"/>
          <w:sz w:val="22"/>
          <w:szCs w:val="22"/>
        </w:rPr>
        <w:t>In response to these critiques, scholars and policymakers have worked to refine and extend the GCC framework. One key development has been the integration of human-rights-based approaches into discussions of global care mobility, ensuring that issues such as fairness, dignity, and safety are central to international recruitment policies (WHO, 2020). There has also been increasing recognition of migrant workers as highly skilled professionals who make significant contributions to service quality, innovation, team diversity, and cultural competence within health and social care settings (Bach, 2018). Moreover, the GCC is now more frequently connected to practical areas of workforce strategy, including staff wellbeing, ethical inclusion frameworks, and long-term workforce planning. Governments and organisations have responded by promoting ethical recruitment standards, improving transparency, and developing bilateral agreements that support fair and sustainable recruitment from overseas (DHSC, 2023). These developments enhance the relevance of the global chain of care for understanding and improving UK health and social care policy in a more comprehensive and ethically grounded way.</w:t>
      </w:r>
    </w:p>
    <w:p w:rsidR="6E7E6F32" w:rsidP="6E7E6F32" w:rsidRDefault="6E7E6F32" w14:paraId="5A866D19" w14:textId="65912B64">
      <w:pPr>
        <w:spacing w:beforeAutospacing="on" w:afterAutospacing="on" w:line="360" w:lineRule="auto"/>
        <w:jc w:val="both"/>
        <w:rPr>
          <w:rFonts w:ascii="Arial" w:hAnsi="Arial" w:eastAsia="Times New Roman" w:cs="Arial"/>
          <w:sz w:val="22"/>
          <w:szCs w:val="22"/>
        </w:rPr>
      </w:pPr>
    </w:p>
    <w:p w:rsidR="6E7E6F32" w:rsidP="6E7E6F32" w:rsidRDefault="6E7E6F32" w14:paraId="245F1876" w14:textId="64D2C136">
      <w:pPr>
        <w:spacing w:beforeAutospacing="on" w:afterAutospacing="on" w:line="360" w:lineRule="auto"/>
        <w:jc w:val="both"/>
        <w:rPr>
          <w:rFonts w:ascii="Arial" w:hAnsi="Arial" w:eastAsia="Times New Roman" w:cs="Arial"/>
          <w:sz w:val="22"/>
          <w:szCs w:val="22"/>
        </w:rPr>
      </w:pPr>
    </w:p>
    <w:p w:rsidR="67812C15" w:rsidP="2EF49F58" w:rsidRDefault="67812C15" w14:paraId="55D70C30" w14:textId="388FDF37">
      <w:pPr>
        <w:pStyle w:val="Heading1"/>
        <w:spacing w:line="360" w:lineRule="auto"/>
        <w:jc w:val="both"/>
        <w:rPr>
          <w:rFonts w:ascii="Arial" w:hAnsi="Arial" w:eastAsia="Arial" w:cs="Arial"/>
          <w:b/>
          <w:bCs/>
          <w:color w:val="4472C4" w:themeColor="accent1"/>
          <w:sz w:val="28"/>
          <w:szCs w:val="28"/>
        </w:rPr>
      </w:pPr>
      <w:r w:rsidRPr="6E7E6F32" w:rsidR="67812C15">
        <w:rPr>
          <w:rFonts w:ascii="Arial" w:hAnsi="Arial" w:eastAsia="Arial" w:cs="Arial"/>
          <w:sz w:val="28"/>
          <w:szCs w:val="28"/>
        </w:rPr>
        <w:t>Application of the Global Chain of Care in Policy and Practice</w:t>
      </w:r>
    </w:p>
    <w:p w:rsidR="6E7E6F32" w:rsidP="6E7E6F32" w:rsidRDefault="6E7E6F32" w14:paraId="131A1ECD" w14:textId="2A9BCA20">
      <w:pPr>
        <w:pStyle w:val="Normal"/>
      </w:pPr>
    </w:p>
    <w:p w:rsidR="67812C15" w:rsidP="2EF49F58" w:rsidRDefault="67812C15" w14:paraId="5EFADE4B" w14:textId="3EFA4BEC">
      <w:pPr>
        <w:spacing w:beforeAutospacing="1" w:afterAutospacing="1" w:line="360" w:lineRule="auto"/>
        <w:jc w:val="both"/>
        <w:rPr>
          <w:rFonts w:ascii="Arial" w:hAnsi="Arial" w:eastAsia="Times New Roman" w:cs="Arial"/>
          <w:sz w:val="22"/>
        </w:rPr>
      </w:pPr>
      <w:r w:rsidRPr="2EF49F58">
        <w:rPr>
          <w:rFonts w:ascii="Arial" w:hAnsi="Arial" w:eastAsia="Times New Roman" w:cs="Arial"/>
          <w:sz w:val="22"/>
        </w:rPr>
        <w:t>UK legislation, policy and regulatory guidance play a central role in shaping how the Global Chain of Care (GCC) operates within national health and social care systems. Statutory frameworks such as the Health and Care Act 2022, the Care Act 2014 and the Equality Act 2010 establish legal expectations around partnership working, safeguarding, non-discrimination and person-centred approaches. Alongside these laws, national policy documents—including the NHS Long Term Plan (2019), the NHS People Plan (2020), and the Code of Practice for International Recruitment of Health and Social Care Personnel (DHSC, 2023)—seek to regulate recruitment practices and promote ethical conduct across the sector. However, although these policies articulate strong commitments to fairness and quality, operational challenges continue to undermine their implementation. Persistent workforce shortages, high levels of burnout and variable access to training—particularly for migrant workers employed through private social care agencies—are frequently highlighted in Care Quality Commission (CQC) reports, demonstrating the gap between policy intentions and frontline realities.</w:t>
      </w:r>
    </w:p>
    <w:p w:rsidR="67812C15" w:rsidP="6E7E6F32" w:rsidRDefault="67812C15" w14:paraId="61AD91CE" w14:textId="76D7DDD0">
      <w:pPr>
        <w:pStyle w:val="Normal"/>
        <w:spacing w:beforeAutospacing="on" w:afterAutospacing="on" w:line="360" w:lineRule="auto"/>
        <w:jc w:val="both"/>
        <w:rPr>
          <w:rFonts w:ascii="Arial" w:hAnsi="Arial" w:eastAsia="Times New Roman" w:cs="Arial"/>
          <w:sz w:val="22"/>
          <w:szCs w:val="22"/>
        </w:rPr>
      </w:pPr>
      <w:r w:rsidRPr="6E7E6F32" w:rsidR="67812C15">
        <w:rPr>
          <w:rFonts w:ascii="Arial" w:hAnsi="Arial" w:eastAsia="Times New Roman" w:cs="Arial"/>
          <w:sz w:val="22"/>
          <w:szCs w:val="22"/>
        </w:rPr>
        <w:t>The GCC has important implications for the delivery of person-centred care (PCC), a model that prioritises dignity, compassion, communication, partnership and respect for individual needs and preferences (Health Foundation, 2021). In many ways, the inclusion of migrant workers within the UK care workforce offers clear benefits. Migrant workers help to fill critical shortages, providing stability and continuity of care in contexts where domestic recruitment struggles to meet demand</w:t>
      </w:r>
      <w:r w:rsidRPr="6E7E6F32" w:rsidR="1ED8AD56">
        <w:rPr>
          <w:rFonts w:ascii="Arial" w:hAnsi="Arial" w:eastAsia="Times New Roman" w:cs="Arial"/>
          <w:b w:val="0"/>
          <w:bCs w:val="0"/>
          <w:i w:val="0"/>
          <w:iCs w:val="0"/>
          <w:caps w:val="0"/>
          <w:smallCaps w:val="0"/>
          <w:noProof w:val="0"/>
          <w:sz w:val="22"/>
          <w:szCs w:val="22"/>
          <w:lang w:val="en-GB"/>
        </w:rPr>
        <w:t xml:space="preserve"> (Al-</w:t>
      </w:r>
      <w:r w:rsidRPr="6E7E6F32" w:rsidR="1ED8AD56">
        <w:rPr>
          <w:rFonts w:ascii="Arial" w:hAnsi="Arial" w:eastAsia="Times New Roman" w:cs="Arial"/>
          <w:b w:val="0"/>
          <w:bCs w:val="0"/>
          <w:i w:val="0"/>
          <w:iCs w:val="0"/>
          <w:caps w:val="0"/>
          <w:smallCaps w:val="0"/>
          <w:noProof w:val="0"/>
          <w:sz w:val="22"/>
          <w:szCs w:val="22"/>
          <w:lang w:val="en-GB"/>
        </w:rPr>
        <w:t>Btoush</w:t>
      </w:r>
      <w:r w:rsidRPr="6E7E6F32" w:rsidR="1ED8AD56">
        <w:rPr>
          <w:rFonts w:ascii="Arial" w:hAnsi="Arial" w:eastAsia="Times New Roman" w:cs="Arial"/>
          <w:b w:val="0"/>
          <w:bCs w:val="0"/>
          <w:i w:val="0"/>
          <w:iCs w:val="0"/>
          <w:caps w:val="0"/>
          <w:smallCaps w:val="0"/>
          <w:noProof w:val="0"/>
          <w:sz w:val="22"/>
          <w:szCs w:val="22"/>
          <w:lang w:val="en-GB"/>
        </w:rPr>
        <w:t xml:space="preserve"> and El-</w:t>
      </w:r>
      <w:r w:rsidRPr="6E7E6F32" w:rsidR="1ED8AD56">
        <w:rPr>
          <w:rFonts w:ascii="Arial" w:hAnsi="Arial" w:eastAsia="Times New Roman" w:cs="Arial"/>
          <w:b w:val="0"/>
          <w:bCs w:val="0"/>
          <w:i w:val="0"/>
          <w:iCs w:val="0"/>
          <w:caps w:val="0"/>
          <w:smallCaps w:val="0"/>
          <w:noProof w:val="0"/>
          <w:sz w:val="22"/>
          <w:szCs w:val="22"/>
          <w:lang w:val="en-GB"/>
        </w:rPr>
        <w:t>Bcheraoui</w:t>
      </w:r>
      <w:r w:rsidRPr="6E7E6F32" w:rsidR="1ED8AD56">
        <w:rPr>
          <w:rFonts w:ascii="Arial" w:hAnsi="Arial" w:eastAsia="Times New Roman" w:cs="Arial"/>
          <w:b w:val="0"/>
          <w:bCs w:val="0"/>
          <w:i w:val="0"/>
          <w:iCs w:val="0"/>
          <w:caps w:val="0"/>
          <w:smallCaps w:val="0"/>
          <w:noProof w:val="0"/>
          <w:sz w:val="22"/>
          <w:szCs w:val="22"/>
          <w:lang w:val="en-GB"/>
        </w:rPr>
        <w:t>, 2024</w:t>
      </w:r>
      <w:r w:rsidRPr="6E7E6F32" w:rsidR="1ED8AD56">
        <w:rPr>
          <w:rFonts w:ascii="Arial" w:hAnsi="Arial" w:eastAsia="Times New Roman" w:cs="Arial"/>
          <w:b w:val="0"/>
          <w:bCs w:val="0"/>
          <w:i w:val="0"/>
          <w:iCs w:val="0"/>
          <w:caps w:val="0"/>
          <w:smallCaps w:val="0"/>
          <w:noProof w:val="0"/>
          <w:sz w:val="22"/>
          <w:szCs w:val="22"/>
          <w:lang w:val="en-GB"/>
        </w:rPr>
        <w:t>)</w:t>
      </w:r>
      <w:r w:rsidRPr="6E7E6F32" w:rsidR="67812C15">
        <w:rPr>
          <w:rFonts w:ascii="Arial" w:hAnsi="Arial" w:eastAsia="Times New Roman" w:cs="Arial"/>
          <w:sz w:val="22"/>
          <w:szCs w:val="22"/>
        </w:rPr>
        <w:t>.</w:t>
      </w:r>
      <w:r w:rsidRPr="6E7E6F32" w:rsidR="67812C15">
        <w:rPr>
          <w:rFonts w:ascii="Arial" w:hAnsi="Arial" w:eastAsia="Times New Roman" w:cs="Arial"/>
          <w:sz w:val="22"/>
          <w:szCs w:val="22"/>
        </w:rPr>
        <w:t xml:space="preserve"> Their presence also enhances cultural diversity within teams, which can improve cultural competence and support more sensitive engagement with service users from varied backgrounds. Many migrant workers bring strong relational and vocational values, often rooted in family- and community-oriented traditions, which can align closely with person-centred principles and enrich interpersonal care.</w:t>
      </w:r>
    </w:p>
    <w:p w:rsidR="67812C15" w:rsidP="2EF49F58" w:rsidRDefault="67812C15" w14:paraId="6089F61D" w14:textId="24D853DB">
      <w:pPr>
        <w:spacing w:beforeAutospacing="1" w:afterAutospacing="1" w:line="360" w:lineRule="auto"/>
        <w:jc w:val="both"/>
        <w:rPr>
          <w:rFonts w:ascii="Arial" w:hAnsi="Arial" w:eastAsia="Times New Roman" w:cs="Arial"/>
          <w:sz w:val="22"/>
        </w:rPr>
      </w:pPr>
      <w:r w:rsidRPr="2EF49F58">
        <w:rPr>
          <w:rFonts w:ascii="Arial" w:hAnsi="Arial" w:eastAsia="Times New Roman" w:cs="Arial"/>
          <w:sz w:val="22"/>
        </w:rPr>
        <w:t>However, the GCC also presents several challenges for the delivery of PCC. Language differences and cultural variation can complicate communication, informed consent, shared decision-making and risk assessment, all of which are essential for person-centred practice (Goodwin et al., 2021). Migrant workers may also face discrimination, limited promotion opportunities or exclusion from professional networks, factors that negatively affect morale and compromise their ability to develop strong, trusting relationships with service users (WRES, 2021). High turnover linked to insecure visas, financial pressures or unfavourable working conditions can further disrupt continuity of care, making it harder to build consistent and long-term relationships between staff and service users (House of Commons Library, 2024). Furthermore, national staffing shortages and widespread burnout reduce the time available for holistic assessments and meaningful emotional support, limiting the quality and depth of person-centred interactions (CQC, 2022). Thus, while the GCC enables the system to function by supplying essential labour, it simultaneously introduces structural and relational barriers to delivering truly person-centred care.</w:t>
      </w:r>
    </w:p>
    <w:p w:rsidR="67812C15" w:rsidP="2EF49F58" w:rsidRDefault="67812C15" w14:paraId="53F732A6" w14:textId="464421CD">
      <w:pPr>
        <w:spacing w:beforeAutospacing="1" w:afterAutospacing="1" w:line="360" w:lineRule="auto"/>
        <w:jc w:val="both"/>
        <w:rPr>
          <w:rFonts w:ascii="Arial" w:hAnsi="Arial" w:eastAsia="Times New Roman" w:cs="Arial"/>
          <w:sz w:val="22"/>
        </w:rPr>
      </w:pPr>
      <w:r w:rsidRPr="2EF49F58">
        <w:rPr>
          <w:rFonts w:ascii="Arial" w:hAnsi="Arial" w:eastAsia="Times New Roman" w:cs="Arial"/>
          <w:sz w:val="22"/>
        </w:rPr>
        <w:t xml:space="preserve">Similar complexities arise in relation to partnership working. Effective partnership working across health, social care, voluntary and community sectors </w:t>
      </w:r>
      <w:r w:rsidRPr="2EF49F58" w:rsidR="6975D391">
        <w:rPr>
          <w:rFonts w:ascii="Arial" w:hAnsi="Arial" w:eastAsia="Times New Roman" w:cs="Arial"/>
          <w:sz w:val="22"/>
        </w:rPr>
        <w:t>require</w:t>
      </w:r>
      <w:r w:rsidRPr="2EF49F58">
        <w:rPr>
          <w:rFonts w:ascii="Arial" w:hAnsi="Arial" w:eastAsia="Times New Roman" w:cs="Arial"/>
          <w:sz w:val="22"/>
        </w:rPr>
        <w:t xml:space="preserve"> clear communication, shared goals, mutual respect and stable team structures (Glasby and Dickinson, 2014). Yet the GCC influences these dynamics in several challenging ways. High vacancy rates and rapid workforce turnover weaken interagency relationships and make consistent collaboration difficult. Migrant workers may be inadvertently excluded from decision-making processes because of perceived language or cultural barriers, preventing them from contributing fully to team discussions or multi-agency planning. Inconsistent training and induction processes across the sector further complicate collaborative working by creating uneven competencies and knowledge bases. Visa restrictions and anxieties about job security can also discourage long-term commitment to teams, even though such stability is essential for integrated care. Despite national policy frameworks such as Integrated Care Systems (ICS), which promote cooperative and joined-up practices, these global and structural workforce issues continue to impede effective integration (NHS England, 2022).</w:t>
      </w:r>
    </w:p>
    <w:p w:rsidR="67812C15" w:rsidP="6E7E6F32" w:rsidRDefault="67812C15" w14:paraId="3EE23D1D" w14:textId="6C05A401">
      <w:pPr>
        <w:pStyle w:val="Normal"/>
        <w:spacing w:beforeAutospacing="on" w:afterAutospacing="on" w:line="360" w:lineRule="auto"/>
        <w:jc w:val="both"/>
        <w:rPr>
          <w:rFonts w:ascii="Arial" w:hAnsi="Arial" w:eastAsia="Times New Roman" w:cs="Arial"/>
          <w:noProof w:val="0"/>
          <w:sz w:val="22"/>
          <w:szCs w:val="22"/>
          <w:lang w:val="en-GB"/>
        </w:rPr>
      </w:pPr>
      <w:r w:rsidRPr="6E7E6F32" w:rsidR="67812C15">
        <w:rPr>
          <w:rFonts w:ascii="Arial" w:hAnsi="Arial" w:eastAsia="Times New Roman" w:cs="Arial"/>
          <w:sz w:val="22"/>
          <w:szCs w:val="22"/>
        </w:rPr>
        <w:t xml:space="preserve">Given these challenges, several policy and practice measures have been </w:t>
      </w:r>
      <w:r w:rsidRPr="6E7E6F32" w:rsidR="67812C15">
        <w:rPr>
          <w:rFonts w:ascii="Arial" w:hAnsi="Arial" w:eastAsia="Times New Roman" w:cs="Arial"/>
          <w:sz w:val="22"/>
          <w:szCs w:val="22"/>
        </w:rPr>
        <w:t>identified</w:t>
      </w:r>
      <w:r w:rsidRPr="6E7E6F32" w:rsidR="67812C15">
        <w:rPr>
          <w:rFonts w:ascii="Arial" w:hAnsi="Arial" w:eastAsia="Times New Roman" w:cs="Arial"/>
          <w:sz w:val="22"/>
          <w:szCs w:val="22"/>
        </w:rPr>
        <w:t xml:space="preserve"> to better align GCC dynamics with person-centred care and partnership working. Strengthening ethical and sustainable international recruitment is a key priority, including expanding bilateral agreements with sending countries, ensuring transparent contracts, improving visa </w:t>
      </w:r>
      <w:r w:rsidRPr="6E7E6F32" w:rsidR="67812C15">
        <w:rPr>
          <w:rFonts w:ascii="Arial" w:hAnsi="Arial" w:eastAsia="Times New Roman" w:cs="Arial"/>
          <w:sz w:val="22"/>
          <w:szCs w:val="22"/>
        </w:rPr>
        <w:t>stability</w:t>
      </w:r>
      <w:r w:rsidRPr="6E7E6F32" w:rsidR="67812C15">
        <w:rPr>
          <w:rFonts w:ascii="Arial" w:hAnsi="Arial" w:eastAsia="Times New Roman" w:cs="Arial"/>
          <w:sz w:val="22"/>
          <w:szCs w:val="22"/>
        </w:rPr>
        <w:t xml:space="preserve"> and enhancing support for recognising overseas qualifications. Alongside ethical recruitment, investment in robust cultural competence and communication training is essential. Training programmes should be mandatory, ongoing and co-designed with migrant workers and service users to ensure they reflect real needs and lived experiences. Improving working conditions—including fair pay, reduced reliance on zero-hours contracts, opportunities for progression and strong anti-discrimination measures—is also crucial for sustaining morale and supporting quality care. Enhanced staff wellbeing frameworks and more inclusive leadership cultures would contribute to a healthier, more </w:t>
      </w:r>
      <w:r w:rsidRPr="6E7E6F32" w:rsidR="67812C15">
        <w:rPr>
          <w:rFonts w:ascii="Arial" w:hAnsi="Arial" w:eastAsia="Times New Roman" w:cs="Arial"/>
          <w:sz w:val="22"/>
          <w:szCs w:val="22"/>
        </w:rPr>
        <w:t>equitable</w:t>
      </w:r>
      <w:r w:rsidRPr="6E7E6F32" w:rsidR="67812C15">
        <w:rPr>
          <w:rFonts w:ascii="Arial" w:hAnsi="Arial" w:eastAsia="Times New Roman" w:cs="Arial"/>
          <w:sz w:val="22"/>
          <w:szCs w:val="22"/>
        </w:rPr>
        <w:t xml:space="preserve"> workforce</w:t>
      </w:r>
      <w:r w:rsidRPr="6E7E6F32" w:rsidR="7EB9527E">
        <w:rPr>
          <w:rFonts w:ascii="Arial" w:hAnsi="Arial" w:eastAsia="Times New Roman" w:cs="Arial"/>
          <w:b w:val="0"/>
          <w:bCs w:val="0"/>
          <w:i w:val="0"/>
          <w:iCs w:val="0"/>
          <w:caps w:val="0"/>
          <w:smallCaps w:val="0"/>
          <w:noProof w:val="0"/>
          <w:sz w:val="22"/>
          <w:szCs w:val="22"/>
          <w:lang w:val="en-GB"/>
        </w:rPr>
        <w:t xml:space="preserve"> (Hartung</w:t>
      </w:r>
      <w:r w:rsidRPr="6E7E6F32" w:rsidR="7EB9527E">
        <w:rPr>
          <w:rFonts w:ascii="Arial" w:hAnsi="Arial" w:eastAsia="Times New Roman" w:cs="Arial"/>
          <w:b w:val="0"/>
          <w:bCs w:val="0"/>
          <w:i w:val="1"/>
          <w:iCs w:val="1"/>
          <w:caps w:val="0"/>
          <w:smallCaps w:val="0"/>
          <w:noProof w:val="0"/>
          <w:sz w:val="22"/>
          <w:szCs w:val="22"/>
          <w:lang w:val="en-GB"/>
        </w:rPr>
        <w:t xml:space="preserve"> et al.</w:t>
      </w:r>
      <w:r w:rsidRPr="6E7E6F32" w:rsidR="7EB9527E">
        <w:rPr>
          <w:rFonts w:ascii="Arial" w:hAnsi="Arial" w:eastAsia="Times New Roman" w:cs="Arial"/>
          <w:b w:val="0"/>
          <w:bCs w:val="0"/>
          <w:i w:val="0"/>
          <w:iCs w:val="0"/>
          <w:caps w:val="0"/>
          <w:smallCaps w:val="0"/>
          <w:noProof w:val="0"/>
          <w:sz w:val="22"/>
          <w:szCs w:val="22"/>
          <w:lang w:val="en-GB"/>
        </w:rPr>
        <w:t>, 2025).</w:t>
      </w:r>
    </w:p>
    <w:p w:rsidR="67812C15" w:rsidP="2EF49F58" w:rsidRDefault="67812C15" w14:paraId="4C37A11E" w14:textId="1B3770B3">
      <w:pPr>
        <w:spacing w:beforeAutospacing="1" w:afterAutospacing="1" w:line="360" w:lineRule="auto"/>
        <w:jc w:val="both"/>
        <w:rPr>
          <w:rFonts w:ascii="Arial" w:hAnsi="Arial" w:eastAsia="Times New Roman" w:cs="Arial"/>
          <w:sz w:val="22"/>
        </w:rPr>
      </w:pPr>
      <w:r w:rsidRPr="2EF49F58">
        <w:rPr>
          <w:rFonts w:ascii="Arial" w:hAnsi="Arial" w:eastAsia="Times New Roman" w:cs="Arial"/>
          <w:sz w:val="22"/>
        </w:rPr>
        <w:t>Strengthening partnership working across sectors requires greater standardisation of training and induction processes so that staff across the NHS, social care, and voluntary and community organisations share a consistent baseline of skills and understanding. Migrant workers should be actively involved in multi-agency planning and decision-making to ensure their perspectives shape service integration efforts. At the same time, embedding the voices of migrant workers within policy forums, advisory groups and regulatory bodies would improve policy relevance and responsiveness, ensuring that workforce planning reflects their experiences and contributions. Finally, the UK would benefit from a comprehensive national workforce strategy that includes social care alongside the NHS, with equal attention to pay structures, professional development, data monitoring and long-term workforce sustainability.</w:t>
      </w:r>
    </w:p>
    <w:p w:rsidR="67812C15" w:rsidP="2EF49F58" w:rsidRDefault="67812C15" w14:paraId="3C5C8AD3" w14:textId="15C649D3">
      <w:pPr>
        <w:spacing w:beforeAutospacing="1" w:afterAutospacing="1" w:line="360" w:lineRule="auto"/>
        <w:jc w:val="both"/>
        <w:rPr>
          <w:rFonts w:ascii="Arial" w:hAnsi="Arial" w:eastAsia="Times New Roman" w:cs="Arial"/>
          <w:sz w:val="22"/>
        </w:rPr>
      </w:pPr>
      <w:r w:rsidRPr="2EF49F58">
        <w:rPr>
          <w:rFonts w:ascii="Arial" w:hAnsi="Arial" w:eastAsia="Times New Roman" w:cs="Arial"/>
          <w:sz w:val="22"/>
        </w:rPr>
        <w:t>These developments would create a more resilient and ethically grounded system, one that recognises the value of migrant workers while enhancing the conditions necessary for person-centred care and effective partnership working. In doing so, they would help bridge the gap between global care dynamics and the practical realities of UK health and social care delivery.</w:t>
      </w:r>
    </w:p>
    <w:p w:rsidR="2EF49F58" w:rsidP="2EF49F58" w:rsidRDefault="2EF49F58" w14:paraId="7A42FD3D" w14:textId="156DF200">
      <w:pPr>
        <w:spacing w:beforeAutospacing="1" w:afterAutospacing="1" w:line="360" w:lineRule="auto"/>
        <w:jc w:val="both"/>
        <w:rPr>
          <w:rFonts w:ascii="Arial" w:hAnsi="Arial" w:eastAsia="Times New Roman" w:cs="Arial"/>
          <w:sz w:val="22"/>
        </w:rPr>
      </w:pPr>
    </w:p>
    <w:p w:rsidR="2EF49F58" w:rsidP="6E7E6F32" w:rsidRDefault="2EF49F58" w14:paraId="209CD1C3" w14:textId="3D3CE3D8">
      <w:pPr>
        <w:spacing w:beforeAutospacing="on" w:afterAutospacing="on" w:line="360" w:lineRule="auto"/>
        <w:jc w:val="both"/>
        <w:rPr>
          <w:rFonts w:ascii="Arial" w:hAnsi="Arial" w:eastAsia="Times New Roman" w:cs="Arial"/>
          <w:sz w:val="22"/>
          <w:szCs w:val="22"/>
        </w:rPr>
      </w:pPr>
    </w:p>
    <w:p w:rsidR="6E7E6F32" w:rsidP="6E7E6F32" w:rsidRDefault="6E7E6F32" w14:paraId="614F1628" w14:textId="665BF015">
      <w:pPr>
        <w:pStyle w:val="Normal"/>
        <w:spacing w:beforeAutospacing="on" w:afterAutospacing="on" w:line="360" w:lineRule="auto"/>
        <w:jc w:val="both"/>
        <w:rPr>
          <w:rFonts w:ascii="Arial" w:hAnsi="Arial" w:eastAsia="Times New Roman" w:cs="Arial"/>
          <w:sz w:val="22"/>
          <w:szCs w:val="22"/>
        </w:rPr>
      </w:pPr>
    </w:p>
    <w:p w:rsidR="6E7E6F32" w:rsidP="6E7E6F32" w:rsidRDefault="6E7E6F32" w14:paraId="21FDE8C3" w14:textId="56204AB7">
      <w:pPr>
        <w:spacing w:beforeAutospacing="on" w:afterAutospacing="on" w:line="360" w:lineRule="auto"/>
        <w:jc w:val="both"/>
        <w:rPr>
          <w:rFonts w:ascii="Arial" w:hAnsi="Arial" w:eastAsia="Times New Roman" w:cs="Arial"/>
          <w:sz w:val="22"/>
          <w:szCs w:val="22"/>
        </w:rPr>
      </w:pPr>
    </w:p>
    <w:p w:rsidR="26CA5B2A" w:rsidP="2EF49F58" w:rsidRDefault="26CA5B2A" w14:paraId="6EAACFC0" w14:textId="1A9EE125">
      <w:pPr>
        <w:pStyle w:val="Heading1"/>
        <w:spacing w:line="360" w:lineRule="auto"/>
        <w:jc w:val="both"/>
        <w:rPr>
          <w:rFonts w:ascii="Arial" w:hAnsi="Arial" w:eastAsia="Arial" w:cs="Arial"/>
          <w:b/>
          <w:bCs/>
          <w:sz w:val="28"/>
          <w:szCs w:val="28"/>
        </w:rPr>
      </w:pPr>
      <w:r w:rsidRPr="6E7E6F32" w:rsidR="26CA5B2A">
        <w:rPr>
          <w:rFonts w:ascii="Arial" w:hAnsi="Arial" w:eastAsia="Arial" w:cs="Arial"/>
          <w:sz w:val="28"/>
          <w:szCs w:val="28"/>
        </w:rPr>
        <w:t>Recommendations for Policy and Practice</w:t>
      </w:r>
    </w:p>
    <w:p w:rsidR="6E7E6F32" w:rsidP="6E7E6F32" w:rsidRDefault="6E7E6F32" w14:paraId="40D3C4EE" w14:textId="78007BB3">
      <w:pPr>
        <w:pStyle w:val="Normal"/>
      </w:pPr>
    </w:p>
    <w:p w:rsidR="20B1631B" w:rsidP="6E7E6F32" w:rsidRDefault="20B1631B" w14:paraId="6819DA62" w14:textId="2DDEBAEB">
      <w:pPr>
        <w:pStyle w:val="Normal"/>
        <w:spacing w:line="360" w:lineRule="auto"/>
        <w:jc w:val="both"/>
        <w:rPr>
          <w:rFonts w:ascii="Arial" w:hAnsi="Arial" w:eastAsia="Arial" w:cs="Arial"/>
          <w:noProof w:val="0"/>
          <w:sz w:val="22"/>
          <w:szCs w:val="22"/>
          <w:lang w:val="en-GB"/>
        </w:rPr>
      </w:pPr>
      <w:r w:rsidRPr="6E7E6F32" w:rsidR="20B1631B">
        <w:rPr>
          <w:rFonts w:ascii="Arial" w:hAnsi="Arial" w:eastAsia="Arial" w:cs="Arial"/>
          <w:color w:val="000000" w:themeColor="text1" w:themeTint="FF" w:themeShade="FF"/>
          <w:sz w:val="22"/>
          <w:szCs w:val="22"/>
        </w:rPr>
        <w:t>A more ethical and effective alignment between GCC dynamics, person-centred care and partnership working requires several key policy and practice improvements</w:t>
      </w:r>
      <w:r w:rsidRPr="6E7E6F32" w:rsidR="102511DF">
        <w:rPr>
          <w:rFonts w:ascii="Arial" w:hAnsi="Arial" w:eastAsia="Arial" w:cs="Arial"/>
          <w:color w:val="000000" w:themeColor="text1" w:themeTint="FF" w:themeShade="FF"/>
          <w:sz w:val="22"/>
          <w:szCs w:val="22"/>
        </w:rPr>
        <w:t xml:space="preserve"> (</w:t>
      </w:r>
      <w:r w:rsidRPr="6E7E6F32" w:rsidR="102511DF">
        <w:rPr>
          <w:rFonts w:ascii="Arial" w:hAnsi="Arial" w:eastAsia="Arial" w:cs="Arial"/>
          <w:b w:val="0"/>
          <w:bCs w:val="0"/>
          <w:i w:val="0"/>
          <w:iCs w:val="0"/>
          <w:caps w:val="0"/>
          <w:smallCaps w:val="0"/>
          <w:noProof w:val="0"/>
          <w:sz w:val="22"/>
          <w:szCs w:val="22"/>
          <w:lang w:val="en-GB"/>
        </w:rPr>
        <w:t>Tistad</w:t>
      </w:r>
      <w:r w:rsidRPr="6E7E6F32" w:rsidR="102511DF">
        <w:rPr>
          <w:rFonts w:ascii="Arial" w:hAnsi="Arial" w:eastAsia="Arial" w:cs="Arial"/>
          <w:b w:val="0"/>
          <w:bCs w:val="0"/>
          <w:i w:val="0"/>
          <w:iCs w:val="0"/>
          <w:caps w:val="0"/>
          <w:smallCaps w:val="0"/>
          <w:noProof w:val="0"/>
          <w:sz w:val="22"/>
          <w:szCs w:val="22"/>
          <w:lang w:val="en-GB"/>
        </w:rPr>
        <w:t xml:space="preserve"> </w:t>
      </w:r>
      <w:r w:rsidRPr="6E7E6F32" w:rsidR="102511DF">
        <w:rPr>
          <w:rFonts w:ascii="Arial" w:hAnsi="Arial" w:eastAsia="Arial" w:cs="Arial"/>
          <w:b w:val="0"/>
          <w:bCs w:val="0"/>
          <w:i w:val="1"/>
          <w:iCs w:val="1"/>
          <w:caps w:val="0"/>
          <w:smallCaps w:val="0"/>
          <w:noProof w:val="0"/>
          <w:sz w:val="22"/>
          <w:szCs w:val="22"/>
          <w:lang w:val="en-GB"/>
        </w:rPr>
        <w:t>et al</w:t>
      </w:r>
      <w:r w:rsidRPr="6E7E6F32" w:rsidR="102511DF">
        <w:rPr>
          <w:rFonts w:ascii="Arial" w:hAnsi="Arial" w:eastAsia="Arial" w:cs="Arial"/>
          <w:b w:val="0"/>
          <w:bCs w:val="0"/>
          <w:i w:val="0"/>
          <w:iCs w:val="0"/>
          <w:caps w:val="0"/>
          <w:smallCaps w:val="0"/>
          <w:noProof w:val="0"/>
          <w:sz w:val="22"/>
          <w:szCs w:val="22"/>
          <w:lang w:val="en-GB"/>
        </w:rPr>
        <w:t xml:space="preserve">., 2022).  </w:t>
      </w:r>
    </w:p>
    <w:p w:rsidR="20B1631B" w:rsidP="2EF49F58" w:rsidRDefault="20B1631B" w14:paraId="3FD35E7A" w14:textId="18609755">
      <w:pPr>
        <w:spacing w:line="360" w:lineRule="auto"/>
        <w:jc w:val="both"/>
        <w:rPr>
          <w:rFonts w:ascii="Arial" w:hAnsi="Arial" w:eastAsia="Arial" w:cs="Arial"/>
          <w:color w:val="000000" w:themeColor="text1"/>
          <w:sz w:val="22"/>
        </w:rPr>
      </w:pPr>
      <w:r w:rsidRPr="2EF49F58">
        <w:rPr>
          <w:rFonts w:ascii="Arial" w:hAnsi="Arial" w:eastAsia="Arial" w:cs="Arial"/>
          <w:color w:val="000000" w:themeColor="text1"/>
          <w:sz w:val="22"/>
        </w:rPr>
        <w:t>1. Ethical and sustainable international recruitment</w:t>
      </w:r>
    </w:p>
    <w:p w:rsidR="20B1631B" w:rsidP="6E7E6F32" w:rsidRDefault="20B1631B" w14:paraId="4A253E32" w14:textId="101AE6A9">
      <w:pPr>
        <w:pStyle w:val="Normal"/>
        <w:spacing w:line="360" w:lineRule="auto"/>
        <w:jc w:val="both"/>
        <w:rPr>
          <w:rFonts w:ascii="Arial" w:hAnsi="Arial" w:eastAsia="Arial" w:cs="Arial"/>
          <w:noProof w:val="0"/>
          <w:sz w:val="22"/>
          <w:szCs w:val="22"/>
          <w:lang w:val="en-GB"/>
        </w:rPr>
      </w:pPr>
      <w:r w:rsidRPr="6E7E6F32" w:rsidR="20B1631B">
        <w:rPr>
          <w:rFonts w:ascii="Arial" w:hAnsi="Arial" w:eastAsia="Arial" w:cs="Arial"/>
          <w:color w:val="000000" w:themeColor="text1" w:themeTint="FF" w:themeShade="FF"/>
          <w:sz w:val="22"/>
          <w:szCs w:val="22"/>
        </w:rPr>
        <w:t xml:space="preserve">Bilateral agreements with sending countries should be expanded to ensure transparent contracts, fair </w:t>
      </w:r>
      <w:r w:rsidRPr="6E7E6F32" w:rsidR="20B1631B">
        <w:rPr>
          <w:rFonts w:ascii="Arial" w:hAnsi="Arial" w:eastAsia="Arial" w:cs="Arial"/>
          <w:color w:val="000000" w:themeColor="text1" w:themeTint="FF" w:themeShade="FF"/>
          <w:sz w:val="22"/>
          <w:szCs w:val="22"/>
        </w:rPr>
        <w:t>pay</w:t>
      </w:r>
      <w:r w:rsidRPr="6E7E6F32" w:rsidR="20B1631B">
        <w:rPr>
          <w:rFonts w:ascii="Arial" w:hAnsi="Arial" w:eastAsia="Arial" w:cs="Arial"/>
          <w:color w:val="000000" w:themeColor="text1" w:themeTint="FF" w:themeShade="FF"/>
          <w:sz w:val="22"/>
          <w:szCs w:val="22"/>
        </w:rPr>
        <w:t xml:space="preserve"> and visa stability. Overseas qualifications must be recognised more consistently, with clear equivalence pathways to support professional integration and ensure migrant workers can practise to their full capabilities</w:t>
      </w:r>
      <w:r w:rsidRPr="6E7E6F32" w:rsidR="284DFB6F">
        <w:rPr>
          <w:rFonts w:ascii="Arial" w:hAnsi="Arial" w:eastAsia="Arial" w:cs="Arial"/>
          <w:b w:val="0"/>
          <w:bCs w:val="0"/>
          <w:i w:val="0"/>
          <w:iCs w:val="0"/>
          <w:caps w:val="0"/>
          <w:smallCaps w:val="0"/>
          <w:noProof w:val="0"/>
          <w:sz w:val="22"/>
          <w:szCs w:val="22"/>
          <w:lang w:val="en-GB"/>
        </w:rPr>
        <w:t xml:space="preserve"> (Pecoraro and Tani, 2023).</w:t>
      </w:r>
    </w:p>
    <w:p w:rsidR="20B1631B" w:rsidP="2EF49F58" w:rsidRDefault="20B1631B" w14:paraId="19DD88D0" w14:textId="74CA07C1">
      <w:pPr>
        <w:spacing w:line="360" w:lineRule="auto"/>
        <w:jc w:val="both"/>
        <w:rPr>
          <w:rFonts w:ascii="Arial" w:hAnsi="Arial" w:eastAsia="Arial" w:cs="Arial"/>
          <w:color w:val="000000" w:themeColor="text1"/>
          <w:sz w:val="22"/>
        </w:rPr>
      </w:pPr>
      <w:r w:rsidRPr="2EF49F58">
        <w:rPr>
          <w:rFonts w:ascii="Arial" w:hAnsi="Arial" w:eastAsia="Arial" w:cs="Arial"/>
          <w:color w:val="000000" w:themeColor="text1"/>
          <w:sz w:val="22"/>
        </w:rPr>
        <w:t>2. Cultural competence and communication training</w:t>
      </w:r>
    </w:p>
    <w:p w:rsidR="20B1631B" w:rsidP="6E7E6F32" w:rsidRDefault="20B1631B" w14:paraId="3E30C38C" w14:textId="43807DCC">
      <w:pPr>
        <w:pStyle w:val="Normal"/>
        <w:spacing w:line="360" w:lineRule="auto"/>
        <w:jc w:val="both"/>
        <w:rPr>
          <w:rFonts w:ascii="Arial" w:hAnsi="Arial" w:eastAsia="Arial" w:cs="Arial"/>
          <w:noProof w:val="0"/>
          <w:sz w:val="22"/>
          <w:szCs w:val="22"/>
          <w:lang w:val="en-GB"/>
        </w:rPr>
      </w:pPr>
      <w:r w:rsidRPr="6E7E6F32" w:rsidR="20B1631B">
        <w:rPr>
          <w:rFonts w:ascii="Arial" w:hAnsi="Arial" w:eastAsia="Arial" w:cs="Arial"/>
          <w:color w:val="000000" w:themeColor="text1" w:themeTint="FF" w:themeShade="FF"/>
          <w:sz w:val="22"/>
          <w:szCs w:val="22"/>
        </w:rPr>
        <w:t xml:space="preserve">Training must be mandatory, </w:t>
      </w:r>
      <w:r w:rsidRPr="6E7E6F32" w:rsidR="20B1631B">
        <w:rPr>
          <w:rFonts w:ascii="Arial" w:hAnsi="Arial" w:eastAsia="Arial" w:cs="Arial"/>
          <w:color w:val="000000" w:themeColor="text1" w:themeTint="FF" w:themeShade="FF"/>
          <w:sz w:val="22"/>
          <w:szCs w:val="22"/>
        </w:rPr>
        <w:t>ongoing</w:t>
      </w:r>
      <w:r w:rsidRPr="6E7E6F32" w:rsidR="20B1631B">
        <w:rPr>
          <w:rFonts w:ascii="Arial" w:hAnsi="Arial" w:eastAsia="Arial" w:cs="Arial"/>
          <w:color w:val="000000" w:themeColor="text1" w:themeTint="FF" w:themeShade="FF"/>
          <w:sz w:val="22"/>
          <w:szCs w:val="22"/>
        </w:rPr>
        <w:t xml:space="preserve"> and embedded across all health and social care settings, with support for migrant workers. Co-designing training with migrant workers and diverse service users ensures that content reflects </w:t>
      </w:r>
      <w:r w:rsidRPr="6E7E6F32" w:rsidR="20B1631B">
        <w:rPr>
          <w:rFonts w:ascii="Arial" w:hAnsi="Arial" w:eastAsia="Arial" w:cs="Arial"/>
          <w:color w:val="000000" w:themeColor="text1" w:themeTint="FF" w:themeShade="FF"/>
          <w:sz w:val="22"/>
          <w:szCs w:val="22"/>
        </w:rPr>
        <w:t>real challenges</w:t>
      </w:r>
      <w:r w:rsidRPr="6E7E6F32" w:rsidR="20B1631B">
        <w:rPr>
          <w:rFonts w:ascii="Arial" w:hAnsi="Arial" w:eastAsia="Arial" w:cs="Arial"/>
          <w:color w:val="000000" w:themeColor="text1" w:themeTint="FF" w:themeShade="FF"/>
          <w:sz w:val="22"/>
          <w:szCs w:val="22"/>
        </w:rPr>
        <w:t xml:space="preserve"> and promotes more person-centred, culturally sensitive practice</w:t>
      </w:r>
      <w:r w:rsidRPr="6E7E6F32" w:rsidR="5194ABDB">
        <w:rPr>
          <w:rFonts w:ascii="Arial" w:hAnsi="Arial" w:eastAsia="Arial" w:cs="Arial"/>
          <w:color w:val="000000" w:themeColor="text1" w:themeTint="FF" w:themeShade="FF"/>
          <w:sz w:val="22"/>
          <w:szCs w:val="22"/>
        </w:rPr>
        <w:t xml:space="preserve"> (</w:t>
      </w:r>
      <w:r w:rsidRPr="6E7E6F32" w:rsidR="5194ABDB">
        <w:rPr>
          <w:rFonts w:ascii="Arial" w:hAnsi="Arial" w:eastAsia="Arial" w:cs="Arial"/>
          <w:b w:val="0"/>
          <w:bCs w:val="0"/>
          <w:i w:val="0"/>
          <w:iCs w:val="0"/>
          <w:caps w:val="0"/>
          <w:smallCaps w:val="0"/>
          <w:noProof w:val="0"/>
          <w:sz w:val="22"/>
          <w:szCs w:val="22"/>
          <w:lang w:val="en-GB"/>
        </w:rPr>
        <w:t xml:space="preserve">Bearss </w:t>
      </w:r>
      <w:r w:rsidRPr="6E7E6F32" w:rsidR="5194ABDB">
        <w:rPr>
          <w:rFonts w:ascii="Arial" w:hAnsi="Arial" w:eastAsia="Arial" w:cs="Arial"/>
          <w:b w:val="0"/>
          <w:bCs w:val="0"/>
          <w:i w:val="1"/>
          <w:iCs w:val="1"/>
          <w:caps w:val="0"/>
          <w:smallCaps w:val="0"/>
          <w:noProof w:val="0"/>
          <w:sz w:val="22"/>
          <w:szCs w:val="22"/>
          <w:lang w:val="en-GB"/>
        </w:rPr>
        <w:t>et al.,</w:t>
      </w:r>
      <w:r w:rsidRPr="6E7E6F32" w:rsidR="5194ABDB">
        <w:rPr>
          <w:rFonts w:ascii="Arial" w:hAnsi="Arial" w:eastAsia="Arial" w:cs="Arial"/>
          <w:b w:val="0"/>
          <w:bCs w:val="0"/>
          <w:i w:val="0"/>
          <w:iCs w:val="0"/>
          <w:caps w:val="0"/>
          <w:smallCaps w:val="0"/>
          <w:noProof w:val="0"/>
          <w:sz w:val="22"/>
          <w:szCs w:val="22"/>
          <w:lang w:val="en-GB"/>
        </w:rPr>
        <w:t xml:space="preserve"> 2024).</w:t>
      </w:r>
    </w:p>
    <w:p w:rsidR="20B1631B" w:rsidP="2EF49F58" w:rsidRDefault="20B1631B" w14:paraId="35909630" w14:textId="68CB70BC">
      <w:pPr>
        <w:spacing w:line="360" w:lineRule="auto"/>
        <w:jc w:val="both"/>
        <w:rPr>
          <w:rFonts w:ascii="Arial" w:hAnsi="Arial" w:eastAsia="Arial" w:cs="Arial"/>
          <w:color w:val="000000" w:themeColor="text1"/>
          <w:sz w:val="22"/>
        </w:rPr>
      </w:pPr>
      <w:r w:rsidRPr="2EF49F58">
        <w:rPr>
          <w:rFonts w:ascii="Arial" w:hAnsi="Arial" w:eastAsia="Arial" w:cs="Arial"/>
          <w:color w:val="000000" w:themeColor="text1"/>
          <w:sz w:val="22"/>
        </w:rPr>
        <w:t>3. Improved working conditions and staff wellbeing</w:t>
      </w:r>
    </w:p>
    <w:p w:rsidR="20B1631B" w:rsidP="2EF49F58" w:rsidRDefault="20B1631B" w14:paraId="145624D6" w14:textId="6CA55406">
      <w:pPr>
        <w:spacing w:line="360" w:lineRule="auto"/>
        <w:jc w:val="both"/>
        <w:rPr>
          <w:rFonts w:ascii="Arial" w:hAnsi="Arial" w:eastAsia="Arial" w:cs="Arial"/>
          <w:color w:val="000000" w:themeColor="text1"/>
          <w:sz w:val="22"/>
        </w:rPr>
      </w:pPr>
      <w:r w:rsidRPr="2EF49F58">
        <w:rPr>
          <w:rFonts w:ascii="Arial" w:hAnsi="Arial" w:eastAsia="Arial" w:cs="Arial"/>
          <w:color w:val="000000" w:themeColor="text1"/>
          <w:sz w:val="22"/>
        </w:rPr>
        <w:t>Investment is needed to increase social care funding, enhance pay, reduce reliance on zero-hours contracts and create clearer career pathways. Wellbeing frameworks and strong anti-discrimination policies should be embedded across NHS, residential and domiciliary settings. Inclusive leadership and supportive management cultures are essential for a resilient and equitable workforce.</w:t>
      </w:r>
    </w:p>
    <w:p w:rsidR="20B1631B" w:rsidP="2EF49F58" w:rsidRDefault="20B1631B" w14:paraId="6654CCE5" w14:textId="5774564E">
      <w:pPr>
        <w:spacing w:line="360" w:lineRule="auto"/>
        <w:jc w:val="both"/>
        <w:rPr>
          <w:rFonts w:ascii="Arial" w:hAnsi="Arial" w:eastAsia="Arial" w:cs="Arial"/>
          <w:color w:val="000000" w:themeColor="text1"/>
          <w:sz w:val="22"/>
        </w:rPr>
      </w:pPr>
      <w:r w:rsidRPr="2EF49F58">
        <w:rPr>
          <w:rFonts w:ascii="Arial" w:hAnsi="Arial" w:eastAsia="Arial" w:cs="Arial"/>
          <w:color w:val="000000" w:themeColor="text1"/>
          <w:sz w:val="22"/>
        </w:rPr>
        <w:t>4. Strengthened partnership working</w:t>
      </w:r>
    </w:p>
    <w:p w:rsidR="20B1631B" w:rsidP="2EF49F58" w:rsidRDefault="20B1631B" w14:paraId="1B72503C" w14:textId="73155BCC">
      <w:pPr>
        <w:spacing w:line="360" w:lineRule="auto"/>
        <w:jc w:val="both"/>
        <w:rPr>
          <w:rFonts w:ascii="Arial" w:hAnsi="Arial" w:eastAsia="Arial" w:cs="Arial"/>
          <w:color w:val="000000" w:themeColor="text1"/>
          <w:sz w:val="22"/>
        </w:rPr>
      </w:pPr>
      <w:r w:rsidRPr="2EF49F58">
        <w:rPr>
          <w:rFonts w:ascii="Arial" w:hAnsi="Arial" w:eastAsia="Arial" w:cs="Arial"/>
          <w:color w:val="000000" w:themeColor="text1"/>
          <w:sz w:val="22"/>
        </w:rPr>
        <w:t>Training and induction should be standardised across sectors to promote coherent practice and collaborative teamwork. Migrant workers should be involved in multi-agency planning and leadership to ensure their insights inform integration efforts.</w:t>
      </w:r>
    </w:p>
    <w:p w:rsidR="20B1631B" w:rsidP="2EF49F58" w:rsidRDefault="20B1631B" w14:paraId="1FF2F77A" w14:textId="21464043">
      <w:pPr>
        <w:spacing w:line="360" w:lineRule="auto"/>
        <w:jc w:val="both"/>
        <w:rPr>
          <w:rFonts w:ascii="Arial" w:hAnsi="Arial" w:eastAsia="Arial" w:cs="Arial"/>
          <w:color w:val="000000" w:themeColor="text1"/>
          <w:sz w:val="22"/>
        </w:rPr>
      </w:pPr>
      <w:r w:rsidRPr="2EF49F58">
        <w:rPr>
          <w:rFonts w:ascii="Arial" w:hAnsi="Arial" w:eastAsia="Arial" w:cs="Arial"/>
          <w:color w:val="000000" w:themeColor="text1"/>
          <w:sz w:val="22"/>
        </w:rPr>
        <w:t>5. Embedding migrant worker voices in policy</w:t>
      </w:r>
    </w:p>
    <w:p w:rsidR="20B1631B" w:rsidP="6E7E6F32" w:rsidRDefault="20B1631B" w14:paraId="3306C900" w14:textId="24F6B22C">
      <w:pPr>
        <w:pStyle w:val="Normal"/>
        <w:spacing w:line="360" w:lineRule="auto"/>
        <w:jc w:val="both"/>
        <w:rPr>
          <w:rFonts w:ascii="Arial" w:hAnsi="Arial" w:eastAsia="Arial" w:cs="Arial"/>
          <w:noProof w:val="0"/>
          <w:sz w:val="22"/>
          <w:szCs w:val="22"/>
          <w:lang w:val="en-GB"/>
        </w:rPr>
      </w:pPr>
      <w:r w:rsidRPr="6E7E6F32" w:rsidR="20B1631B">
        <w:rPr>
          <w:rFonts w:ascii="Arial" w:hAnsi="Arial" w:eastAsia="Arial" w:cs="Arial"/>
          <w:color w:val="000000" w:themeColor="text1" w:themeTint="FF" w:themeShade="FF"/>
          <w:sz w:val="22"/>
          <w:szCs w:val="22"/>
        </w:rPr>
        <w:t>Advisory groups and care-worker panels should include migrant workers to inform policies and service improvements. Their representation within regulatory, commissioning and ICS structures would enhance accountability and ensure culturally responsive decision-making</w:t>
      </w:r>
      <w:r w:rsidRPr="6E7E6F32" w:rsidR="5DDDA5D5">
        <w:rPr>
          <w:rFonts w:ascii="Arial" w:hAnsi="Arial" w:eastAsia="Arial" w:cs="Arial"/>
          <w:b w:val="0"/>
          <w:bCs w:val="0"/>
          <w:i w:val="0"/>
          <w:iCs w:val="0"/>
          <w:caps w:val="0"/>
          <w:smallCaps w:val="0"/>
          <w:noProof w:val="0"/>
          <w:sz w:val="22"/>
          <w:szCs w:val="22"/>
          <w:lang w:val="en-GB"/>
        </w:rPr>
        <w:t xml:space="preserve"> (Alyanak </w:t>
      </w:r>
      <w:r w:rsidRPr="6E7E6F32" w:rsidR="5DDDA5D5">
        <w:rPr>
          <w:rFonts w:ascii="Arial" w:hAnsi="Arial" w:eastAsia="Arial" w:cs="Arial"/>
          <w:b w:val="0"/>
          <w:bCs w:val="0"/>
          <w:i w:val="1"/>
          <w:iCs w:val="1"/>
          <w:caps w:val="0"/>
          <w:smallCaps w:val="0"/>
          <w:noProof w:val="0"/>
          <w:sz w:val="22"/>
          <w:szCs w:val="22"/>
          <w:lang w:val="en-GB"/>
        </w:rPr>
        <w:t>et al.,</w:t>
      </w:r>
      <w:r w:rsidRPr="6E7E6F32" w:rsidR="5DDDA5D5">
        <w:rPr>
          <w:rFonts w:ascii="Arial" w:hAnsi="Arial" w:eastAsia="Arial" w:cs="Arial"/>
          <w:b w:val="0"/>
          <w:bCs w:val="0"/>
          <w:i w:val="0"/>
          <w:iCs w:val="0"/>
          <w:caps w:val="0"/>
          <w:smallCaps w:val="0"/>
          <w:noProof w:val="0"/>
          <w:sz w:val="22"/>
          <w:szCs w:val="22"/>
          <w:lang w:val="en-GB"/>
        </w:rPr>
        <w:t xml:space="preserve"> 2023).  </w:t>
      </w:r>
    </w:p>
    <w:p w:rsidR="20B1631B" w:rsidP="2EF49F58" w:rsidRDefault="20B1631B" w14:paraId="65A305BD" w14:textId="1369BAB5">
      <w:pPr>
        <w:spacing w:line="360" w:lineRule="auto"/>
        <w:jc w:val="both"/>
        <w:rPr>
          <w:rFonts w:ascii="Arial" w:hAnsi="Arial" w:eastAsia="Arial" w:cs="Arial"/>
          <w:color w:val="000000" w:themeColor="text1"/>
          <w:sz w:val="22"/>
        </w:rPr>
      </w:pPr>
      <w:r w:rsidRPr="2EF49F58">
        <w:rPr>
          <w:rFonts w:ascii="Arial" w:hAnsi="Arial" w:eastAsia="Arial" w:cs="Arial"/>
          <w:color w:val="000000" w:themeColor="text1"/>
          <w:sz w:val="22"/>
        </w:rPr>
        <w:t>6. A national workforce strategy including social care</w:t>
      </w:r>
    </w:p>
    <w:p w:rsidR="20B1631B" w:rsidP="2EF49F58" w:rsidRDefault="20B1631B" w14:paraId="359DCEAA" w14:textId="6FB679D2">
      <w:pPr>
        <w:spacing w:line="360" w:lineRule="auto"/>
        <w:jc w:val="both"/>
        <w:rPr>
          <w:rFonts w:ascii="Arial" w:hAnsi="Arial" w:eastAsia="Arial" w:cs="Arial"/>
          <w:color w:val="000000" w:themeColor="text1"/>
          <w:sz w:val="22"/>
        </w:rPr>
      </w:pPr>
      <w:r w:rsidRPr="2EF49F58">
        <w:rPr>
          <w:rFonts w:ascii="Arial" w:hAnsi="Arial" w:eastAsia="Arial" w:cs="Arial"/>
          <w:color w:val="000000" w:themeColor="text1"/>
          <w:sz w:val="22"/>
        </w:rPr>
        <w:t>A cross-sector workforce plan is essential, treating social care as equal to healthcare. The strategy should include parity of pay, training, professional support, and career structures. Improved funding, stronger data collection and robust monitoring mechanisms will help track workforce flows and strengthen long-term sustainability.</w:t>
      </w:r>
    </w:p>
    <w:p w:rsidR="20B1631B" w:rsidP="2EF49F58" w:rsidRDefault="20B1631B" w14:paraId="74E19894" w14:textId="2E178372">
      <w:pPr>
        <w:spacing w:line="360" w:lineRule="auto"/>
        <w:jc w:val="both"/>
        <w:rPr>
          <w:rFonts w:ascii="Arial" w:hAnsi="Arial" w:eastAsia="Arial" w:cs="Arial"/>
          <w:color w:val="000000" w:themeColor="text1"/>
          <w:sz w:val="22"/>
        </w:rPr>
      </w:pPr>
      <w:r w:rsidRPr="2EF49F58">
        <w:rPr>
          <w:rFonts w:ascii="Arial" w:hAnsi="Arial" w:eastAsia="Arial" w:cs="Arial"/>
          <w:color w:val="000000" w:themeColor="text1"/>
          <w:sz w:val="22"/>
        </w:rPr>
        <w:t>Collectively, these measures would create a more resilient and ethically grounded care infrastructure that promotes person-centred care, values migrant workers and strengthens partnership working.</w:t>
      </w:r>
    </w:p>
    <w:p w:rsidR="2EF49F58" w:rsidP="6E7E6F32" w:rsidRDefault="2EF49F58" w14:paraId="08DC1414" w14:textId="769CF2A5">
      <w:pPr>
        <w:spacing w:line="360" w:lineRule="auto"/>
        <w:jc w:val="both"/>
        <w:rPr>
          <w:rFonts w:ascii="Arial" w:hAnsi="Arial" w:eastAsia="Arial" w:cs="Arial"/>
          <w:sz w:val="22"/>
          <w:szCs w:val="22"/>
        </w:rPr>
      </w:pPr>
    </w:p>
    <w:p w:rsidR="6E7E6F32" w:rsidP="6E7E6F32" w:rsidRDefault="6E7E6F32" w14:paraId="09D305C7" w14:textId="6D3707FD">
      <w:pPr>
        <w:spacing w:line="360" w:lineRule="auto"/>
        <w:jc w:val="both"/>
        <w:rPr>
          <w:rFonts w:ascii="Arial" w:hAnsi="Arial" w:eastAsia="Arial" w:cs="Arial"/>
          <w:sz w:val="22"/>
          <w:szCs w:val="22"/>
        </w:rPr>
      </w:pPr>
    </w:p>
    <w:p w:rsidR="6E7E6F32" w:rsidP="6E7E6F32" w:rsidRDefault="6E7E6F32" w14:paraId="6BEE4A5F" w14:textId="4C3DA293">
      <w:pPr>
        <w:spacing w:line="360" w:lineRule="auto"/>
        <w:jc w:val="both"/>
        <w:rPr>
          <w:rFonts w:ascii="Arial" w:hAnsi="Arial" w:eastAsia="Arial" w:cs="Arial"/>
          <w:sz w:val="22"/>
          <w:szCs w:val="22"/>
        </w:rPr>
      </w:pPr>
    </w:p>
    <w:p w:rsidRPr="00B102FD" w:rsidR="00B102FD" w:rsidP="03A0112F" w:rsidRDefault="664807CF" w14:paraId="11704893" w14:textId="77777777">
      <w:pPr>
        <w:spacing w:before="100" w:beforeAutospacing="1" w:after="100" w:afterAutospacing="1" w:line="360" w:lineRule="auto"/>
        <w:jc w:val="both"/>
        <w:outlineLvl w:val="1"/>
        <w:rPr>
          <w:rFonts w:ascii="Arial" w:hAnsi="Arial" w:eastAsia="Times New Roman" w:cs="Arial"/>
          <w:color w:val="4472C4" w:themeColor="accent1"/>
          <w:sz w:val="28"/>
          <w:szCs w:val="28"/>
          <w:lang w:eastAsia="en-GB"/>
        </w:rPr>
      </w:pPr>
      <w:r w:rsidRPr="6E7E6F32" w:rsidR="664807CF">
        <w:rPr>
          <w:rFonts w:ascii="Arial" w:hAnsi="Arial" w:eastAsia="Times New Roman" w:cs="Arial"/>
          <w:color w:val="4472C4" w:themeColor="accent1" w:themeTint="FF" w:themeShade="FF"/>
          <w:sz w:val="28"/>
          <w:szCs w:val="28"/>
          <w:lang w:eastAsia="en-GB"/>
        </w:rPr>
        <w:t>Conclusion</w:t>
      </w:r>
    </w:p>
    <w:p w:rsidR="6E7E6F32" w:rsidP="6E7E6F32" w:rsidRDefault="6E7E6F32" w14:paraId="5685EFC5" w14:textId="28107E57">
      <w:pPr>
        <w:spacing w:beforeAutospacing="on" w:afterAutospacing="on" w:line="360" w:lineRule="auto"/>
        <w:jc w:val="both"/>
        <w:outlineLvl w:val="1"/>
        <w:rPr>
          <w:rFonts w:ascii="Arial" w:hAnsi="Arial" w:eastAsia="Times New Roman" w:cs="Arial"/>
          <w:color w:val="4472C4" w:themeColor="accent1" w:themeTint="FF" w:themeShade="FF"/>
          <w:sz w:val="28"/>
          <w:szCs w:val="28"/>
          <w:lang w:eastAsia="en-GB"/>
        </w:rPr>
      </w:pPr>
    </w:p>
    <w:p w:rsidRPr="00B102FD" w:rsidR="00B102FD" w:rsidP="2EF49F58" w:rsidRDefault="761C151F" w14:paraId="6A42D6BE" w14:textId="54D7F56A">
      <w:pPr>
        <w:spacing w:after="0" w:line="360" w:lineRule="auto"/>
        <w:jc w:val="both"/>
        <w:rPr>
          <w:rFonts w:ascii="Arial" w:hAnsi="Arial" w:eastAsia="Arial" w:cs="Arial"/>
          <w:sz w:val="22"/>
          <w:lang w:eastAsia="en-GB"/>
        </w:rPr>
      </w:pPr>
      <w:r w:rsidRPr="2EF49F58">
        <w:rPr>
          <w:rFonts w:ascii="Arial" w:hAnsi="Arial" w:eastAsia="Arial" w:cs="Arial"/>
          <w:sz w:val="22"/>
          <w:lang w:eastAsia="en-GB"/>
        </w:rPr>
        <w:t xml:space="preserve">The global chain of care is a valuable framework for understanding how global inequalities, migration flows and workforce pressures influence health and social care provision in the UK. While migrant workers sustain essential services, structural issues—such as discrimination, instability, burnout and weak integration—undermine person-centred care and partnership working. Addressing these contradictions requires ethical recruitment, cultural competence, improved working conditions, stronger inclusion of migrant worker perspectives and a comprehensive national workforce strategy. </w:t>
      </w:r>
    </w:p>
    <w:p w:rsidRPr="00B102FD" w:rsidR="00B102FD" w:rsidP="2EF49F58" w:rsidRDefault="761C151F" w14:paraId="50E70FA3" w14:textId="30E3CFC7">
      <w:pPr>
        <w:spacing w:after="0" w:line="360" w:lineRule="auto"/>
        <w:jc w:val="both"/>
        <w:rPr>
          <w:rFonts w:ascii="Arial" w:hAnsi="Arial" w:eastAsia="Arial" w:cs="Arial"/>
          <w:sz w:val="22"/>
          <w:lang w:eastAsia="en-GB"/>
        </w:rPr>
      </w:pPr>
      <w:r w:rsidRPr="2EF49F58">
        <w:rPr>
          <w:rFonts w:ascii="Arial" w:hAnsi="Arial" w:eastAsia="Arial" w:cs="Arial"/>
          <w:sz w:val="22"/>
          <w:lang w:eastAsia="en-GB"/>
        </w:rPr>
        <w:t>By aligning global labour dynamics with local ethical commitments, the UK can build a health and social care system grounded in dignity, fairness and sustainability—one that supports both workers and service users while recognising the crucial contribution of migrant labour.</w:t>
      </w:r>
    </w:p>
    <w:p w:rsidR="2EF49F58" w:rsidP="6E7E6F32" w:rsidRDefault="2EF49F58" w14:paraId="45D41261" w14:textId="1EC97A20">
      <w:pPr>
        <w:spacing w:after="0" w:line="360" w:lineRule="auto"/>
        <w:jc w:val="both"/>
        <w:rPr>
          <w:rFonts w:ascii="Arial" w:hAnsi="Arial" w:eastAsia="Arial" w:cs="Arial"/>
          <w:sz w:val="22"/>
          <w:szCs w:val="22"/>
          <w:lang w:eastAsia="en-GB"/>
        </w:rPr>
      </w:pPr>
    </w:p>
    <w:p w:rsidR="6E7E6F32" w:rsidP="6E7E6F32" w:rsidRDefault="6E7E6F32" w14:paraId="0DFCB746" w14:textId="1FECB6ED">
      <w:pPr>
        <w:spacing w:after="0" w:line="360" w:lineRule="auto"/>
        <w:jc w:val="both"/>
        <w:rPr>
          <w:rFonts w:ascii="Arial" w:hAnsi="Arial" w:eastAsia="Arial" w:cs="Arial"/>
          <w:sz w:val="22"/>
          <w:szCs w:val="22"/>
          <w:lang w:eastAsia="en-GB"/>
        </w:rPr>
      </w:pPr>
    </w:p>
    <w:p w:rsidR="6E7E6F32" w:rsidP="6E7E6F32" w:rsidRDefault="6E7E6F32" w14:paraId="1D2598F9" w14:textId="10473E55">
      <w:pPr>
        <w:spacing w:after="0" w:line="360" w:lineRule="auto"/>
        <w:jc w:val="both"/>
        <w:rPr>
          <w:rFonts w:ascii="Arial" w:hAnsi="Arial" w:eastAsia="Arial" w:cs="Arial"/>
          <w:sz w:val="22"/>
          <w:szCs w:val="22"/>
          <w:lang w:eastAsia="en-GB"/>
        </w:rPr>
      </w:pPr>
    </w:p>
    <w:p w:rsidR="6E7E6F32" w:rsidP="6E7E6F32" w:rsidRDefault="6E7E6F32" w14:paraId="2FE08723" w14:textId="4869B9DB">
      <w:pPr>
        <w:spacing w:after="0" w:line="360" w:lineRule="auto"/>
        <w:jc w:val="both"/>
        <w:rPr>
          <w:rFonts w:ascii="Arial" w:hAnsi="Arial" w:eastAsia="Arial" w:cs="Arial"/>
          <w:sz w:val="22"/>
          <w:szCs w:val="22"/>
          <w:lang w:eastAsia="en-GB"/>
        </w:rPr>
      </w:pPr>
    </w:p>
    <w:p w:rsidR="6E7E6F32" w:rsidP="6E7E6F32" w:rsidRDefault="6E7E6F32" w14:paraId="54CAC1B4" w14:textId="43BBDD03">
      <w:pPr>
        <w:spacing w:after="0" w:line="360" w:lineRule="auto"/>
        <w:jc w:val="both"/>
        <w:rPr>
          <w:rFonts w:ascii="Arial" w:hAnsi="Arial" w:eastAsia="Arial" w:cs="Arial"/>
          <w:sz w:val="22"/>
          <w:szCs w:val="22"/>
          <w:lang w:eastAsia="en-GB"/>
        </w:rPr>
      </w:pPr>
    </w:p>
    <w:p w:rsidR="6E7E6F32" w:rsidP="6E7E6F32" w:rsidRDefault="6E7E6F32" w14:paraId="78071E0B" w14:textId="0169E808">
      <w:pPr>
        <w:spacing w:after="0" w:line="360" w:lineRule="auto"/>
        <w:jc w:val="both"/>
        <w:rPr>
          <w:rFonts w:ascii="Arial" w:hAnsi="Arial" w:eastAsia="Arial" w:cs="Arial"/>
          <w:sz w:val="22"/>
          <w:szCs w:val="22"/>
          <w:lang w:eastAsia="en-GB"/>
        </w:rPr>
      </w:pPr>
    </w:p>
    <w:p w:rsidR="6E7E6F32" w:rsidP="6E7E6F32" w:rsidRDefault="6E7E6F32" w14:paraId="70D06F61" w14:textId="335C65BF">
      <w:pPr>
        <w:spacing w:after="0" w:line="360" w:lineRule="auto"/>
        <w:jc w:val="both"/>
        <w:rPr>
          <w:rFonts w:ascii="Arial" w:hAnsi="Arial" w:eastAsia="Arial" w:cs="Arial"/>
          <w:sz w:val="22"/>
          <w:szCs w:val="22"/>
          <w:lang w:eastAsia="en-GB"/>
        </w:rPr>
      </w:pPr>
    </w:p>
    <w:p w:rsidR="6E7E6F32" w:rsidP="6E7E6F32" w:rsidRDefault="6E7E6F32" w14:paraId="05FCFD4F" w14:textId="0A383C5A">
      <w:pPr>
        <w:spacing w:after="0" w:line="360" w:lineRule="auto"/>
        <w:jc w:val="both"/>
        <w:rPr>
          <w:rFonts w:ascii="Arial" w:hAnsi="Arial" w:eastAsia="Arial" w:cs="Arial"/>
          <w:sz w:val="22"/>
          <w:szCs w:val="22"/>
          <w:lang w:eastAsia="en-GB"/>
        </w:rPr>
      </w:pPr>
    </w:p>
    <w:p w:rsidR="6E7E6F32" w:rsidP="6E7E6F32" w:rsidRDefault="6E7E6F32" w14:paraId="442AA779" w14:textId="341539D1">
      <w:pPr>
        <w:spacing w:after="0" w:line="360" w:lineRule="auto"/>
        <w:jc w:val="both"/>
        <w:rPr>
          <w:rFonts w:ascii="Arial" w:hAnsi="Arial" w:eastAsia="Arial" w:cs="Arial"/>
          <w:sz w:val="22"/>
          <w:szCs w:val="22"/>
          <w:lang w:eastAsia="en-GB"/>
        </w:rPr>
      </w:pPr>
    </w:p>
    <w:p w:rsidR="6E7E6F32" w:rsidP="6E7E6F32" w:rsidRDefault="6E7E6F32" w14:paraId="60707447" w14:textId="6054D63F">
      <w:pPr>
        <w:spacing w:after="0" w:line="360" w:lineRule="auto"/>
        <w:jc w:val="both"/>
        <w:rPr>
          <w:rFonts w:ascii="Arial" w:hAnsi="Arial" w:eastAsia="Arial" w:cs="Arial"/>
          <w:sz w:val="22"/>
          <w:szCs w:val="22"/>
          <w:lang w:eastAsia="en-GB"/>
        </w:rPr>
      </w:pPr>
    </w:p>
    <w:p w:rsidR="6E7E6F32" w:rsidP="6E7E6F32" w:rsidRDefault="6E7E6F32" w14:paraId="1ADAE134" w14:textId="3FEFD009">
      <w:pPr>
        <w:spacing w:after="0" w:line="360" w:lineRule="auto"/>
        <w:jc w:val="both"/>
        <w:rPr>
          <w:rFonts w:ascii="Arial" w:hAnsi="Arial" w:eastAsia="Arial" w:cs="Arial"/>
          <w:sz w:val="22"/>
          <w:szCs w:val="22"/>
          <w:lang w:eastAsia="en-GB"/>
        </w:rPr>
      </w:pPr>
    </w:p>
    <w:p w:rsidR="6E7E6F32" w:rsidP="6E7E6F32" w:rsidRDefault="6E7E6F32" w14:paraId="280A445C" w14:textId="40ED73C5">
      <w:pPr>
        <w:spacing w:after="0" w:line="360" w:lineRule="auto"/>
        <w:jc w:val="both"/>
        <w:rPr>
          <w:rFonts w:ascii="Arial" w:hAnsi="Arial" w:eastAsia="Arial" w:cs="Arial"/>
          <w:sz w:val="22"/>
          <w:szCs w:val="22"/>
          <w:lang w:eastAsia="en-GB"/>
        </w:rPr>
      </w:pPr>
    </w:p>
    <w:p w:rsidR="6E7E6F32" w:rsidP="6E7E6F32" w:rsidRDefault="6E7E6F32" w14:paraId="4F2751BD" w14:textId="639BFAAC">
      <w:pPr>
        <w:spacing w:after="0" w:line="360" w:lineRule="auto"/>
        <w:jc w:val="both"/>
        <w:rPr>
          <w:rFonts w:ascii="Arial" w:hAnsi="Arial" w:eastAsia="Arial" w:cs="Arial"/>
          <w:sz w:val="22"/>
          <w:szCs w:val="22"/>
          <w:lang w:eastAsia="en-GB"/>
        </w:rPr>
      </w:pPr>
    </w:p>
    <w:p w:rsidR="6E7E6F32" w:rsidP="6E7E6F32" w:rsidRDefault="6E7E6F32" w14:paraId="38CC0CB9" w14:textId="51C948F8">
      <w:pPr>
        <w:spacing w:after="0" w:line="360" w:lineRule="auto"/>
        <w:jc w:val="both"/>
        <w:rPr>
          <w:rFonts w:ascii="Arial" w:hAnsi="Arial" w:eastAsia="Arial" w:cs="Arial"/>
          <w:sz w:val="22"/>
          <w:szCs w:val="22"/>
          <w:lang w:eastAsia="en-GB"/>
        </w:rPr>
      </w:pPr>
    </w:p>
    <w:p w:rsidR="6E7E6F32" w:rsidP="6E7E6F32" w:rsidRDefault="6E7E6F32" w14:paraId="1EEF2AC6" w14:textId="0EBDDD48">
      <w:pPr>
        <w:spacing w:after="0" w:line="360" w:lineRule="auto"/>
        <w:jc w:val="both"/>
        <w:rPr>
          <w:rFonts w:ascii="Arial" w:hAnsi="Arial" w:eastAsia="Arial" w:cs="Arial"/>
          <w:sz w:val="22"/>
          <w:szCs w:val="22"/>
          <w:lang w:eastAsia="en-GB"/>
        </w:rPr>
      </w:pPr>
    </w:p>
    <w:p w:rsidR="6E7E6F32" w:rsidP="6E7E6F32" w:rsidRDefault="6E7E6F32" w14:paraId="07EFEB12" w14:textId="7ABE474F">
      <w:pPr>
        <w:spacing w:after="0" w:line="360" w:lineRule="auto"/>
        <w:jc w:val="both"/>
        <w:rPr>
          <w:rFonts w:ascii="Arial" w:hAnsi="Arial" w:eastAsia="Arial" w:cs="Arial"/>
          <w:sz w:val="22"/>
          <w:szCs w:val="22"/>
          <w:lang w:eastAsia="en-GB"/>
        </w:rPr>
      </w:pPr>
    </w:p>
    <w:p w:rsidR="6E7E6F32" w:rsidP="6E7E6F32" w:rsidRDefault="6E7E6F32" w14:paraId="4207D75A" w14:textId="681FC98B">
      <w:pPr>
        <w:spacing w:after="0" w:line="360" w:lineRule="auto"/>
        <w:jc w:val="both"/>
        <w:rPr>
          <w:rFonts w:ascii="Arial" w:hAnsi="Arial" w:eastAsia="Arial" w:cs="Arial"/>
          <w:sz w:val="22"/>
          <w:szCs w:val="22"/>
          <w:lang w:eastAsia="en-GB"/>
        </w:rPr>
      </w:pPr>
    </w:p>
    <w:p w:rsidR="6E7E6F32" w:rsidP="6E7E6F32" w:rsidRDefault="6E7E6F32" w14:paraId="13AE9E8F" w14:textId="68B1903A">
      <w:pPr>
        <w:spacing w:after="0" w:line="360" w:lineRule="auto"/>
        <w:jc w:val="both"/>
        <w:rPr>
          <w:rFonts w:ascii="Arial" w:hAnsi="Arial" w:eastAsia="Arial" w:cs="Arial"/>
          <w:sz w:val="22"/>
          <w:szCs w:val="22"/>
          <w:lang w:eastAsia="en-GB"/>
        </w:rPr>
      </w:pPr>
    </w:p>
    <w:p w:rsidR="03A0112F" w:rsidP="004C4BED" w:rsidRDefault="664807CF" w14:paraId="454253E1" w14:textId="7ECC3C98">
      <w:pPr>
        <w:spacing w:before="100" w:beforeAutospacing="1" w:after="100" w:afterAutospacing="1" w:line="240" w:lineRule="auto"/>
        <w:outlineLvl w:val="1"/>
        <w:rPr>
          <w:rFonts w:ascii="Arial" w:hAnsi="Arial" w:eastAsia="Times New Roman" w:cs="Arial"/>
          <w:color w:val="4472C4" w:themeColor="accent1"/>
          <w:sz w:val="28"/>
          <w:szCs w:val="28"/>
          <w:lang w:eastAsia="en-GB"/>
        </w:rPr>
      </w:pPr>
      <w:r w:rsidRPr="6E7E6F32" w:rsidR="664807CF">
        <w:rPr>
          <w:rFonts w:ascii="Arial" w:hAnsi="Arial" w:eastAsia="Times New Roman" w:cs="Arial"/>
          <w:color w:val="4472C4" w:themeColor="accent1" w:themeTint="FF" w:themeShade="FF"/>
          <w:sz w:val="28"/>
          <w:szCs w:val="28"/>
          <w:lang w:eastAsia="en-GB"/>
        </w:rPr>
        <w:t>References</w:t>
      </w:r>
    </w:p>
    <w:p w:rsidR="6E7E6F32" w:rsidP="6E7E6F32" w:rsidRDefault="6E7E6F32" w14:paraId="0E2F1A20" w14:textId="46F82B10">
      <w:pPr>
        <w:spacing w:beforeAutospacing="on" w:afterAutospacing="on" w:line="240" w:lineRule="auto"/>
        <w:outlineLvl w:val="1"/>
        <w:rPr>
          <w:rFonts w:ascii="Arial" w:hAnsi="Arial" w:eastAsia="Times New Roman" w:cs="Arial"/>
          <w:color w:val="4472C4" w:themeColor="accent1" w:themeTint="FF" w:themeShade="FF"/>
          <w:sz w:val="28"/>
          <w:szCs w:val="28"/>
          <w:lang w:eastAsia="en-GB"/>
        </w:rPr>
      </w:pPr>
    </w:p>
    <w:p w:rsidR="38C7794A" w:rsidP="6E7E6F32" w:rsidRDefault="38C7794A" w14:paraId="5850032F" w14:textId="2834A5F2">
      <w:pPr>
        <w:pStyle w:val="ListParagraph"/>
        <w:numPr>
          <w:ilvl w:val="0"/>
          <w:numId w:val="13"/>
        </w:numPr>
        <w:spacing w:beforeAutospacing="on" w:afterAutospacing="on" w:line="360" w:lineRule="auto"/>
        <w:jc w:val="both"/>
        <w:rPr>
          <w:rFonts w:ascii="Arial" w:hAnsi="Arial" w:eastAsia="Times New Roman" w:cs="Arial"/>
          <w:noProof w:val="0"/>
          <w:sz w:val="22"/>
          <w:szCs w:val="22"/>
          <w:lang w:val="en-GB"/>
        </w:rPr>
      </w:pPr>
      <w:r w:rsidRPr="6E7E6F32" w:rsidR="38C7794A">
        <w:rPr>
          <w:rFonts w:ascii="Arial" w:hAnsi="Arial" w:eastAsia="Times New Roman" w:cs="Arial"/>
          <w:noProof w:val="0"/>
          <w:sz w:val="22"/>
          <w:szCs w:val="22"/>
          <w:lang w:val="en-GB"/>
        </w:rPr>
        <w:t xml:space="preserve">Gabriele Griffin (2017) ‘care chain, global’, </w:t>
      </w:r>
      <w:r w:rsidRPr="6E7E6F32" w:rsidR="38C7794A">
        <w:rPr>
          <w:rFonts w:ascii="Arial" w:hAnsi="Arial" w:eastAsia="Times New Roman" w:cs="Arial"/>
          <w:i w:val="1"/>
          <w:iCs w:val="1"/>
          <w:noProof w:val="0"/>
          <w:sz w:val="22"/>
          <w:szCs w:val="22"/>
          <w:lang w:val="en-GB"/>
        </w:rPr>
        <w:t>A Dictionary of Gender Studies</w:t>
      </w:r>
      <w:r w:rsidRPr="6E7E6F32" w:rsidR="38C7794A">
        <w:rPr>
          <w:rFonts w:ascii="Arial" w:hAnsi="Arial" w:eastAsia="Times New Roman" w:cs="Arial"/>
          <w:noProof w:val="0"/>
          <w:sz w:val="22"/>
          <w:szCs w:val="22"/>
          <w:lang w:val="en-GB"/>
        </w:rPr>
        <w:t xml:space="preserve">. 1st </w:t>
      </w:r>
      <w:r w:rsidRPr="6E7E6F32" w:rsidR="38C7794A">
        <w:rPr>
          <w:rFonts w:ascii="Arial" w:hAnsi="Arial" w:eastAsia="Times New Roman" w:cs="Arial"/>
          <w:noProof w:val="0"/>
          <w:sz w:val="22"/>
          <w:szCs w:val="22"/>
          <w:lang w:val="en-GB"/>
        </w:rPr>
        <w:t>edn</w:t>
      </w:r>
      <w:r w:rsidRPr="6E7E6F32" w:rsidR="38C7794A">
        <w:rPr>
          <w:rFonts w:ascii="Arial" w:hAnsi="Arial" w:eastAsia="Times New Roman" w:cs="Arial"/>
          <w:noProof w:val="0"/>
          <w:sz w:val="22"/>
          <w:szCs w:val="22"/>
          <w:lang w:val="en-GB"/>
        </w:rPr>
        <w:t xml:space="preserve">. Oxford University Press. Available at: </w:t>
      </w:r>
      <w:hyperlink r:id="R225ab8e897254510">
        <w:r w:rsidRPr="6E7E6F32" w:rsidR="38C7794A">
          <w:rPr>
            <w:rStyle w:val="Hyperlink"/>
            <w:rFonts w:ascii="Arial" w:hAnsi="Arial" w:eastAsia="Times New Roman" w:cs="Arial"/>
            <w:noProof w:val="0"/>
            <w:sz w:val="22"/>
            <w:szCs w:val="22"/>
            <w:lang w:val="en-GB"/>
          </w:rPr>
          <w:t>https://librarysearch.uwtsd.ac.uk/permalink/44WHELF_UWTSD/neci73/cdi_oup_oro_10_1093_acref_9780191834837_013_0049</w:t>
        </w:r>
      </w:hyperlink>
      <w:r w:rsidRPr="6E7E6F32" w:rsidR="38C7794A">
        <w:rPr>
          <w:rFonts w:ascii="Arial" w:hAnsi="Arial" w:eastAsia="Times New Roman" w:cs="Arial"/>
          <w:noProof w:val="0"/>
          <w:sz w:val="22"/>
          <w:szCs w:val="22"/>
          <w:lang w:val="en-GB"/>
        </w:rPr>
        <w:t xml:space="preserve"> </w:t>
      </w:r>
    </w:p>
    <w:p w:rsidR="54054E7A" w:rsidP="6E7E6F32" w:rsidRDefault="54054E7A" w14:paraId="73E1F1C2" w14:textId="7C4A7645">
      <w:pPr>
        <w:pStyle w:val="ListParagraph"/>
        <w:numPr>
          <w:ilvl w:val="0"/>
          <w:numId w:val="13"/>
        </w:numPr>
        <w:spacing w:beforeAutospacing="on" w:afterAutospacing="on" w:line="360" w:lineRule="auto"/>
        <w:jc w:val="both"/>
        <w:rPr>
          <w:rFonts w:ascii="Arial" w:hAnsi="Arial" w:eastAsia="Times New Roman" w:cs="Arial"/>
          <w:noProof w:val="0"/>
          <w:sz w:val="22"/>
          <w:szCs w:val="22"/>
          <w:lang w:val="en-GB"/>
        </w:rPr>
      </w:pPr>
      <w:r w:rsidRPr="6E7E6F32" w:rsidR="54054E7A">
        <w:rPr>
          <w:rFonts w:ascii="Arial" w:hAnsi="Arial" w:eastAsia="Times New Roman" w:cs="Arial"/>
          <w:noProof w:val="0"/>
          <w:sz w:val="22"/>
          <w:szCs w:val="22"/>
          <w:lang w:val="en-GB"/>
        </w:rPr>
        <w:t xml:space="preserve">Alyanak, O. </w:t>
      </w:r>
      <w:r w:rsidRPr="6E7E6F32" w:rsidR="54054E7A">
        <w:rPr>
          <w:rFonts w:ascii="Arial" w:hAnsi="Arial" w:eastAsia="Times New Roman" w:cs="Arial"/>
          <w:i w:val="1"/>
          <w:iCs w:val="1"/>
          <w:noProof w:val="0"/>
          <w:sz w:val="22"/>
          <w:szCs w:val="22"/>
          <w:lang w:val="en-GB"/>
        </w:rPr>
        <w:t>et al.</w:t>
      </w:r>
      <w:r w:rsidRPr="6E7E6F32" w:rsidR="54054E7A">
        <w:rPr>
          <w:rFonts w:ascii="Arial" w:hAnsi="Arial" w:eastAsia="Times New Roman" w:cs="Arial"/>
          <w:noProof w:val="0"/>
          <w:sz w:val="22"/>
          <w:szCs w:val="22"/>
          <w:lang w:val="en-GB"/>
        </w:rPr>
        <w:t xml:space="preserve"> (2023) ‘Platform work, exploitation, and migrant worker resistance: Evidence from Berlin and London’, </w:t>
      </w:r>
      <w:r w:rsidRPr="6E7E6F32" w:rsidR="54054E7A">
        <w:rPr>
          <w:rFonts w:ascii="Arial" w:hAnsi="Arial" w:eastAsia="Times New Roman" w:cs="Arial"/>
          <w:i w:val="1"/>
          <w:iCs w:val="1"/>
          <w:noProof w:val="0"/>
          <w:sz w:val="22"/>
          <w:szCs w:val="22"/>
          <w:lang w:val="en-GB"/>
        </w:rPr>
        <w:t xml:space="preserve">The economic and labour relations </w:t>
      </w:r>
      <w:r w:rsidRPr="6E7E6F32" w:rsidR="54054E7A">
        <w:rPr>
          <w:rFonts w:ascii="Arial" w:hAnsi="Arial" w:eastAsia="Times New Roman" w:cs="Arial"/>
          <w:i w:val="1"/>
          <w:iCs w:val="1"/>
          <w:noProof w:val="0"/>
          <w:sz w:val="22"/>
          <w:szCs w:val="22"/>
          <w:lang w:val="en-GB"/>
        </w:rPr>
        <w:t>review :</w:t>
      </w:r>
      <w:r w:rsidRPr="6E7E6F32" w:rsidR="54054E7A">
        <w:rPr>
          <w:rFonts w:ascii="Arial" w:hAnsi="Arial" w:eastAsia="Times New Roman" w:cs="Arial"/>
          <w:i w:val="1"/>
          <w:iCs w:val="1"/>
          <w:noProof w:val="0"/>
          <w:sz w:val="22"/>
          <w:szCs w:val="22"/>
          <w:lang w:val="en-GB"/>
        </w:rPr>
        <w:t xml:space="preserve"> ELRR</w:t>
      </w:r>
      <w:r w:rsidRPr="6E7E6F32" w:rsidR="54054E7A">
        <w:rPr>
          <w:rFonts w:ascii="Arial" w:hAnsi="Arial" w:eastAsia="Times New Roman" w:cs="Arial"/>
          <w:noProof w:val="0"/>
          <w:sz w:val="22"/>
          <w:szCs w:val="22"/>
          <w:lang w:val="en-GB"/>
        </w:rPr>
        <w:t xml:space="preserve">, 34(4), pp. 667–688. Available at: </w:t>
      </w:r>
      <w:hyperlink r:id="R6fc5dc6ba3c54ab2">
        <w:r w:rsidRPr="6E7E6F32" w:rsidR="54054E7A">
          <w:rPr>
            <w:rStyle w:val="Hyperlink"/>
            <w:rFonts w:ascii="Arial" w:hAnsi="Arial" w:eastAsia="Times New Roman" w:cs="Arial"/>
            <w:noProof w:val="0"/>
            <w:sz w:val="22"/>
            <w:szCs w:val="22"/>
            <w:lang w:val="en-GB"/>
          </w:rPr>
          <w:t>https://doi.org/10.1017/elr.2023.34</w:t>
        </w:r>
      </w:hyperlink>
      <w:r w:rsidRPr="6E7E6F32" w:rsidR="54054E7A">
        <w:rPr>
          <w:rFonts w:ascii="Arial" w:hAnsi="Arial" w:eastAsia="Times New Roman" w:cs="Arial"/>
          <w:noProof w:val="0"/>
          <w:sz w:val="22"/>
          <w:szCs w:val="22"/>
          <w:lang w:val="en-GB"/>
        </w:rPr>
        <w:t>.</w:t>
      </w:r>
    </w:p>
    <w:p w:rsidR="44C6926A" w:rsidP="6E7E6F32" w:rsidRDefault="44C6926A" w14:paraId="36D75FB4" w14:textId="1AAE4F74">
      <w:pPr>
        <w:pStyle w:val="ListParagraph"/>
        <w:numPr>
          <w:ilvl w:val="0"/>
          <w:numId w:val="13"/>
        </w:numPr>
        <w:spacing w:beforeAutospacing="on" w:afterAutospacing="on" w:line="360" w:lineRule="auto"/>
        <w:jc w:val="both"/>
        <w:rPr>
          <w:rFonts w:ascii="Arial" w:hAnsi="Arial" w:eastAsia="Times New Roman" w:cs="Arial"/>
          <w:noProof w:val="0"/>
          <w:sz w:val="22"/>
          <w:szCs w:val="22"/>
          <w:lang w:val="en-GB"/>
        </w:rPr>
      </w:pPr>
      <w:r w:rsidRPr="6E7E6F32" w:rsidR="44C6926A">
        <w:rPr>
          <w:rFonts w:ascii="Arial" w:hAnsi="Arial" w:eastAsia="Times New Roman" w:cs="Arial"/>
          <w:noProof w:val="0"/>
          <w:sz w:val="22"/>
          <w:szCs w:val="22"/>
          <w:lang w:val="en-GB"/>
        </w:rPr>
        <w:t xml:space="preserve">Bearss, B. </w:t>
      </w:r>
      <w:r w:rsidRPr="6E7E6F32" w:rsidR="44C6926A">
        <w:rPr>
          <w:rFonts w:ascii="Arial" w:hAnsi="Arial" w:eastAsia="Times New Roman" w:cs="Arial"/>
          <w:i w:val="1"/>
          <w:iCs w:val="1"/>
          <w:noProof w:val="0"/>
          <w:sz w:val="22"/>
          <w:szCs w:val="22"/>
          <w:lang w:val="en-GB"/>
        </w:rPr>
        <w:t>et al.</w:t>
      </w:r>
      <w:r w:rsidRPr="6E7E6F32" w:rsidR="44C6926A">
        <w:rPr>
          <w:rFonts w:ascii="Arial" w:hAnsi="Arial" w:eastAsia="Times New Roman" w:cs="Arial"/>
          <w:noProof w:val="0"/>
          <w:sz w:val="22"/>
          <w:szCs w:val="22"/>
          <w:lang w:val="en-GB"/>
        </w:rPr>
        <w:t xml:space="preserve"> (2024) ‘“Too Many Jobs and Not Enough Hands”: Immigrant and Refugee Community Health Workers at the Frontlines of the COVID-19 Pandemic’, </w:t>
      </w:r>
      <w:r w:rsidRPr="6E7E6F32" w:rsidR="44C6926A">
        <w:rPr>
          <w:rFonts w:ascii="Arial" w:hAnsi="Arial" w:eastAsia="Times New Roman" w:cs="Arial"/>
          <w:i w:val="1"/>
          <w:iCs w:val="1"/>
          <w:noProof w:val="0"/>
          <w:sz w:val="22"/>
          <w:szCs w:val="22"/>
          <w:lang w:val="en-GB"/>
        </w:rPr>
        <w:t>Qualitative health research</w:t>
      </w:r>
      <w:r w:rsidRPr="6E7E6F32" w:rsidR="44C6926A">
        <w:rPr>
          <w:rFonts w:ascii="Arial" w:hAnsi="Arial" w:eastAsia="Times New Roman" w:cs="Arial"/>
          <w:noProof w:val="0"/>
          <w:sz w:val="22"/>
          <w:szCs w:val="22"/>
          <w:lang w:val="en-GB"/>
        </w:rPr>
        <w:t xml:space="preserve">, 34(1–2), pp. 86–100. Available at: </w:t>
      </w:r>
      <w:hyperlink r:id="R08727307253d4649">
        <w:r w:rsidRPr="6E7E6F32" w:rsidR="44C6926A">
          <w:rPr>
            <w:rStyle w:val="Hyperlink"/>
            <w:rFonts w:ascii="Arial" w:hAnsi="Arial" w:eastAsia="Times New Roman" w:cs="Arial"/>
            <w:noProof w:val="0"/>
            <w:sz w:val="22"/>
            <w:szCs w:val="22"/>
            <w:lang w:val="en-GB"/>
          </w:rPr>
          <w:t>https://doi.org/10.1177/10497323231204741</w:t>
        </w:r>
      </w:hyperlink>
      <w:r w:rsidRPr="6E7E6F32" w:rsidR="44C6926A">
        <w:rPr>
          <w:rFonts w:ascii="Arial" w:hAnsi="Arial" w:eastAsia="Times New Roman" w:cs="Arial"/>
          <w:noProof w:val="0"/>
          <w:sz w:val="22"/>
          <w:szCs w:val="22"/>
          <w:lang w:val="en-GB"/>
        </w:rPr>
        <w:t>.</w:t>
      </w:r>
    </w:p>
    <w:p w:rsidR="44C6926A" w:rsidP="6E7E6F32" w:rsidRDefault="44C6926A" w14:paraId="4ED83C37" w14:textId="1B4E2E1E">
      <w:pPr>
        <w:pStyle w:val="ListParagraph"/>
        <w:numPr>
          <w:ilvl w:val="0"/>
          <w:numId w:val="13"/>
        </w:numPr>
        <w:spacing w:beforeAutospacing="on" w:afterAutospacing="on" w:line="360" w:lineRule="auto"/>
        <w:jc w:val="both"/>
        <w:rPr>
          <w:rFonts w:ascii="Arial" w:hAnsi="Arial" w:eastAsia="Times New Roman" w:cs="Arial"/>
          <w:noProof w:val="0"/>
          <w:sz w:val="22"/>
          <w:szCs w:val="22"/>
          <w:lang w:val="en-GB"/>
        </w:rPr>
      </w:pPr>
      <w:r w:rsidRPr="6E7E6F32" w:rsidR="44C6926A">
        <w:rPr>
          <w:rFonts w:ascii="Arial" w:hAnsi="Arial" w:eastAsia="Times New Roman" w:cs="Arial"/>
          <w:noProof w:val="0"/>
          <w:sz w:val="22"/>
          <w:szCs w:val="22"/>
          <w:lang w:val="en-GB"/>
        </w:rPr>
        <w:t xml:space="preserve">Pecoraro, M. and Tani, M. (2023) ‘Does Certifying Foreign Qualifications Lead to Better Immigrant Skills Utilization?’, </w:t>
      </w:r>
      <w:r w:rsidRPr="6E7E6F32" w:rsidR="44C6926A">
        <w:rPr>
          <w:rFonts w:ascii="Arial" w:hAnsi="Arial" w:eastAsia="Times New Roman" w:cs="Arial"/>
          <w:i w:val="1"/>
          <w:iCs w:val="1"/>
          <w:noProof w:val="0"/>
          <w:sz w:val="22"/>
          <w:szCs w:val="22"/>
          <w:lang w:val="en-GB"/>
        </w:rPr>
        <w:t>Social indicators research</w:t>
      </w:r>
      <w:r w:rsidRPr="6E7E6F32" w:rsidR="44C6926A">
        <w:rPr>
          <w:rFonts w:ascii="Arial" w:hAnsi="Arial" w:eastAsia="Times New Roman" w:cs="Arial"/>
          <w:noProof w:val="0"/>
          <w:sz w:val="22"/>
          <w:szCs w:val="22"/>
          <w:lang w:val="en-GB"/>
        </w:rPr>
        <w:t xml:space="preserve">, 170(1), pp. 291–322. Available at: </w:t>
      </w:r>
      <w:hyperlink r:id="R1c1c351aa21a4129">
        <w:r w:rsidRPr="6E7E6F32" w:rsidR="44C6926A">
          <w:rPr>
            <w:rStyle w:val="Hyperlink"/>
            <w:rFonts w:ascii="Arial" w:hAnsi="Arial" w:eastAsia="Times New Roman" w:cs="Arial"/>
            <w:noProof w:val="0"/>
            <w:sz w:val="22"/>
            <w:szCs w:val="22"/>
            <w:lang w:val="en-GB"/>
          </w:rPr>
          <w:t>https://doi.org/10.1007/s11205-023-03069-x</w:t>
        </w:r>
      </w:hyperlink>
      <w:r w:rsidRPr="6E7E6F32" w:rsidR="44C6926A">
        <w:rPr>
          <w:rFonts w:ascii="Arial" w:hAnsi="Arial" w:eastAsia="Times New Roman" w:cs="Arial"/>
          <w:noProof w:val="0"/>
          <w:sz w:val="22"/>
          <w:szCs w:val="22"/>
          <w:lang w:val="en-GB"/>
        </w:rPr>
        <w:t>.</w:t>
      </w:r>
    </w:p>
    <w:p w:rsidR="024AECC2" w:rsidP="6E7E6F32" w:rsidRDefault="024AECC2" w14:paraId="791024E2" w14:textId="0CF8B3DD">
      <w:pPr>
        <w:pStyle w:val="ListParagraph"/>
        <w:numPr>
          <w:ilvl w:val="0"/>
          <w:numId w:val="13"/>
        </w:numPr>
        <w:spacing w:beforeAutospacing="on" w:afterAutospacing="on" w:line="360" w:lineRule="auto"/>
        <w:jc w:val="both"/>
        <w:rPr>
          <w:rFonts w:ascii="Arial" w:hAnsi="Arial" w:eastAsia="Times New Roman" w:cs="Arial"/>
          <w:noProof w:val="0"/>
          <w:sz w:val="22"/>
          <w:szCs w:val="22"/>
          <w:lang w:val="en-GB"/>
        </w:rPr>
      </w:pPr>
      <w:r w:rsidRPr="6E7E6F32" w:rsidR="024AECC2">
        <w:rPr>
          <w:rFonts w:ascii="Arial" w:hAnsi="Arial" w:eastAsia="Times New Roman" w:cs="Arial"/>
          <w:noProof w:val="0"/>
          <w:sz w:val="22"/>
          <w:szCs w:val="22"/>
          <w:lang w:val="en-GB"/>
        </w:rPr>
        <w:t>Al-</w:t>
      </w:r>
      <w:r w:rsidRPr="6E7E6F32" w:rsidR="024AECC2">
        <w:rPr>
          <w:rFonts w:ascii="Arial" w:hAnsi="Arial" w:eastAsia="Times New Roman" w:cs="Arial"/>
          <w:noProof w:val="0"/>
          <w:sz w:val="22"/>
          <w:szCs w:val="22"/>
          <w:lang w:val="en-GB"/>
        </w:rPr>
        <w:t>Btoush</w:t>
      </w:r>
      <w:r w:rsidRPr="6E7E6F32" w:rsidR="024AECC2">
        <w:rPr>
          <w:rFonts w:ascii="Arial" w:hAnsi="Arial" w:eastAsia="Times New Roman" w:cs="Arial"/>
          <w:noProof w:val="0"/>
          <w:sz w:val="22"/>
          <w:szCs w:val="22"/>
          <w:lang w:val="en-GB"/>
        </w:rPr>
        <w:t>, A. and El-</w:t>
      </w:r>
      <w:r w:rsidRPr="6E7E6F32" w:rsidR="024AECC2">
        <w:rPr>
          <w:rFonts w:ascii="Arial" w:hAnsi="Arial" w:eastAsia="Times New Roman" w:cs="Arial"/>
          <w:noProof w:val="0"/>
          <w:sz w:val="22"/>
          <w:szCs w:val="22"/>
          <w:lang w:val="en-GB"/>
        </w:rPr>
        <w:t>Bcheraoui</w:t>
      </w:r>
      <w:r w:rsidRPr="6E7E6F32" w:rsidR="024AECC2">
        <w:rPr>
          <w:rFonts w:ascii="Arial" w:hAnsi="Arial" w:eastAsia="Times New Roman" w:cs="Arial"/>
          <w:noProof w:val="0"/>
          <w:sz w:val="22"/>
          <w:szCs w:val="22"/>
          <w:lang w:val="en-GB"/>
        </w:rPr>
        <w:t xml:space="preserve">, C. (2024) ‘Challenges affecting migrant healthcare workers while adjusting to new healthcare environments: a scoping review’, </w:t>
      </w:r>
      <w:r w:rsidRPr="6E7E6F32" w:rsidR="024AECC2">
        <w:rPr>
          <w:rFonts w:ascii="Arial" w:hAnsi="Arial" w:eastAsia="Times New Roman" w:cs="Arial"/>
          <w:i w:val="1"/>
          <w:iCs w:val="1"/>
          <w:noProof w:val="0"/>
          <w:sz w:val="22"/>
          <w:szCs w:val="22"/>
          <w:lang w:val="en-GB"/>
        </w:rPr>
        <w:t>Human resources for health</w:t>
      </w:r>
      <w:r w:rsidRPr="6E7E6F32" w:rsidR="024AECC2">
        <w:rPr>
          <w:rFonts w:ascii="Arial" w:hAnsi="Arial" w:eastAsia="Times New Roman" w:cs="Arial"/>
          <w:noProof w:val="0"/>
          <w:sz w:val="22"/>
          <w:szCs w:val="22"/>
          <w:lang w:val="en-GB"/>
        </w:rPr>
        <w:t xml:space="preserve">, 22(1). Available at: </w:t>
      </w:r>
      <w:hyperlink r:id="R24e1fd5b9a7442e6">
        <w:r w:rsidRPr="6E7E6F32" w:rsidR="024AECC2">
          <w:rPr>
            <w:rStyle w:val="Hyperlink"/>
            <w:rFonts w:ascii="Arial" w:hAnsi="Arial" w:eastAsia="Times New Roman" w:cs="Arial"/>
            <w:noProof w:val="0"/>
            <w:sz w:val="22"/>
            <w:szCs w:val="22"/>
            <w:lang w:val="en-GB"/>
          </w:rPr>
          <w:t>https://doi.org/10.1186/s12960-024-00941-w</w:t>
        </w:r>
      </w:hyperlink>
      <w:r w:rsidRPr="6E7E6F32" w:rsidR="024AECC2">
        <w:rPr>
          <w:rFonts w:ascii="Arial" w:hAnsi="Arial" w:eastAsia="Times New Roman" w:cs="Arial"/>
          <w:noProof w:val="0"/>
          <w:sz w:val="22"/>
          <w:szCs w:val="22"/>
          <w:lang w:val="en-GB"/>
        </w:rPr>
        <w:t>.</w:t>
      </w:r>
    </w:p>
    <w:p w:rsidRPr="00B102FD" w:rsidR="00B102FD" w:rsidP="00B102FD" w:rsidRDefault="00B102FD" w14:paraId="4B7C49F3" w14:textId="29768FFE">
      <w:pPr>
        <w:pStyle w:val="ListParagraph"/>
        <w:numPr>
          <w:ilvl w:val="0"/>
          <w:numId w:val="13"/>
        </w:numPr>
        <w:spacing w:before="100" w:beforeAutospacing="1" w:after="100" w:afterAutospacing="1" w:line="360" w:lineRule="auto"/>
        <w:jc w:val="both"/>
        <w:rPr>
          <w:rFonts w:ascii="Arial" w:hAnsi="Arial" w:eastAsia="Times New Roman" w:cs="Arial"/>
          <w:sz w:val="22"/>
          <w:lang w:eastAsia="en-GB"/>
        </w:rPr>
      </w:pPr>
      <w:r w:rsidRPr="6E7E6F32" w:rsidR="00B102FD">
        <w:rPr>
          <w:rFonts w:ascii="Arial" w:hAnsi="Arial" w:eastAsia="Times New Roman" w:cs="Arial"/>
          <w:sz w:val="22"/>
          <w:szCs w:val="22"/>
          <w:lang w:eastAsia="en-GB"/>
        </w:rPr>
        <w:t xml:space="preserve">Bach, S. (2018). </w:t>
      </w:r>
      <w:r w:rsidRPr="6E7E6F32" w:rsidR="00B102FD">
        <w:rPr>
          <w:rFonts w:ascii="Arial" w:hAnsi="Arial" w:eastAsia="Times New Roman" w:cs="Arial"/>
          <w:i w:val="1"/>
          <w:iCs w:val="1"/>
          <w:sz w:val="22"/>
          <w:szCs w:val="22"/>
          <w:lang w:eastAsia="en-GB"/>
        </w:rPr>
        <w:t>International mobility of health workers</w:t>
      </w:r>
      <w:r w:rsidRPr="6E7E6F32" w:rsidR="00B102FD">
        <w:rPr>
          <w:rFonts w:ascii="Arial" w:hAnsi="Arial" w:eastAsia="Times New Roman" w:cs="Arial"/>
          <w:sz w:val="22"/>
          <w:szCs w:val="22"/>
          <w:lang w:eastAsia="en-GB"/>
        </w:rPr>
        <w:t>. Oxford: Oxford University Press.</w:t>
      </w:r>
    </w:p>
    <w:p w:rsidR="68E89A6C" w:rsidP="6E7E6F32" w:rsidRDefault="68E89A6C" w14:paraId="44F53E39" w14:textId="67B850B0">
      <w:pPr>
        <w:pStyle w:val="ListParagraph"/>
        <w:numPr>
          <w:ilvl w:val="0"/>
          <w:numId w:val="13"/>
        </w:numPr>
        <w:spacing w:beforeAutospacing="on" w:afterAutospacing="on" w:line="360" w:lineRule="auto"/>
        <w:jc w:val="both"/>
        <w:rPr>
          <w:rFonts w:ascii="Arial" w:hAnsi="Arial" w:eastAsia="Times New Roman" w:cs="Arial"/>
          <w:noProof w:val="0"/>
          <w:sz w:val="22"/>
          <w:szCs w:val="22"/>
          <w:lang w:val="en-GB"/>
        </w:rPr>
      </w:pPr>
      <w:r w:rsidRPr="6E7E6F32" w:rsidR="68E89A6C">
        <w:rPr>
          <w:rFonts w:ascii="Arial" w:hAnsi="Arial" w:eastAsia="Times New Roman" w:cs="Arial"/>
          <w:noProof w:val="0"/>
          <w:sz w:val="22"/>
          <w:szCs w:val="22"/>
          <w:lang w:val="en-GB"/>
        </w:rPr>
        <w:t xml:space="preserve">Hartung, K., Swann-Thomsen, </w:t>
      </w:r>
      <w:r w:rsidRPr="6E7E6F32" w:rsidR="68E89A6C">
        <w:rPr>
          <w:rFonts w:ascii="Arial" w:hAnsi="Arial" w:eastAsia="Times New Roman" w:cs="Arial"/>
          <w:noProof w:val="0"/>
          <w:sz w:val="22"/>
          <w:szCs w:val="22"/>
          <w:lang w:val="en-GB"/>
        </w:rPr>
        <w:t>H.</w:t>
      </w:r>
      <w:r w:rsidRPr="6E7E6F32" w:rsidR="68E89A6C">
        <w:rPr>
          <w:rFonts w:ascii="Arial" w:hAnsi="Arial" w:eastAsia="Times New Roman" w:cs="Arial"/>
          <w:noProof w:val="0"/>
          <w:sz w:val="22"/>
          <w:szCs w:val="22"/>
          <w:lang w:val="en-GB"/>
        </w:rPr>
        <w:t xml:space="preserve"> and Schneider, K. (2025) ‘Wellness-</w:t>
      </w:r>
      <w:r w:rsidRPr="6E7E6F32" w:rsidR="68E89A6C">
        <w:rPr>
          <w:rFonts w:ascii="Arial" w:hAnsi="Arial" w:eastAsia="Times New Roman" w:cs="Arial"/>
          <w:noProof w:val="0"/>
          <w:sz w:val="22"/>
          <w:szCs w:val="22"/>
          <w:lang w:val="en-GB"/>
        </w:rPr>
        <w:t>Centred</w:t>
      </w:r>
      <w:r w:rsidRPr="6E7E6F32" w:rsidR="68E89A6C">
        <w:rPr>
          <w:rFonts w:ascii="Arial" w:hAnsi="Arial" w:eastAsia="Times New Roman" w:cs="Arial"/>
          <w:noProof w:val="0"/>
          <w:sz w:val="22"/>
          <w:szCs w:val="22"/>
          <w:lang w:val="en-GB"/>
        </w:rPr>
        <w:t xml:space="preserve"> Leadership: A Key Differentiator for Successfully Reducing Burnout and Building a Culture of Well-Being Among Physicians and APPs’, </w:t>
      </w:r>
      <w:r w:rsidRPr="6E7E6F32" w:rsidR="68E89A6C">
        <w:rPr>
          <w:rFonts w:ascii="Arial" w:hAnsi="Arial" w:eastAsia="Times New Roman" w:cs="Arial"/>
          <w:i w:val="1"/>
          <w:iCs w:val="1"/>
          <w:noProof w:val="0"/>
          <w:sz w:val="22"/>
          <w:szCs w:val="22"/>
          <w:lang w:val="en-GB"/>
        </w:rPr>
        <w:t>Journal of healthcare leadership</w:t>
      </w:r>
      <w:r w:rsidRPr="6E7E6F32" w:rsidR="68E89A6C">
        <w:rPr>
          <w:rFonts w:ascii="Arial" w:hAnsi="Arial" w:eastAsia="Times New Roman" w:cs="Arial"/>
          <w:noProof w:val="0"/>
          <w:sz w:val="22"/>
          <w:szCs w:val="22"/>
          <w:lang w:val="en-GB"/>
        </w:rPr>
        <w:t xml:space="preserve">, 17, pp. 145–157. Available at: </w:t>
      </w:r>
      <w:hyperlink r:id="R2f7d2ec0bef44e2f">
        <w:r w:rsidRPr="6E7E6F32" w:rsidR="68E89A6C">
          <w:rPr>
            <w:rStyle w:val="Hyperlink"/>
            <w:rFonts w:ascii="Arial" w:hAnsi="Arial" w:eastAsia="Times New Roman" w:cs="Arial"/>
            <w:noProof w:val="0"/>
            <w:sz w:val="22"/>
            <w:szCs w:val="22"/>
            <w:lang w:val="en-GB"/>
          </w:rPr>
          <w:t>https://doi.org/10.2147/JHL.S513209</w:t>
        </w:r>
      </w:hyperlink>
      <w:r w:rsidRPr="6E7E6F32" w:rsidR="68E89A6C">
        <w:rPr>
          <w:rFonts w:ascii="Arial" w:hAnsi="Arial" w:eastAsia="Times New Roman" w:cs="Arial"/>
          <w:noProof w:val="0"/>
          <w:sz w:val="22"/>
          <w:szCs w:val="22"/>
          <w:lang w:val="en-GB"/>
        </w:rPr>
        <w:t>.</w:t>
      </w:r>
    </w:p>
    <w:p w:rsidRPr="00B102FD" w:rsidR="00B102FD" w:rsidP="00B102FD" w:rsidRDefault="00B102FD" w14:paraId="7A2DC704" w14:textId="1749A3DD">
      <w:pPr>
        <w:pStyle w:val="ListParagraph"/>
        <w:numPr>
          <w:ilvl w:val="0"/>
          <w:numId w:val="13"/>
        </w:numPr>
        <w:spacing w:before="100" w:beforeAutospacing="1" w:after="100" w:afterAutospacing="1" w:line="360" w:lineRule="auto"/>
        <w:jc w:val="both"/>
        <w:rPr>
          <w:rFonts w:ascii="Arial" w:hAnsi="Arial" w:eastAsia="Times New Roman" w:cs="Arial"/>
          <w:sz w:val="22"/>
          <w:lang w:eastAsia="en-GB"/>
        </w:rPr>
      </w:pPr>
      <w:r w:rsidRPr="00B102FD">
        <w:rPr>
          <w:rFonts w:ascii="Arial" w:hAnsi="Arial" w:eastAsia="Times New Roman" w:cs="Arial"/>
          <w:sz w:val="22"/>
          <w:lang w:eastAsia="en-GB"/>
        </w:rPr>
        <w:t xml:space="preserve">Buchan, J., Wismar, M. and Glinos, I. (2022) </w:t>
      </w:r>
      <w:r w:rsidRPr="00B102FD">
        <w:rPr>
          <w:rFonts w:ascii="Arial" w:hAnsi="Arial" w:eastAsia="Times New Roman" w:cs="Arial"/>
          <w:i/>
          <w:iCs/>
          <w:sz w:val="22"/>
          <w:lang w:eastAsia="en-GB"/>
        </w:rPr>
        <w:t>A sustainable health workforce for Europe</w:t>
      </w:r>
      <w:r w:rsidRPr="00B102FD">
        <w:rPr>
          <w:rFonts w:ascii="Arial" w:hAnsi="Arial" w:eastAsia="Times New Roman" w:cs="Arial"/>
          <w:sz w:val="22"/>
          <w:lang w:eastAsia="en-GB"/>
        </w:rPr>
        <w:t xml:space="preserve">. World Health Organisation Regional Office for Europe. Available at: </w:t>
      </w:r>
      <w:hyperlink w:history="1" r:id="rId12">
        <w:r w:rsidRPr="00B102FD">
          <w:rPr>
            <w:rFonts w:ascii="Arial" w:hAnsi="Arial" w:eastAsia="Times New Roman" w:cs="Arial"/>
            <w:color w:val="0000FF"/>
            <w:sz w:val="22"/>
            <w:u w:val="single"/>
            <w:lang w:eastAsia="en-GB"/>
          </w:rPr>
          <w:t>https://www.euro.who.int/en/data-and-evidence/health-workforce</w:t>
        </w:r>
      </w:hyperlink>
      <w:r w:rsidRPr="00B102FD">
        <w:rPr>
          <w:rFonts w:ascii="Arial" w:hAnsi="Arial" w:eastAsia="Times New Roman" w:cs="Arial"/>
          <w:sz w:val="22"/>
          <w:lang w:eastAsia="en-GB"/>
        </w:rPr>
        <w:t xml:space="preserve"> (accessed 09 Dec 2025).</w:t>
      </w:r>
    </w:p>
    <w:p w:rsidRPr="00B102FD" w:rsidR="00B102FD" w:rsidP="00B102FD" w:rsidRDefault="00B102FD" w14:paraId="4938D931" w14:textId="69F9C67F">
      <w:pPr>
        <w:pStyle w:val="ListParagraph"/>
        <w:numPr>
          <w:ilvl w:val="0"/>
          <w:numId w:val="13"/>
        </w:numPr>
        <w:spacing w:before="100" w:beforeAutospacing="1" w:after="100" w:afterAutospacing="1" w:line="360" w:lineRule="auto"/>
        <w:jc w:val="both"/>
        <w:rPr>
          <w:rFonts w:ascii="Arial" w:hAnsi="Arial" w:eastAsia="Times New Roman" w:cs="Arial"/>
          <w:sz w:val="22"/>
          <w:lang w:eastAsia="en-GB"/>
        </w:rPr>
      </w:pPr>
      <w:r w:rsidRPr="00B102FD">
        <w:rPr>
          <w:rFonts w:ascii="Arial" w:hAnsi="Arial" w:eastAsia="Times New Roman" w:cs="Arial"/>
          <w:sz w:val="22"/>
          <w:lang w:eastAsia="en-GB"/>
        </w:rPr>
        <w:t xml:space="preserve">Care Quality Commission (2023). </w:t>
      </w:r>
      <w:r w:rsidRPr="00B102FD">
        <w:rPr>
          <w:rFonts w:ascii="Arial" w:hAnsi="Arial" w:eastAsia="Times New Roman" w:cs="Arial"/>
          <w:i/>
          <w:iCs/>
          <w:sz w:val="22"/>
          <w:lang w:eastAsia="en-GB"/>
        </w:rPr>
        <w:t>The health and care workforce – State of Care 2022/23</w:t>
      </w:r>
      <w:r w:rsidRPr="00B102FD">
        <w:rPr>
          <w:rFonts w:ascii="Arial" w:hAnsi="Arial" w:eastAsia="Times New Roman" w:cs="Arial"/>
          <w:sz w:val="22"/>
          <w:lang w:eastAsia="en-GB"/>
        </w:rPr>
        <w:t xml:space="preserve">. Available at: </w:t>
      </w:r>
      <w:hyperlink w:history="1" r:id="rId13">
        <w:r w:rsidRPr="00B102FD">
          <w:rPr>
            <w:rFonts w:ascii="Arial" w:hAnsi="Arial" w:eastAsia="Times New Roman" w:cs="Arial"/>
            <w:color w:val="0000FF"/>
            <w:sz w:val="22"/>
            <w:u w:val="single"/>
            <w:lang w:eastAsia="en-GB"/>
          </w:rPr>
          <w:t>https://www.cqc.org.uk/publications/major-report/state-care/2022-2023/workforce</w:t>
        </w:r>
      </w:hyperlink>
      <w:r w:rsidRPr="00B102FD">
        <w:rPr>
          <w:rFonts w:ascii="Arial" w:hAnsi="Arial" w:eastAsia="Times New Roman" w:cs="Arial"/>
          <w:sz w:val="22"/>
          <w:lang w:eastAsia="en-GB"/>
        </w:rPr>
        <w:t xml:space="preserve"> (accessed 09 Dec 2025).</w:t>
      </w:r>
    </w:p>
    <w:p w:rsidRPr="00B102FD" w:rsidR="00B102FD" w:rsidP="6E7E6F32" w:rsidRDefault="00B102FD" w14:paraId="24F106A4" w14:textId="27222F94">
      <w:pPr>
        <w:pStyle w:val="ListParagraph"/>
        <w:numPr>
          <w:ilvl w:val="0"/>
          <w:numId w:val="13"/>
        </w:numPr>
        <w:spacing w:before="100" w:beforeAutospacing="on" w:after="100" w:afterAutospacing="on" w:line="360" w:lineRule="auto"/>
        <w:jc w:val="both"/>
        <w:rPr>
          <w:rFonts w:ascii="Arial" w:hAnsi="Arial" w:eastAsia="Times New Roman" w:cs="Arial"/>
          <w:sz w:val="22"/>
          <w:szCs w:val="22"/>
          <w:lang w:eastAsia="en-GB"/>
        </w:rPr>
      </w:pPr>
      <w:r w:rsidRPr="6E7E6F32" w:rsidR="00B102FD">
        <w:rPr>
          <w:rFonts w:ascii="Arial" w:hAnsi="Arial" w:eastAsia="Times New Roman" w:cs="Arial"/>
          <w:sz w:val="22"/>
          <w:szCs w:val="22"/>
          <w:lang w:eastAsia="en-GB"/>
        </w:rPr>
        <w:t xml:space="preserve">Department of Health and Social Care (2023) </w:t>
      </w:r>
      <w:r w:rsidRPr="6E7E6F32" w:rsidR="00B102FD">
        <w:rPr>
          <w:rFonts w:ascii="Arial" w:hAnsi="Arial" w:eastAsia="Times New Roman" w:cs="Arial"/>
          <w:i w:val="1"/>
          <w:iCs w:val="1"/>
          <w:sz w:val="22"/>
          <w:szCs w:val="22"/>
          <w:lang w:eastAsia="en-GB"/>
        </w:rPr>
        <w:t>Code of Practice for International Recruitment of Health and Social Care Personnel</w:t>
      </w:r>
      <w:r w:rsidRPr="6E7E6F32" w:rsidR="00B102FD">
        <w:rPr>
          <w:rFonts w:ascii="Arial" w:hAnsi="Arial" w:eastAsia="Times New Roman" w:cs="Arial"/>
          <w:sz w:val="22"/>
          <w:szCs w:val="22"/>
          <w:lang w:eastAsia="en-GB"/>
        </w:rPr>
        <w:t>. London: DHSC.</w:t>
      </w:r>
    </w:p>
    <w:p w:rsidRPr="00B102FD" w:rsidR="00B102FD" w:rsidP="6E7E6F32" w:rsidRDefault="00B102FD" w14:paraId="0F733FE7" w14:textId="65521E2E">
      <w:pPr>
        <w:pStyle w:val="ListParagraph"/>
        <w:numPr>
          <w:ilvl w:val="0"/>
          <w:numId w:val="13"/>
        </w:numPr>
        <w:spacing w:before="100" w:beforeAutospacing="on" w:after="100" w:afterAutospacing="on" w:line="360" w:lineRule="auto"/>
        <w:jc w:val="both"/>
        <w:rPr>
          <w:rFonts w:ascii="Arial" w:hAnsi="Arial" w:eastAsia="Times New Roman" w:cs="Arial"/>
          <w:noProof w:val="0"/>
          <w:sz w:val="22"/>
          <w:szCs w:val="22"/>
          <w:lang w:val="en-GB"/>
        </w:rPr>
      </w:pPr>
      <w:r w:rsidRPr="6E7E6F32" w:rsidR="00B102FD">
        <w:rPr>
          <w:rFonts w:ascii="Arial" w:hAnsi="Arial" w:eastAsia="Times New Roman" w:cs="Arial"/>
          <w:sz w:val="22"/>
          <w:szCs w:val="22"/>
          <w:lang w:eastAsia="en-GB"/>
        </w:rPr>
        <w:t xml:space="preserve">Glasby, J. and Dickinson, H. (2014) </w:t>
      </w:r>
      <w:r w:rsidRPr="6E7E6F32" w:rsidR="00B102FD">
        <w:rPr>
          <w:rFonts w:ascii="Arial" w:hAnsi="Arial" w:eastAsia="Times New Roman" w:cs="Arial"/>
          <w:i w:val="1"/>
          <w:iCs w:val="1"/>
          <w:sz w:val="22"/>
          <w:szCs w:val="22"/>
          <w:lang w:eastAsia="en-GB"/>
        </w:rPr>
        <w:t>Partnership working in health and social care</w:t>
      </w:r>
      <w:r w:rsidRPr="6E7E6F32" w:rsidR="00B102FD">
        <w:rPr>
          <w:rFonts w:ascii="Arial" w:hAnsi="Arial" w:eastAsia="Times New Roman" w:cs="Arial"/>
          <w:sz w:val="22"/>
          <w:szCs w:val="22"/>
          <w:lang w:eastAsia="en-GB"/>
        </w:rPr>
        <w:t xml:space="preserve">. 3rd </w:t>
      </w:r>
      <w:r w:rsidRPr="6E7E6F32" w:rsidR="00B102FD">
        <w:rPr>
          <w:rFonts w:ascii="Arial" w:hAnsi="Arial" w:eastAsia="Times New Roman" w:cs="Arial"/>
          <w:sz w:val="22"/>
          <w:szCs w:val="22"/>
          <w:lang w:eastAsia="en-GB"/>
        </w:rPr>
        <w:t>edn</w:t>
      </w:r>
      <w:r w:rsidRPr="6E7E6F32" w:rsidR="00B102FD">
        <w:rPr>
          <w:rFonts w:ascii="Arial" w:hAnsi="Arial" w:eastAsia="Times New Roman" w:cs="Arial"/>
          <w:sz w:val="22"/>
          <w:szCs w:val="22"/>
          <w:lang w:eastAsia="en-GB"/>
        </w:rPr>
        <w:t>. Bristol: Policy Press.</w:t>
      </w:r>
      <w:r w:rsidRPr="6E7E6F32" w:rsidR="7FD3DA56">
        <w:rPr>
          <w:rFonts w:ascii="Arial" w:hAnsi="Arial" w:eastAsia="Times New Roman" w:cs="Arial"/>
          <w:sz w:val="22"/>
          <w:szCs w:val="22"/>
          <w:lang w:eastAsia="en-GB"/>
        </w:rPr>
        <w:t xml:space="preserve"> </w:t>
      </w:r>
    </w:p>
    <w:p w:rsidRPr="00B102FD" w:rsidR="00B102FD" w:rsidP="6E7E6F32" w:rsidRDefault="00B102FD" w14:paraId="4D989340" w14:textId="4CED3C25">
      <w:pPr>
        <w:pStyle w:val="ListParagraph"/>
        <w:numPr>
          <w:ilvl w:val="0"/>
          <w:numId w:val="13"/>
        </w:numPr>
        <w:spacing w:before="100" w:beforeAutospacing="on" w:after="100" w:afterAutospacing="on" w:line="360" w:lineRule="auto"/>
        <w:jc w:val="both"/>
        <w:rPr>
          <w:rFonts w:ascii="Arial" w:hAnsi="Arial" w:eastAsia="Times New Roman" w:cs="Arial"/>
          <w:noProof w:val="0"/>
          <w:sz w:val="22"/>
          <w:szCs w:val="22"/>
          <w:lang w:val="en-GB"/>
        </w:rPr>
      </w:pPr>
      <w:r w:rsidRPr="6E7E6F32" w:rsidR="7FD3DA56">
        <w:rPr>
          <w:rFonts w:ascii="Arial" w:hAnsi="Arial" w:eastAsia="Times New Roman" w:cs="Arial"/>
          <w:noProof w:val="0"/>
          <w:sz w:val="22"/>
          <w:szCs w:val="22"/>
          <w:lang w:val="en-GB"/>
        </w:rPr>
        <w:t>Miranda Mora, A.M. (2025). Women’s Labour in Movement. From Servants and Housewives to Racialised Domestic and Care Workers</w:t>
      </w:r>
      <w:r w:rsidRPr="6E7E6F32" w:rsidR="7FD3DA56">
        <w:rPr>
          <w:rFonts w:ascii="Arial" w:hAnsi="Arial" w:eastAsia="Times New Roman" w:cs="Arial"/>
          <w:noProof w:val="0"/>
          <w:sz w:val="22"/>
          <w:szCs w:val="22"/>
          <w:lang w:val="en-GB"/>
        </w:rPr>
        <w:t>’,</w:t>
      </w:r>
      <w:r w:rsidRPr="6E7E6F32" w:rsidR="7FD3DA56">
        <w:rPr>
          <w:rFonts w:ascii="Arial" w:hAnsi="Arial" w:eastAsia="Times New Roman" w:cs="Arial"/>
          <w:noProof w:val="0"/>
          <w:sz w:val="22"/>
          <w:szCs w:val="22"/>
          <w:lang w:val="en-GB"/>
        </w:rPr>
        <w:t xml:space="preserve"> </w:t>
      </w:r>
      <w:r w:rsidRPr="6E7E6F32" w:rsidR="7FD3DA56">
        <w:rPr>
          <w:rFonts w:ascii="Arial" w:hAnsi="Arial" w:eastAsia="Times New Roman" w:cs="Arial"/>
          <w:i w:val="1"/>
          <w:iCs w:val="1"/>
          <w:noProof w:val="0"/>
          <w:sz w:val="22"/>
          <w:szCs w:val="22"/>
          <w:lang w:val="en-GB"/>
        </w:rPr>
        <w:t>Las Torres de Lucca</w:t>
      </w:r>
      <w:r w:rsidRPr="6E7E6F32" w:rsidR="7FD3DA56">
        <w:rPr>
          <w:rFonts w:ascii="Arial" w:hAnsi="Arial" w:eastAsia="Times New Roman" w:cs="Arial"/>
          <w:noProof w:val="0"/>
          <w:sz w:val="22"/>
          <w:szCs w:val="22"/>
          <w:lang w:val="en-GB"/>
        </w:rPr>
        <w:t xml:space="preserve">, 14(1), pp. 111–121. Available at: </w:t>
      </w:r>
      <w:hyperlink r:id="Rbdea19eaa1e24d93">
        <w:r w:rsidRPr="6E7E6F32" w:rsidR="7FD3DA56">
          <w:rPr>
            <w:rStyle w:val="Hyperlink"/>
            <w:rFonts w:ascii="Arial" w:hAnsi="Arial" w:eastAsia="Times New Roman" w:cs="Arial"/>
            <w:noProof w:val="0"/>
            <w:sz w:val="22"/>
            <w:szCs w:val="22"/>
            <w:lang w:val="en-GB"/>
          </w:rPr>
          <w:t>https://doi.org/10.5209/ltdl.95966</w:t>
        </w:r>
      </w:hyperlink>
      <w:r w:rsidRPr="6E7E6F32" w:rsidR="7FD3DA56">
        <w:rPr>
          <w:rFonts w:ascii="Arial" w:hAnsi="Arial" w:eastAsia="Times New Roman" w:cs="Arial"/>
          <w:noProof w:val="0"/>
          <w:sz w:val="22"/>
          <w:szCs w:val="22"/>
          <w:lang w:val="en-GB"/>
        </w:rPr>
        <w:t>.</w:t>
      </w:r>
    </w:p>
    <w:p w:rsidRPr="00B102FD" w:rsidR="00B102FD" w:rsidP="00B102FD" w:rsidRDefault="00B102FD" w14:paraId="7155D7A3" w14:textId="77777777">
      <w:pPr>
        <w:pStyle w:val="ListParagraph"/>
        <w:numPr>
          <w:ilvl w:val="0"/>
          <w:numId w:val="13"/>
        </w:numPr>
        <w:spacing w:before="100" w:beforeAutospacing="1" w:after="100" w:afterAutospacing="1" w:line="360" w:lineRule="auto"/>
        <w:jc w:val="both"/>
        <w:rPr>
          <w:rFonts w:ascii="Arial" w:hAnsi="Arial" w:eastAsia="Times New Roman" w:cs="Arial"/>
          <w:sz w:val="22"/>
          <w:lang w:eastAsia="en-GB"/>
        </w:rPr>
      </w:pPr>
      <w:r w:rsidRPr="00B102FD">
        <w:rPr>
          <w:rFonts w:ascii="Arial" w:hAnsi="Arial" w:eastAsia="Times New Roman" w:cs="Arial"/>
          <w:sz w:val="22"/>
          <w:lang w:eastAsia="en-GB"/>
        </w:rPr>
        <w:t xml:space="preserve">Goodwin, N. et al. (2021) </w:t>
      </w:r>
      <w:r w:rsidRPr="00B102FD">
        <w:rPr>
          <w:rFonts w:ascii="Arial" w:hAnsi="Arial" w:eastAsia="Times New Roman" w:cs="Arial"/>
          <w:i/>
          <w:iCs/>
          <w:sz w:val="22"/>
          <w:lang w:eastAsia="en-GB"/>
        </w:rPr>
        <w:t>Advancing person-centred care in the UK: practical frameworks and guidance</w:t>
      </w:r>
      <w:r w:rsidRPr="00B102FD">
        <w:rPr>
          <w:rFonts w:ascii="Arial" w:hAnsi="Arial" w:eastAsia="Times New Roman" w:cs="Arial"/>
          <w:sz w:val="22"/>
          <w:lang w:eastAsia="en-GB"/>
        </w:rPr>
        <w:t>. London: The King’s Fund.</w:t>
      </w:r>
    </w:p>
    <w:p w:rsidRPr="00B102FD" w:rsidR="00B102FD" w:rsidP="00B102FD" w:rsidRDefault="00B102FD" w14:paraId="053E7CCF" w14:textId="77777777">
      <w:pPr>
        <w:pStyle w:val="ListParagraph"/>
        <w:numPr>
          <w:ilvl w:val="0"/>
          <w:numId w:val="13"/>
        </w:numPr>
        <w:spacing w:before="100" w:beforeAutospacing="1" w:after="100" w:afterAutospacing="1" w:line="360" w:lineRule="auto"/>
        <w:jc w:val="both"/>
        <w:rPr>
          <w:rFonts w:ascii="Arial" w:hAnsi="Arial" w:eastAsia="Times New Roman" w:cs="Arial"/>
          <w:sz w:val="22"/>
          <w:lang w:eastAsia="en-GB"/>
        </w:rPr>
      </w:pPr>
      <w:r w:rsidRPr="00B102FD">
        <w:rPr>
          <w:rFonts w:ascii="Arial" w:hAnsi="Arial" w:eastAsia="Times New Roman" w:cs="Arial"/>
          <w:sz w:val="22"/>
          <w:lang w:eastAsia="en-GB"/>
        </w:rPr>
        <w:t xml:space="preserve">Health Foundation (2021) </w:t>
      </w:r>
      <w:r w:rsidRPr="00B102FD">
        <w:rPr>
          <w:rFonts w:ascii="Arial" w:hAnsi="Arial" w:eastAsia="Times New Roman" w:cs="Arial"/>
          <w:i/>
          <w:iCs/>
          <w:sz w:val="22"/>
          <w:lang w:eastAsia="en-GB"/>
        </w:rPr>
        <w:t>Person-centred care: definitions and frameworks</w:t>
      </w:r>
      <w:r w:rsidRPr="00B102FD">
        <w:rPr>
          <w:rFonts w:ascii="Arial" w:hAnsi="Arial" w:eastAsia="Times New Roman" w:cs="Arial"/>
          <w:sz w:val="22"/>
          <w:lang w:eastAsia="en-GB"/>
        </w:rPr>
        <w:t>. London: Health Foundation.</w:t>
      </w:r>
    </w:p>
    <w:p w:rsidRPr="00B102FD" w:rsidR="00B102FD" w:rsidP="00B102FD" w:rsidRDefault="00B102FD" w14:paraId="4946B697" w14:textId="77777777">
      <w:pPr>
        <w:pStyle w:val="ListParagraph"/>
        <w:numPr>
          <w:ilvl w:val="0"/>
          <w:numId w:val="13"/>
        </w:numPr>
        <w:spacing w:before="100" w:beforeAutospacing="1" w:after="100" w:afterAutospacing="1" w:line="360" w:lineRule="auto"/>
        <w:jc w:val="both"/>
        <w:rPr>
          <w:rFonts w:ascii="Arial" w:hAnsi="Arial" w:eastAsia="Times New Roman" w:cs="Arial"/>
          <w:sz w:val="22"/>
          <w:lang w:eastAsia="en-GB"/>
        </w:rPr>
      </w:pPr>
      <w:r w:rsidRPr="00B102FD">
        <w:rPr>
          <w:rFonts w:ascii="Arial" w:hAnsi="Arial" w:eastAsia="Times New Roman" w:cs="Arial"/>
          <w:sz w:val="22"/>
          <w:lang w:eastAsia="en-GB"/>
        </w:rPr>
        <w:t xml:space="preserve">Hochschild, A. (2000) ‘Global care chains and emotional surplus value’, </w:t>
      </w:r>
      <w:r w:rsidRPr="00B102FD">
        <w:rPr>
          <w:rFonts w:ascii="Arial" w:hAnsi="Arial" w:eastAsia="Times New Roman" w:cs="Arial"/>
          <w:i/>
          <w:iCs/>
          <w:sz w:val="22"/>
          <w:lang w:eastAsia="en-GB"/>
        </w:rPr>
        <w:t>Harvard Review of Philosophy</w:t>
      </w:r>
      <w:r w:rsidRPr="00B102FD">
        <w:rPr>
          <w:rFonts w:ascii="Arial" w:hAnsi="Arial" w:eastAsia="Times New Roman" w:cs="Arial"/>
          <w:sz w:val="22"/>
          <w:lang w:eastAsia="en-GB"/>
        </w:rPr>
        <w:t>, 12(1), pp. 86–96.</w:t>
      </w:r>
    </w:p>
    <w:p w:rsidRPr="00B102FD" w:rsidR="00B102FD" w:rsidP="00B102FD" w:rsidRDefault="00B102FD" w14:paraId="38D78AD5" w14:textId="77777777">
      <w:pPr>
        <w:pStyle w:val="ListParagraph"/>
        <w:numPr>
          <w:ilvl w:val="0"/>
          <w:numId w:val="13"/>
        </w:numPr>
        <w:spacing w:before="100" w:beforeAutospacing="1" w:after="100" w:afterAutospacing="1" w:line="360" w:lineRule="auto"/>
        <w:jc w:val="both"/>
        <w:rPr>
          <w:rFonts w:ascii="Arial" w:hAnsi="Arial" w:eastAsia="Times New Roman" w:cs="Arial"/>
          <w:sz w:val="22"/>
          <w:lang w:eastAsia="en-GB"/>
        </w:rPr>
      </w:pPr>
      <w:r w:rsidRPr="00B102FD">
        <w:rPr>
          <w:rFonts w:ascii="Arial" w:hAnsi="Arial" w:eastAsia="Times New Roman" w:cs="Arial"/>
          <w:sz w:val="22"/>
          <w:lang w:eastAsia="en-GB"/>
        </w:rPr>
        <w:t xml:space="preserve">Kilkey, M. &amp; Merla, L. (2014) ‘Situating transnational families: The small world of domestic work migration: The case of Latin American migrants to Spain’, </w:t>
      </w:r>
      <w:r w:rsidRPr="00B102FD">
        <w:rPr>
          <w:rFonts w:ascii="Arial" w:hAnsi="Arial" w:eastAsia="Times New Roman" w:cs="Arial"/>
          <w:i/>
          <w:iCs/>
          <w:sz w:val="22"/>
          <w:lang w:eastAsia="en-GB"/>
        </w:rPr>
        <w:t>Global Networks</w:t>
      </w:r>
      <w:r w:rsidRPr="00B102FD">
        <w:rPr>
          <w:rFonts w:ascii="Arial" w:hAnsi="Arial" w:eastAsia="Times New Roman" w:cs="Arial"/>
          <w:sz w:val="22"/>
          <w:lang w:eastAsia="en-GB"/>
        </w:rPr>
        <w:t>, 14(2), pp. 121–137.</w:t>
      </w:r>
    </w:p>
    <w:p w:rsidRPr="00B102FD" w:rsidR="00B102FD" w:rsidP="6E7E6F32" w:rsidRDefault="00B102FD" w14:paraId="3FF5EE43" w14:textId="0E2ED8FB">
      <w:pPr>
        <w:pStyle w:val="ListParagraph"/>
        <w:numPr>
          <w:ilvl w:val="0"/>
          <w:numId w:val="13"/>
        </w:numPr>
        <w:spacing w:before="100" w:beforeAutospacing="on" w:after="100" w:afterAutospacing="on" w:line="360" w:lineRule="auto"/>
        <w:jc w:val="both"/>
        <w:rPr>
          <w:rFonts w:ascii="Arial" w:hAnsi="Arial" w:eastAsia="Times New Roman" w:cs="Arial"/>
          <w:sz w:val="22"/>
          <w:szCs w:val="22"/>
          <w:lang w:eastAsia="en-GB"/>
        </w:rPr>
      </w:pPr>
      <w:r w:rsidRPr="6E7E6F32" w:rsidR="00B102FD">
        <w:rPr>
          <w:rFonts w:ascii="Arial" w:hAnsi="Arial" w:eastAsia="Times New Roman" w:cs="Arial"/>
          <w:sz w:val="22"/>
          <w:szCs w:val="22"/>
          <w:lang w:eastAsia="en-GB"/>
        </w:rPr>
        <w:t xml:space="preserve">NHS England (2022) </w:t>
      </w:r>
      <w:r w:rsidRPr="6E7E6F32" w:rsidR="00B102FD">
        <w:rPr>
          <w:rFonts w:ascii="Arial" w:hAnsi="Arial" w:eastAsia="Times New Roman" w:cs="Arial"/>
          <w:i w:val="1"/>
          <w:iCs w:val="1"/>
          <w:sz w:val="22"/>
          <w:szCs w:val="22"/>
          <w:lang w:eastAsia="en-GB"/>
        </w:rPr>
        <w:t>Integrated Care Systems: Design Framework</w:t>
      </w:r>
      <w:r w:rsidRPr="6E7E6F32" w:rsidR="00B102FD">
        <w:rPr>
          <w:rFonts w:ascii="Arial" w:hAnsi="Arial" w:eastAsia="Times New Roman" w:cs="Arial"/>
          <w:sz w:val="22"/>
          <w:szCs w:val="22"/>
          <w:lang w:eastAsia="en-GB"/>
        </w:rPr>
        <w:t>. London: NHS England.</w:t>
      </w:r>
    </w:p>
    <w:p w:rsidRPr="00B102FD" w:rsidR="00B102FD" w:rsidP="6E7E6F32" w:rsidRDefault="00B102FD" w14:paraId="323E5191" w14:textId="1EBCA89D">
      <w:pPr>
        <w:pStyle w:val="ListParagraph"/>
        <w:numPr>
          <w:ilvl w:val="0"/>
          <w:numId w:val="13"/>
        </w:numPr>
        <w:spacing w:before="100" w:beforeAutospacing="on" w:after="100" w:afterAutospacing="on" w:line="360" w:lineRule="auto"/>
        <w:jc w:val="both"/>
        <w:rPr>
          <w:rFonts w:ascii="Arial" w:hAnsi="Arial" w:eastAsia="Times New Roman" w:cs="Arial"/>
          <w:sz w:val="22"/>
          <w:szCs w:val="22"/>
          <w:lang w:eastAsia="en-GB"/>
        </w:rPr>
      </w:pPr>
      <w:r w:rsidRPr="6E7E6F32" w:rsidR="00B102FD">
        <w:rPr>
          <w:rFonts w:ascii="Arial" w:hAnsi="Arial" w:eastAsia="Times New Roman" w:cs="Arial"/>
          <w:sz w:val="22"/>
          <w:szCs w:val="22"/>
          <w:lang w:eastAsia="en-GB"/>
        </w:rPr>
        <w:t xml:space="preserve">Royal College of Nursing (RCN) (2023) </w:t>
      </w:r>
      <w:r w:rsidRPr="6E7E6F32" w:rsidR="00B102FD">
        <w:rPr>
          <w:rFonts w:ascii="Arial" w:hAnsi="Arial" w:eastAsia="Times New Roman" w:cs="Arial"/>
          <w:i w:val="1"/>
          <w:iCs w:val="1"/>
          <w:sz w:val="22"/>
          <w:szCs w:val="22"/>
          <w:lang w:eastAsia="en-GB"/>
        </w:rPr>
        <w:t>International recruitment and workforce shortages</w:t>
      </w:r>
      <w:r w:rsidRPr="6E7E6F32" w:rsidR="00B102FD">
        <w:rPr>
          <w:rFonts w:ascii="Arial" w:hAnsi="Arial" w:eastAsia="Times New Roman" w:cs="Arial"/>
          <w:sz w:val="22"/>
          <w:szCs w:val="22"/>
          <w:lang w:eastAsia="en-GB"/>
        </w:rPr>
        <w:t xml:space="preserve">. London: RCN. Available at: </w:t>
      </w:r>
      <w:hyperlink r:id="R88ad564309264bbc">
        <w:r w:rsidRPr="6E7E6F32" w:rsidR="00B102FD">
          <w:rPr>
            <w:rFonts w:ascii="Arial" w:hAnsi="Arial" w:eastAsia="Times New Roman" w:cs="Arial"/>
            <w:color w:val="0000FF"/>
            <w:sz w:val="22"/>
            <w:szCs w:val="22"/>
            <w:u w:val="single"/>
            <w:lang w:eastAsia="en-GB"/>
          </w:rPr>
          <w:t>https://www.rcn.org.uk</w:t>
        </w:r>
      </w:hyperlink>
      <w:r w:rsidRPr="6E7E6F32" w:rsidR="00B102FD">
        <w:rPr>
          <w:rFonts w:ascii="Arial" w:hAnsi="Arial" w:eastAsia="Times New Roman" w:cs="Arial"/>
          <w:sz w:val="22"/>
          <w:szCs w:val="22"/>
          <w:lang w:eastAsia="en-GB"/>
        </w:rPr>
        <w:t xml:space="preserve"> (accessed 09 Dec 2025).</w:t>
      </w:r>
      <w:r w:rsidRPr="6E7E6F32" w:rsidR="73962C5E">
        <w:rPr>
          <w:rFonts w:ascii="Arial" w:hAnsi="Arial" w:eastAsia="Times New Roman" w:cs="Arial"/>
          <w:sz w:val="22"/>
          <w:szCs w:val="22"/>
          <w:lang w:eastAsia="en-GB"/>
        </w:rPr>
        <w:t xml:space="preserve"> </w:t>
      </w:r>
    </w:p>
    <w:p w:rsidR="73962C5E" w:rsidP="6E7E6F32" w:rsidRDefault="73962C5E" w14:paraId="70A568C5" w14:textId="5364EBEF">
      <w:pPr>
        <w:pStyle w:val="ListParagraph"/>
        <w:numPr>
          <w:ilvl w:val="0"/>
          <w:numId w:val="13"/>
        </w:numPr>
        <w:spacing w:beforeAutospacing="on" w:afterAutospacing="on" w:line="360" w:lineRule="auto"/>
        <w:jc w:val="both"/>
        <w:rPr>
          <w:rFonts w:ascii="Arial" w:hAnsi="Arial" w:eastAsia="Times New Roman" w:cs="Arial"/>
          <w:noProof w:val="0"/>
          <w:sz w:val="22"/>
          <w:szCs w:val="22"/>
          <w:lang w:val="en-GB"/>
        </w:rPr>
      </w:pPr>
      <w:r w:rsidRPr="6E7E6F32" w:rsidR="73962C5E">
        <w:rPr>
          <w:rFonts w:ascii="Arial" w:hAnsi="Arial" w:eastAsia="Times New Roman" w:cs="Arial"/>
          <w:noProof w:val="0"/>
          <w:sz w:val="22"/>
          <w:szCs w:val="22"/>
          <w:lang w:val="en-GB"/>
        </w:rPr>
        <w:t>Tistad</w:t>
      </w:r>
      <w:r w:rsidRPr="6E7E6F32" w:rsidR="73962C5E">
        <w:rPr>
          <w:rFonts w:ascii="Arial" w:hAnsi="Arial" w:eastAsia="Times New Roman" w:cs="Arial"/>
          <w:noProof w:val="0"/>
          <w:sz w:val="22"/>
          <w:szCs w:val="22"/>
          <w:lang w:val="en-GB"/>
        </w:rPr>
        <w:t xml:space="preserve">, M., Wallin, L. and </w:t>
      </w:r>
      <w:r w:rsidRPr="6E7E6F32" w:rsidR="73962C5E">
        <w:rPr>
          <w:rFonts w:ascii="Arial" w:hAnsi="Arial" w:eastAsia="Times New Roman" w:cs="Arial"/>
          <w:noProof w:val="0"/>
          <w:sz w:val="22"/>
          <w:szCs w:val="22"/>
          <w:lang w:val="en-GB"/>
        </w:rPr>
        <w:t>Carlström</w:t>
      </w:r>
      <w:r w:rsidRPr="6E7E6F32" w:rsidR="73962C5E">
        <w:rPr>
          <w:rFonts w:ascii="Arial" w:hAnsi="Arial" w:eastAsia="Times New Roman" w:cs="Arial"/>
          <w:noProof w:val="0"/>
          <w:sz w:val="22"/>
          <w:szCs w:val="22"/>
          <w:lang w:val="en-GB"/>
        </w:rPr>
        <w:t xml:space="preserve">, E. (2022) ‘A comparison of three organisational levels in one health care region in Sweden implementing person-centred care: coupled, decoupled or recoupled in a complex organisation’, </w:t>
      </w:r>
      <w:r w:rsidRPr="6E7E6F32" w:rsidR="73962C5E">
        <w:rPr>
          <w:rFonts w:ascii="Arial" w:hAnsi="Arial" w:eastAsia="Times New Roman" w:cs="Arial"/>
          <w:i w:val="1"/>
          <w:iCs w:val="1"/>
          <w:noProof w:val="0"/>
          <w:sz w:val="22"/>
          <w:szCs w:val="22"/>
          <w:lang w:val="en-GB"/>
        </w:rPr>
        <w:t>BMC HEALTH SERVICES RESEARCH</w:t>
      </w:r>
      <w:r w:rsidRPr="6E7E6F32" w:rsidR="73962C5E">
        <w:rPr>
          <w:rFonts w:ascii="Arial" w:hAnsi="Arial" w:eastAsia="Times New Roman" w:cs="Arial"/>
          <w:noProof w:val="0"/>
          <w:sz w:val="22"/>
          <w:szCs w:val="22"/>
          <w:lang w:val="en-GB"/>
        </w:rPr>
        <w:t xml:space="preserve">, 22(1). Available at: </w:t>
      </w:r>
      <w:hyperlink r:id="R1d286b92dcc54b02">
        <w:r w:rsidRPr="6E7E6F32" w:rsidR="73962C5E">
          <w:rPr>
            <w:rStyle w:val="Hyperlink"/>
            <w:rFonts w:ascii="Arial" w:hAnsi="Arial" w:eastAsia="Times New Roman" w:cs="Arial"/>
            <w:noProof w:val="0"/>
            <w:sz w:val="22"/>
            <w:szCs w:val="22"/>
            <w:lang w:val="en-GB"/>
          </w:rPr>
          <w:t>https://doi.org/10.1186/s12913-022-07548-8</w:t>
        </w:r>
      </w:hyperlink>
      <w:r w:rsidRPr="6E7E6F32" w:rsidR="73962C5E">
        <w:rPr>
          <w:rFonts w:ascii="Arial" w:hAnsi="Arial" w:eastAsia="Times New Roman" w:cs="Arial"/>
          <w:noProof w:val="0"/>
          <w:sz w:val="22"/>
          <w:szCs w:val="22"/>
          <w:lang w:val="en-GB"/>
        </w:rPr>
        <w:t>.</w:t>
      </w:r>
    </w:p>
    <w:p w:rsidRPr="00B102FD" w:rsidR="00B102FD" w:rsidP="6E7E6F32" w:rsidRDefault="00B102FD" w14:paraId="1BCBF2C2" w14:textId="25BAB80A">
      <w:pPr>
        <w:pStyle w:val="ListParagraph"/>
        <w:numPr>
          <w:ilvl w:val="0"/>
          <w:numId w:val="13"/>
        </w:numPr>
        <w:spacing w:before="100" w:beforeAutospacing="on" w:after="100" w:afterAutospacing="on" w:line="360" w:lineRule="auto"/>
        <w:jc w:val="both"/>
        <w:rPr>
          <w:rFonts w:ascii="Arial" w:hAnsi="Arial" w:eastAsia="Times New Roman" w:cs="Arial"/>
          <w:sz w:val="22"/>
          <w:szCs w:val="22"/>
          <w:lang w:eastAsia="en-GB"/>
        </w:rPr>
      </w:pPr>
      <w:r w:rsidRPr="6E7E6F32" w:rsidR="00B102FD">
        <w:rPr>
          <w:rFonts w:ascii="Arial" w:hAnsi="Arial" w:eastAsia="Times New Roman" w:cs="Arial"/>
          <w:sz w:val="22"/>
          <w:szCs w:val="22"/>
          <w:lang w:eastAsia="en-GB"/>
        </w:rPr>
        <w:t>Skills for Care (2025)</w:t>
      </w:r>
      <w:r w:rsidRPr="6E7E6F32" w:rsidR="00B102FD">
        <w:rPr>
          <w:rFonts w:ascii="Arial" w:hAnsi="Arial" w:eastAsia="Times New Roman" w:cs="Arial"/>
          <w:sz w:val="22"/>
          <w:szCs w:val="22"/>
          <w:lang w:eastAsia="en-GB"/>
        </w:rPr>
        <w:t>.</w:t>
      </w:r>
      <w:r w:rsidRPr="6E7E6F32" w:rsidR="00B102FD">
        <w:rPr>
          <w:rFonts w:ascii="Arial" w:hAnsi="Arial" w:eastAsia="Times New Roman" w:cs="Arial"/>
          <w:sz w:val="22"/>
          <w:szCs w:val="22"/>
          <w:lang w:eastAsia="en-GB"/>
        </w:rPr>
        <w:t xml:space="preserve"> </w:t>
      </w:r>
      <w:r w:rsidRPr="6E7E6F32" w:rsidR="00B102FD">
        <w:rPr>
          <w:rFonts w:ascii="Arial" w:hAnsi="Arial" w:eastAsia="Times New Roman" w:cs="Arial"/>
          <w:i w:val="1"/>
          <w:iCs w:val="1"/>
          <w:sz w:val="22"/>
          <w:szCs w:val="22"/>
          <w:lang w:eastAsia="en-GB"/>
        </w:rPr>
        <w:t>The state of the adult social care sector and workforce in England — Annual Report 2024/25</w:t>
      </w:r>
      <w:r w:rsidRPr="6E7E6F32" w:rsidR="00B102FD">
        <w:rPr>
          <w:rFonts w:ascii="Arial" w:hAnsi="Arial" w:eastAsia="Times New Roman" w:cs="Arial"/>
          <w:sz w:val="22"/>
          <w:szCs w:val="22"/>
          <w:lang w:eastAsia="en-GB"/>
        </w:rPr>
        <w:t xml:space="preserve">. Leeds: Skills for Care. Available at: </w:t>
      </w:r>
      <w:hyperlink r:id="R88285e596b47455c">
        <w:r w:rsidRPr="6E7E6F32" w:rsidR="00B102FD">
          <w:rPr>
            <w:rFonts w:ascii="Arial" w:hAnsi="Arial" w:eastAsia="Times New Roman" w:cs="Arial"/>
            <w:color w:val="0000FF"/>
            <w:sz w:val="22"/>
            <w:szCs w:val="22"/>
            <w:u w:val="single"/>
            <w:lang w:eastAsia="en-GB"/>
          </w:rPr>
          <w:t>https://www.skillsforcare.org.uk/Adult-Social-Care-Workforce-Data/workforceintelligence/Reports-and-visualisations/National-information/The-State-of-report.aspx</w:t>
        </w:r>
      </w:hyperlink>
      <w:r w:rsidRPr="6E7E6F32" w:rsidR="00B102FD">
        <w:rPr>
          <w:rFonts w:ascii="Arial" w:hAnsi="Arial" w:eastAsia="Times New Roman" w:cs="Arial"/>
          <w:sz w:val="22"/>
          <w:szCs w:val="22"/>
          <w:lang w:eastAsia="en-GB"/>
        </w:rPr>
        <w:t xml:space="preserve"> (accessed 09 Dec 2025).</w:t>
      </w:r>
    </w:p>
    <w:p w:rsidR="4550026D" w:rsidP="6E7E6F32" w:rsidRDefault="4550026D" w14:paraId="062123FF" w14:textId="4C3E4A0F">
      <w:pPr>
        <w:pStyle w:val="ListParagraph"/>
        <w:numPr>
          <w:ilvl w:val="0"/>
          <w:numId w:val="13"/>
        </w:numPr>
        <w:spacing w:beforeAutospacing="on" w:afterAutospacing="on" w:line="360" w:lineRule="auto"/>
        <w:jc w:val="both"/>
        <w:rPr>
          <w:rFonts w:ascii="Arial" w:hAnsi="Arial" w:eastAsia="Times New Roman" w:cs="Arial"/>
          <w:noProof w:val="0"/>
          <w:sz w:val="22"/>
          <w:szCs w:val="22"/>
          <w:lang w:val="en-GB"/>
        </w:rPr>
      </w:pPr>
      <w:r w:rsidRPr="6E7E6F32" w:rsidR="4550026D">
        <w:rPr>
          <w:rFonts w:ascii="Arial" w:hAnsi="Arial" w:eastAsia="Times New Roman" w:cs="Arial"/>
          <w:noProof w:val="0"/>
          <w:sz w:val="22"/>
          <w:szCs w:val="22"/>
          <w:lang w:val="en-GB"/>
        </w:rPr>
        <w:t xml:space="preserve">Suter, B. </w:t>
      </w:r>
      <w:r w:rsidRPr="6E7E6F32" w:rsidR="4550026D">
        <w:rPr>
          <w:rFonts w:ascii="Arial" w:hAnsi="Arial" w:eastAsia="Times New Roman" w:cs="Arial"/>
          <w:i w:val="1"/>
          <w:iCs w:val="1"/>
          <w:noProof w:val="0"/>
          <w:sz w:val="22"/>
          <w:szCs w:val="22"/>
          <w:lang w:val="en-GB"/>
        </w:rPr>
        <w:t>et al.</w:t>
      </w:r>
      <w:r w:rsidRPr="6E7E6F32" w:rsidR="4550026D">
        <w:rPr>
          <w:rFonts w:ascii="Arial" w:hAnsi="Arial" w:eastAsia="Times New Roman" w:cs="Arial"/>
          <w:noProof w:val="0"/>
          <w:sz w:val="22"/>
          <w:szCs w:val="22"/>
          <w:lang w:val="en-GB"/>
        </w:rPr>
        <w:t xml:space="preserve"> (2025) ‘Special Issue Young People’s Caring Practices in Transnational Families in Sweden and the UK: Care Ethics and Wellbeing’, </w:t>
      </w:r>
      <w:r w:rsidRPr="6E7E6F32" w:rsidR="4550026D">
        <w:rPr>
          <w:rFonts w:ascii="Arial" w:hAnsi="Arial" w:eastAsia="Times New Roman" w:cs="Arial"/>
          <w:i w:val="1"/>
          <w:iCs w:val="1"/>
          <w:noProof w:val="0"/>
          <w:sz w:val="22"/>
          <w:szCs w:val="22"/>
          <w:lang w:val="en-GB"/>
        </w:rPr>
        <w:t>Population space and place</w:t>
      </w:r>
      <w:r w:rsidRPr="6E7E6F32" w:rsidR="4550026D">
        <w:rPr>
          <w:rFonts w:ascii="Arial" w:hAnsi="Arial" w:eastAsia="Times New Roman" w:cs="Arial"/>
          <w:noProof w:val="0"/>
          <w:sz w:val="22"/>
          <w:szCs w:val="22"/>
          <w:lang w:val="en-GB"/>
        </w:rPr>
        <w:t xml:space="preserve">, 31(2). Available at: </w:t>
      </w:r>
      <w:hyperlink r:id="R15156a20b54c4469">
        <w:r w:rsidRPr="6E7E6F32" w:rsidR="4550026D">
          <w:rPr>
            <w:rStyle w:val="Hyperlink"/>
            <w:rFonts w:ascii="Arial" w:hAnsi="Arial" w:eastAsia="Times New Roman" w:cs="Arial"/>
            <w:noProof w:val="0"/>
            <w:sz w:val="22"/>
            <w:szCs w:val="22"/>
            <w:lang w:val="en-GB"/>
          </w:rPr>
          <w:t>https://doi.org/10.1002/psp.70002</w:t>
        </w:r>
      </w:hyperlink>
      <w:r w:rsidRPr="6E7E6F32" w:rsidR="4550026D">
        <w:rPr>
          <w:rFonts w:ascii="Arial" w:hAnsi="Arial" w:eastAsia="Times New Roman" w:cs="Arial"/>
          <w:noProof w:val="0"/>
          <w:sz w:val="22"/>
          <w:szCs w:val="22"/>
          <w:lang w:val="en-GB"/>
        </w:rPr>
        <w:t>.</w:t>
      </w:r>
    </w:p>
    <w:p w:rsidRPr="00B102FD" w:rsidR="00B102FD" w:rsidP="00B102FD" w:rsidRDefault="00B102FD" w14:paraId="7A2CB019" w14:textId="4FF1FDBE">
      <w:pPr>
        <w:pStyle w:val="ListParagraph"/>
        <w:numPr>
          <w:ilvl w:val="0"/>
          <w:numId w:val="13"/>
        </w:numPr>
        <w:spacing w:before="100" w:beforeAutospacing="1" w:after="100" w:afterAutospacing="1" w:line="360" w:lineRule="auto"/>
        <w:jc w:val="both"/>
        <w:rPr>
          <w:rFonts w:ascii="Arial" w:hAnsi="Arial" w:eastAsia="Times New Roman" w:cs="Arial"/>
          <w:sz w:val="22"/>
          <w:lang w:eastAsia="en-GB"/>
        </w:rPr>
      </w:pPr>
      <w:r w:rsidRPr="00B102FD">
        <w:rPr>
          <w:rFonts w:ascii="Arial" w:hAnsi="Arial" w:eastAsia="Times New Roman" w:cs="Arial"/>
          <w:sz w:val="22"/>
          <w:lang w:eastAsia="en-GB"/>
        </w:rPr>
        <w:t xml:space="preserve">Ungerson, C. &amp; Yeates, N. (2020). </w:t>
      </w:r>
      <w:r w:rsidRPr="00B102FD">
        <w:rPr>
          <w:rFonts w:ascii="Arial" w:hAnsi="Arial" w:eastAsia="Times New Roman" w:cs="Arial"/>
          <w:i/>
          <w:iCs/>
          <w:sz w:val="22"/>
          <w:lang w:eastAsia="en-GB"/>
        </w:rPr>
        <w:t>Care, migration and inequalities: A global perspective</w:t>
      </w:r>
      <w:r w:rsidRPr="00B102FD">
        <w:rPr>
          <w:rFonts w:ascii="Arial" w:hAnsi="Arial" w:eastAsia="Times New Roman" w:cs="Arial"/>
          <w:sz w:val="22"/>
          <w:lang w:eastAsia="en-GB"/>
        </w:rPr>
        <w:t>. Bristol: Policy Press.</w:t>
      </w:r>
    </w:p>
    <w:p w:rsidRPr="00B102FD" w:rsidR="00B102FD" w:rsidP="00B102FD" w:rsidRDefault="00B102FD" w14:paraId="1F6CB50E" w14:textId="4BAD34C2">
      <w:pPr>
        <w:pStyle w:val="ListParagraph"/>
        <w:numPr>
          <w:ilvl w:val="0"/>
          <w:numId w:val="13"/>
        </w:numPr>
        <w:spacing w:before="100" w:beforeAutospacing="1" w:after="100" w:afterAutospacing="1" w:line="360" w:lineRule="auto"/>
        <w:jc w:val="both"/>
        <w:rPr>
          <w:rFonts w:ascii="Arial" w:hAnsi="Arial" w:eastAsia="Times New Roman" w:cs="Arial"/>
          <w:sz w:val="22"/>
          <w:lang w:eastAsia="en-GB"/>
        </w:rPr>
      </w:pPr>
      <w:r w:rsidRPr="00B102FD">
        <w:rPr>
          <w:rFonts w:ascii="Arial" w:hAnsi="Arial" w:eastAsia="Times New Roman" w:cs="Arial"/>
          <w:sz w:val="22"/>
          <w:lang w:eastAsia="en-GB"/>
        </w:rPr>
        <w:t xml:space="preserve">World Health Organisation (2016) </w:t>
      </w:r>
      <w:r w:rsidRPr="00B102FD">
        <w:rPr>
          <w:rFonts w:ascii="Arial" w:hAnsi="Arial" w:eastAsia="Times New Roman" w:cs="Arial"/>
          <w:i/>
          <w:iCs/>
          <w:sz w:val="22"/>
          <w:lang w:eastAsia="en-GB"/>
        </w:rPr>
        <w:t>Global Strategy on Human Resources for Health: Workforce 2030</w:t>
      </w:r>
      <w:r w:rsidRPr="00B102FD">
        <w:rPr>
          <w:rFonts w:ascii="Arial" w:hAnsi="Arial" w:eastAsia="Times New Roman" w:cs="Arial"/>
          <w:sz w:val="22"/>
          <w:lang w:eastAsia="en-GB"/>
        </w:rPr>
        <w:t xml:space="preserve">. Geneva: WHO. Available at: </w:t>
      </w:r>
      <w:hyperlink w:history="1" r:id="rId16">
        <w:r w:rsidRPr="00B102FD">
          <w:rPr>
            <w:rFonts w:ascii="Arial" w:hAnsi="Arial" w:eastAsia="Times New Roman" w:cs="Arial"/>
            <w:color w:val="0000FF"/>
            <w:sz w:val="22"/>
            <w:u w:val="single"/>
            <w:lang w:eastAsia="en-GB"/>
          </w:rPr>
          <w:t>https://iris.who.int/handle/10665/250368</w:t>
        </w:r>
      </w:hyperlink>
      <w:r w:rsidRPr="00B102FD">
        <w:rPr>
          <w:rFonts w:ascii="Arial" w:hAnsi="Arial" w:eastAsia="Times New Roman" w:cs="Arial"/>
          <w:sz w:val="22"/>
          <w:lang w:eastAsia="en-GB"/>
        </w:rPr>
        <w:t xml:space="preserve"> (accessed 09 Dec 2025).</w:t>
      </w:r>
    </w:p>
    <w:p w:rsidRPr="00B102FD" w:rsidR="00B102FD" w:rsidP="00B102FD" w:rsidRDefault="00B102FD" w14:paraId="286AAB3C" w14:textId="51C2ED88">
      <w:pPr>
        <w:pStyle w:val="ListParagraph"/>
        <w:numPr>
          <w:ilvl w:val="0"/>
          <w:numId w:val="13"/>
        </w:numPr>
        <w:spacing w:before="100" w:beforeAutospacing="1" w:after="100" w:afterAutospacing="1" w:line="360" w:lineRule="auto"/>
        <w:jc w:val="both"/>
        <w:rPr>
          <w:rFonts w:ascii="Arial" w:hAnsi="Arial" w:eastAsia="Times New Roman" w:cs="Arial"/>
          <w:sz w:val="22"/>
          <w:lang w:eastAsia="en-GB"/>
        </w:rPr>
      </w:pPr>
      <w:r w:rsidRPr="00B102FD">
        <w:rPr>
          <w:rFonts w:ascii="Arial" w:hAnsi="Arial" w:eastAsia="Times New Roman" w:cs="Arial"/>
          <w:sz w:val="22"/>
          <w:lang w:eastAsia="en-GB"/>
        </w:rPr>
        <w:t xml:space="preserve">World Health Organisation (2020). </w:t>
      </w:r>
      <w:r w:rsidRPr="00B102FD">
        <w:rPr>
          <w:rFonts w:ascii="Arial" w:hAnsi="Arial" w:eastAsia="Times New Roman" w:cs="Arial"/>
          <w:i/>
          <w:iCs/>
          <w:sz w:val="22"/>
          <w:lang w:eastAsia="en-GB"/>
        </w:rPr>
        <w:t>A global strategy on human resources for health – Health Workforce 2030 (brochure)</w:t>
      </w:r>
      <w:r w:rsidRPr="00B102FD">
        <w:rPr>
          <w:rFonts w:ascii="Arial" w:hAnsi="Arial" w:eastAsia="Times New Roman" w:cs="Arial"/>
          <w:sz w:val="22"/>
          <w:lang w:eastAsia="en-GB"/>
        </w:rPr>
        <w:t xml:space="preserve">. Geneva: WHO. Available at: </w:t>
      </w:r>
      <w:hyperlink w:history="1" r:id="rId17">
        <w:r w:rsidRPr="00B102FD">
          <w:rPr>
            <w:rFonts w:ascii="Arial" w:hAnsi="Arial" w:eastAsia="Times New Roman" w:cs="Arial"/>
            <w:color w:val="0000FF"/>
            <w:sz w:val="22"/>
            <w:u w:val="single"/>
            <w:lang w:eastAsia="en-GB"/>
          </w:rPr>
          <w:t>https://www.who.int/publications/m/item/health-workforce-2030--global-strategy-on-human-resources-for-health-brochure</w:t>
        </w:r>
      </w:hyperlink>
      <w:r w:rsidRPr="00B102FD">
        <w:rPr>
          <w:rFonts w:ascii="Arial" w:hAnsi="Arial" w:eastAsia="Times New Roman" w:cs="Arial"/>
          <w:sz w:val="22"/>
          <w:lang w:eastAsia="en-GB"/>
        </w:rPr>
        <w:t xml:space="preserve"> (accessed 09 Dec 2025).</w:t>
      </w:r>
    </w:p>
    <w:p w:rsidRPr="00B102FD" w:rsidR="00B102FD" w:rsidP="00B102FD" w:rsidRDefault="00B102FD" w14:paraId="1F37EBC6" w14:textId="77777777">
      <w:pPr>
        <w:pStyle w:val="ListParagraph"/>
        <w:numPr>
          <w:ilvl w:val="0"/>
          <w:numId w:val="13"/>
        </w:numPr>
        <w:spacing w:before="100" w:beforeAutospacing="1" w:after="100" w:afterAutospacing="1" w:line="360" w:lineRule="auto"/>
        <w:jc w:val="both"/>
        <w:rPr>
          <w:rFonts w:ascii="Arial" w:hAnsi="Arial" w:eastAsia="Times New Roman" w:cs="Arial"/>
          <w:sz w:val="22"/>
          <w:lang w:eastAsia="en-GB"/>
        </w:rPr>
      </w:pPr>
      <w:r w:rsidRPr="00B102FD">
        <w:rPr>
          <w:rFonts w:ascii="Arial" w:hAnsi="Arial" w:eastAsia="Times New Roman" w:cs="Arial"/>
          <w:sz w:val="22"/>
          <w:lang w:eastAsia="en-GB"/>
        </w:rPr>
        <w:t xml:space="preserve">Yeates, N. (2012) ‘Global care chains: A state-of-the-art review’, </w:t>
      </w:r>
      <w:r w:rsidRPr="00B102FD">
        <w:rPr>
          <w:rFonts w:ascii="Arial" w:hAnsi="Arial" w:eastAsia="Times New Roman" w:cs="Arial"/>
          <w:i/>
          <w:iCs/>
          <w:sz w:val="22"/>
          <w:lang w:eastAsia="en-GB"/>
        </w:rPr>
        <w:t>Gender &amp; Development</w:t>
      </w:r>
      <w:r w:rsidRPr="00B102FD">
        <w:rPr>
          <w:rFonts w:ascii="Arial" w:hAnsi="Arial" w:eastAsia="Times New Roman" w:cs="Arial"/>
          <w:sz w:val="22"/>
          <w:lang w:eastAsia="en-GB"/>
        </w:rPr>
        <w:t>, 20(1), pp. 95–109.</w:t>
      </w:r>
    </w:p>
    <w:p w:rsidRPr="002B7EE5" w:rsidR="006D2F2D" w:rsidP="002B7EE5" w:rsidRDefault="00B102FD" w14:paraId="0C970D00" w14:textId="6D48C151">
      <w:pPr>
        <w:pStyle w:val="ListParagraph"/>
        <w:numPr>
          <w:ilvl w:val="0"/>
          <w:numId w:val="13"/>
        </w:numPr>
        <w:spacing w:before="100" w:beforeAutospacing="1" w:after="100" w:afterAutospacing="1" w:line="360" w:lineRule="auto"/>
        <w:jc w:val="both"/>
        <w:rPr>
          <w:rFonts w:ascii="Arial" w:hAnsi="Arial" w:eastAsia="Times New Roman" w:cs="Arial"/>
          <w:sz w:val="22"/>
          <w:lang w:eastAsia="en-GB"/>
        </w:rPr>
      </w:pPr>
      <w:r w:rsidRPr="00B102FD">
        <w:rPr>
          <w:rFonts w:ascii="Arial" w:hAnsi="Arial" w:eastAsia="Times New Roman" w:cs="Arial"/>
          <w:sz w:val="22"/>
          <w:lang w:eastAsia="en-GB"/>
        </w:rPr>
        <w:t xml:space="preserve">Yeates, N. &amp; Bakker, I. (2021) ‘Global social policy and transnational care: Challenges and opportunities’, </w:t>
      </w:r>
      <w:r w:rsidRPr="00B102FD">
        <w:rPr>
          <w:rFonts w:ascii="Arial" w:hAnsi="Arial" w:eastAsia="Times New Roman" w:cs="Arial"/>
          <w:i/>
          <w:iCs/>
          <w:sz w:val="22"/>
          <w:lang w:eastAsia="en-GB"/>
        </w:rPr>
        <w:t>Journal of International and Comparative Social Policy</w:t>
      </w:r>
      <w:r w:rsidRPr="00B102FD">
        <w:rPr>
          <w:rFonts w:ascii="Arial" w:hAnsi="Arial" w:eastAsia="Times New Roman" w:cs="Arial"/>
          <w:sz w:val="22"/>
          <w:lang w:eastAsia="en-GB"/>
        </w:rPr>
        <w:t xml:space="preserve">, 37(2), pp. 87–103. </w:t>
      </w:r>
      <w:bookmarkEnd w:id="0"/>
    </w:p>
    <w:sectPr w:rsidRPr="002B7EE5" w:rsidR="006D2F2D">
      <w:footerReference w:type="default" r:id="rId1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71B7E" w:rsidP="00032A5B" w:rsidRDefault="00671B7E" w14:paraId="22ABF55C" w14:textId="77777777">
      <w:pPr>
        <w:spacing w:after="0" w:line="240" w:lineRule="auto"/>
      </w:pPr>
      <w:r>
        <w:separator/>
      </w:r>
    </w:p>
  </w:endnote>
  <w:endnote w:type="continuationSeparator" w:id="0">
    <w:p w:rsidR="00671B7E" w:rsidP="00032A5B" w:rsidRDefault="00671B7E" w14:paraId="5C6517D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9070055"/>
      <w:docPartObj>
        <w:docPartGallery w:val="Page Numbers (Bottom of Page)"/>
        <w:docPartUnique/>
      </w:docPartObj>
    </w:sdtPr>
    <w:sdtEndPr>
      <w:rPr>
        <w:color w:val="7F7F7F" w:themeColor="background1" w:themeShade="7F"/>
        <w:spacing w:val="60"/>
      </w:rPr>
    </w:sdtEndPr>
    <w:sdtContent>
      <w:p w:rsidR="00287266" w:rsidRDefault="00287266" w14:paraId="0CFA1D28" w14:textId="0C5E2CFE">
        <w:pPr>
          <w:pStyle w:val="Footer"/>
          <w:pBdr>
            <w:top w:val="single" w:color="D9D9D9" w:themeColor="background1" w:themeShade="D9" w:sz="4" w:space="1"/>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rsidR="00635393" w:rsidRDefault="00635393" w14:paraId="65DEF43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71B7E" w:rsidP="00032A5B" w:rsidRDefault="00671B7E" w14:paraId="6E3194F2" w14:textId="77777777">
      <w:pPr>
        <w:spacing w:after="0" w:line="240" w:lineRule="auto"/>
      </w:pPr>
      <w:r>
        <w:separator/>
      </w:r>
    </w:p>
  </w:footnote>
  <w:footnote w:type="continuationSeparator" w:id="0">
    <w:p w:rsidR="00671B7E" w:rsidP="00032A5B" w:rsidRDefault="00671B7E" w14:paraId="533B26F1"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rQnEkstI7i7g0j" int2:id="6bthvgjB">
      <int2:state int2:type="spell" int2:value="Rejected"/>
    </int2:textHash>
    <int2:textHash int2:hashCode="Ef53+qmgAlV5pi" int2:id="9i7AnWAI">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55F3C"/>
    <w:multiLevelType w:val="hybridMultilevel"/>
    <w:tmpl w:val="7C2E5BB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 w15:restartNumberingAfterBreak="0">
    <w:nsid w:val="19FA5040"/>
    <w:multiLevelType w:val="hybridMultilevel"/>
    <w:tmpl w:val="E74CCB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01B5F4C"/>
    <w:multiLevelType w:val="multilevel"/>
    <w:tmpl w:val="74DA5A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2F4FA2"/>
    <w:multiLevelType w:val="hybridMultilevel"/>
    <w:tmpl w:val="9BF0C5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02831BC"/>
    <w:multiLevelType w:val="hybridMultilevel"/>
    <w:tmpl w:val="54FCB352"/>
    <w:lvl w:ilvl="0" w:tplc="A7DACFEE">
      <w:start w:val="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414375AB"/>
    <w:multiLevelType w:val="hybridMultilevel"/>
    <w:tmpl w:val="F9249C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27374FA"/>
    <w:multiLevelType w:val="multilevel"/>
    <w:tmpl w:val="DDFE06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44962D4"/>
    <w:multiLevelType w:val="hybridMultilevel"/>
    <w:tmpl w:val="4B88EE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79575B7"/>
    <w:multiLevelType w:val="hybridMultilevel"/>
    <w:tmpl w:val="8FB49520"/>
    <w:lvl w:ilvl="0" w:tplc="A7DACFEE">
      <w:start w:val="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95D2B77"/>
    <w:multiLevelType w:val="hybridMultilevel"/>
    <w:tmpl w:val="4BEE4F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9812EBF"/>
    <w:multiLevelType w:val="hybridMultilevel"/>
    <w:tmpl w:val="22243152"/>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14" w15:restartNumberingAfterBreak="0">
    <w:nsid w:val="4C680459"/>
    <w:multiLevelType w:val="hybridMultilevel"/>
    <w:tmpl w:val="F61070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E26486C"/>
    <w:multiLevelType w:val="hybridMultilevel"/>
    <w:tmpl w:val="44D283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2135B59"/>
    <w:multiLevelType w:val="hybridMultilevel"/>
    <w:tmpl w:val="804A36C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5BB24C2"/>
    <w:multiLevelType w:val="multilevel"/>
    <w:tmpl w:val="E02817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9C2355B"/>
    <w:multiLevelType w:val="hybridMultilevel"/>
    <w:tmpl w:val="4A18EA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BF043C0"/>
    <w:multiLevelType w:val="hybridMultilevel"/>
    <w:tmpl w:val="4AC6F8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922C7B"/>
    <w:multiLevelType w:val="hybridMultilevel"/>
    <w:tmpl w:val="622835F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1FC4487"/>
    <w:multiLevelType w:val="multilevel"/>
    <w:tmpl w:val="4FB8C2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3377EA6"/>
    <w:multiLevelType w:val="hybridMultilevel"/>
    <w:tmpl w:val="F66085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90F2EB0"/>
    <w:multiLevelType w:val="hybridMultilevel"/>
    <w:tmpl w:val="7FC2B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EFC7F71"/>
    <w:multiLevelType w:val="multilevel"/>
    <w:tmpl w:val="DBD652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701807C7"/>
    <w:multiLevelType w:val="multilevel"/>
    <w:tmpl w:val="2FDC60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04B4A24"/>
    <w:multiLevelType w:val="multilevel"/>
    <w:tmpl w:val="0826DF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70664A98"/>
    <w:multiLevelType w:val="multilevel"/>
    <w:tmpl w:val="B7D02A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78232130"/>
    <w:multiLevelType w:val="hybridMultilevel"/>
    <w:tmpl w:val="2CE83136"/>
    <w:lvl w:ilvl="0" w:tplc="A7DACFEE">
      <w:start w:val="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D9872DF"/>
    <w:multiLevelType w:val="hybridMultilevel"/>
    <w:tmpl w:val="458097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66105348">
    <w:abstractNumId w:val="15"/>
  </w:num>
  <w:num w:numId="2" w16cid:durableId="201140407">
    <w:abstractNumId w:val="2"/>
  </w:num>
  <w:num w:numId="3" w16cid:durableId="490028398">
    <w:abstractNumId w:val="1"/>
  </w:num>
  <w:num w:numId="4" w16cid:durableId="1716658602">
    <w:abstractNumId w:val="5"/>
  </w:num>
  <w:num w:numId="5" w16cid:durableId="1210920309">
    <w:abstractNumId w:val="25"/>
  </w:num>
  <w:num w:numId="6" w16cid:durableId="127432784">
    <w:abstractNumId w:val="4"/>
  </w:num>
  <w:num w:numId="7" w16cid:durableId="1123308488">
    <w:abstractNumId w:val="17"/>
  </w:num>
  <w:num w:numId="8" w16cid:durableId="1868593109">
    <w:abstractNumId w:val="24"/>
  </w:num>
  <w:num w:numId="9" w16cid:durableId="2136098222">
    <w:abstractNumId w:val="26"/>
  </w:num>
  <w:num w:numId="10" w16cid:durableId="120661393">
    <w:abstractNumId w:val="27"/>
  </w:num>
  <w:num w:numId="11" w16cid:durableId="164783368">
    <w:abstractNumId w:val="21"/>
  </w:num>
  <w:num w:numId="12" w16cid:durableId="325939797">
    <w:abstractNumId w:val="9"/>
  </w:num>
  <w:num w:numId="13" w16cid:durableId="914700303">
    <w:abstractNumId w:val="23"/>
  </w:num>
  <w:num w:numId="14" w16cid:durableId="1633168254">
    <w:abstractNumId w:val="12"/>
  </w:num>
  <w:num w:numId="15" w16cid:durableId="169835223">
    <w:abstractNumId w:val="14"/>
  </w:num>
  <w:num w:numId="16" w16cid:durableId="767651598">
    <w:abstractNumId w:val="13"/>
  </w:num>
  <w:num w:numId="17" w16cid:durableId="102311179">
    <w:abstractNumId w:val="8"/>
  </w:num>
  <w:num w:numId="18" w16cid:durableId="716321873">
    <w:abstractNumId w:val="16"/>
  </w:num>
  <w:num w:numId="19" w16cid:durableId="661665004">
    <w:abstractNumId w:val="29"/>
  </w:num>
  <w:num w:numId="20" w16cid:durableId="1140224037">
    <w:abstractNumId w:val="0"/>
  </w:num>
  <w:num w:numId="21" w16cid:durableId="575627869">
    <w:abstractNumId w:val="20"/>
  </w:num>
  <w:num w:numId="22" w16cid:durableId="1574242734">
    <w:abstractNumId w:val="3"/>
  </w:num>
  <w:num w:numId="23" w16cid:durableId="1249538860">
    <w:abstractNumId w:val="6"/>
  </w:num>
  <w:num w:numId="24" w16cid:durableId="1032731230">
    <w:abstractNumId w:val="22"/>
  </w:num>
  <w:num w:numId="25" w16cid:durableId="357317313">
    <w:abstractNumId w:val="10"/>
  </w:num>
  <w:num w:numId="26" w16cid:durableId="1385330990">
    <w:abstractNumId w:val="19"/>
  </w:num>
  <w:num w:numId="27" w16cid:durableId="271089184">
    <w:abstractNumId w:val="18"/>
  </w:num>
  <w:num w:numId="28" w16cid:durableId="553808929">
    <w:abstractNumId w:val="7"/>
  </w:num>
  <w:num w:numId="29" w16cid:durableId="315108196">
    <w:abstractNumId w:val="11"/>
  </w:num>
  <w:num w:numId="30" w16cid:durableId="211131456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03426F"/>
    <w:rsid w:val="00066B38"/>
    <w:rsid w:val="00080303"/>
    <w:rsid w:val="000B6262"/>
    <w:rsid w:val="000F6921"/>
    <w:rsid w:val="00115718"/>
    <w:rsid w:val="001333C2"/>
    <w:rsid w:val="001B5F7F"/>
    <w:rsid w:val="001B69B9"/>
    <w:rsid w:val="00260D24"/>
    <w:rsid w:val="00273B86"/>
    <w:rsid w:val="002802C2"/>
    <w:rsid w:val="00280FDA"/>
    <w:rsid w:val="00287266"/>
    <w:rsid w:val="002B7EE5"/>
    <w:rsid w:val="002D0E8C"/>
    <w:rsid w:val="002D7A92"/>
    <w:rsid w:val="00317E3D"/>
    <w:rsid w:val="0032217B"/>
    <w:rsid w:val="003445B9"/>
    <w:rsid w:val="003E4ED4"/>
    <w:rsid w:val="004271A0"/>
    <w:rsid w:val="004273CD"/>
    <w:rsid w:val="004705CF"/>
    <w:rsid w:val="00470CDE"/>
    <w:rsid w:val="00487ACD"/>
    <w:rsid w:val="00494AF5"/>
    <w:rsid w:val="004C4BED"/>
    <w:rsid w:val="00502459"/>
    <w:rsid w:val="00520752"/>
    <w:rsid w:val="0058218C"/>
    <w:rsid w:val="0058375E"/>
    <w:rsid w:val="005B68C0"/>
    <w:rsid w:val="005F6944"/>
    <w:rsid w:val="00620AFF"/>
    <w:rsid w:val="0062447B"/>
    <w:rsid w:val="00635393"/>
    <w:rsid w:val="00645944"/>
    <w:rsid w:val="006524ED"/>
    <w:rsid w:val="00671B7E"/>
    <w:rsid w:val="006C7584"/>
    <w:rsid w:val="006D2F2D"/>
    <w:rsid w:val="006E1FF9"/>
    <w:rsid w:val="00725C70"/>
    <w:rsid w:val="00726386"/>
    <w:rsid w:val="00762C37"/>
    <w:rsid w:val="00785886"/>
    <w:rsid w:val="007872A7"/>
    <w:rsid w:val="007F3A6A"/>
    <w:rsid w:val="0081423F"/>
    <w:rsid w:val="008974E1"/>
    <w:rsid w:val="008E4224"/>
    <w:rsid w:val="0096688A"/>
    <w:rsid w:val="009D0D62"/>
    <w:rsid w:val="009D2354"/>
    <w:rsid w:val="00A14675"/>
    <w:rsid w:val="00A362B1"/>
    <w:rsid w:val="00A36641"/>
    <w:rsid w:val="00A65385"/>
    <w:rsid w:val="00AE64EB"/>
    <w:rsid w:val="00AE6E67"/>
    <w:rsid w:val="00AF2A5D"/>
    <w:rsid w:val="00B06FF8"/>
    <w:rsid w:val="00B102FD"/>
    <w:rsid w:val="00BC79FE"/>
    <w:rsid w:val="00BE5B68"/>
    <w:rsid w:val="00BF3DAB"/>
    <w:rsid w:val="00C0472E"/>
    <w:rsid w:val="00C3450A"/>
    <w:rsid w:val="00C558B0"/>
    <w:rsid w:val="00C74D03"/>
    <w:rsid w:val="00D00858"/>
    <w:rsid w:val="00D545BA"/>
    <w:rsid w:val="00D83E4F"/>
    <w:rsid w:val="00DC5550"/>
    <w:rsid w:val="00DD5C97"/>
    <w:rsid w:val="00E63C8B"/>
    <w:rsid w:val="00E713DC"/>
    <w:rsid w:val="00E81204"/>
    <w:rsid w:val="00EC4DD5"/>
    <w:rsid w:val="00ED5AB8"/>
    <w:rsid w:val="00F47FD3"/>
    <w:rsid w:val="00F81510"/>
    <w:rsid w:val="00F865A3"/>
    <w:rsid w:val="00FA1054"/>
    <w:rsid w:val="00FA6248"/>
    <w:rsid w:val="00FE4014"/>
    <w:rsid w:val="024AECC2"/>
    <w:rsid w:val="03A0112F"/>
    <w:rsid w:val="0441E53C"/>
    <w:rsid w:val="079DD6D6"/>
    <w:rsid w:val="0D976069"/>
    <w:rsid w:val="0F3AC7FE"/>
    <w:rsid w:val="102511DF"/>
    <w:rsid w:val="135813EA"/>
    <w:rsid w:val="19FC654E"/>
    <w:rsid w:val="1B6A0852"/>
    <w:rsid w:val="1B9F351E"/>
    <w:rsid w:val="1C7ED95E"/>
    <w:rsid w:val="1C89BF76"/>
    <w:rsid w:val="1ED8AD56"/>
    <w:rsid w:val="203AB47F"/>
    <w:rsid w:val="207AB5B1"/>
    <w:rsid w:val="20B1631B"/>
    <w:rsid w:val="227BD19C"/>
    <w:rsid w:val="22BC78D6"/>
    <w:rsid w:val="26CA5B2A"/>
    <w:rsid w:val="2819F08A"/>
    <w:rsid w:val="284DFB6F"/>
    <w:rsid w:val="2979B1AD"/>
    <w:rsid w:val="2BB58E84"/>
    <w:rsid w:val="2CAE14E6"/>
    <w:rsid w:val="2EF49F58"/>
    <w:rsid w:val="3454ABAB"/>
    <w:rsid w:val="374F4C54"/>
    <w:rsid w:val="37683726"/>
    <w:rsid w:val="38C7794A"/>
    <w:rsid w:val="3AEFF1C8"/>
    <w:rsid w:val="3E8E910D"/>
    <w:rsid w:val="4260B81A"/>
    <w:rsid w:val="44C6926A"/>
    <w:rsid w:val="4550026D"/>
    <w:rsid w:val="485C0855"/>
    <w:rsid w:val="48C7F7F2"/>
    <w:rsid w:val="49D2385C"/>
    <w:rsid w:val="4AFC6600"/>
    <w:rsid w:val="4CF161C4"/>
    <w:rsid w:val="5194ABDB"/>
    <w:rsid w:val="53A33AEF"/>
    <w:rsid w:val="54054E7A"/>
    <w:rsid w:val="558D3D83"/>
    <w:rsid w:val="56BF9C7F"/>
    <w:rsid w:val="58AA6D14"/>
    <w:rsid w:val="5B28CBAA"/>
    <w:rsid w:val="5DDDA5D5"/>
    <w:rsid w:val="5F8BE0EB"/>
    <w:rsid w:val="645F8033"/>
    <w:rsid w:val="64718D38"/>
    <w:rsid w:val="655E5419"/>
    <w:rsid w:val="664807CF"/>
    <w:rsid w:val="67812C15"/>
    <w:rsid w:val="68E89A6C"/>
    <w:rsid w:val="6975D391"/>
    <w:rsid w:val="6D779A13"/>
    <w:rsid w:val="6E7E6F32"/>
    <w:rsid w:val="70E9681A"/>
    <w:rsid w:val="71D1F5C5"/>
    <w:rsid w:val="73962C5E"/>
    <w:rsid w:val="74D99666"/>
    <w:rsid w:val="74E1635B"/>
    <w:rsid w:val="761C151F"/>
    <w:rsid w:val="76D5FFBC"/>
    <w:rsid w:val="7A9B0A7E"/>
    <w:rsid w:val="7EB9527E"/>
    <w:rsid w:val="7F67C500"/>
    <w:rsid w:val="7FD3DA5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D0D0FE6B-48C1-44FD-AE9E-41C1E7E53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635393"/>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102FD"/>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102FD"/>
    <w:pPr>
      <w:keepNext/>
      <w:keepLines/>
      <w:spacing w:before="40" w:after="0"/>
      <w:outlineLvl w:val="2"/>
    </w:pPr>
    <w:rPr>
      <w:rFonts w:asciiTheme="majorHAnsi" w:hAnsiTheme="majorHAnsi"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B102FD"/>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styleId="HeaderChar" w:customStyle="1">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styleId="FooterChar" w:customStyle="1">
    <w:name w:val="Footer Char"/>
    <w:basedOn w:val="DefaultParagraphFont"/>
    <w:link w:val="Footer"/>
    <w:uiPriority w:val="99"/>
    <w:rsid w:val="00032A5B"/>
    <w:rPr>
      <w:rFonts w:ascii="Times New Roman" w:hAnsi="Times New Roman"/>
      <w:sz w:val="24"/>
    </w:rPr>
  </w:style>
  <w:style w:type="character" w:styleId="Heading1Char" w:customStyle="1">
    <w:name w:val="Heading 1 Char"/>
    <w:basedOn w:val="DefaultParagraphFont"/>
    <w:link w:val="Heading1"/>
    <w:uiPriority w:val="9"/>
    <w:rsid w:val="00635393"/>
    <w:rPr>
      <w:rFonts w:asciiTheme="majorHAnsi" w:hAnsiTheme="majorHAnsi" w:eastAsiaTheme="majorEastAsia" w:cstheme="majorBidi"/>
      <w:color w:val="2F5496" w:themeColor="accent1" w:themeShade="BF"/>
      <w:sz w:val="32"/>
      <w:szCs w:val="32"/>
    </w:rPr>
  </w:style>
  <w:style w:type="paragraph" w:styleId="Title">
    <w:name w:val="Title"/>
    <w:basedOn w:val="Normal"/>
    <w:next w:val="Normal"/>
    <w:link w:val="TitleChar"/>
    <w:uiPriority w:val="10"/>
    <w:qFormat/>
    <w:rsid w:val="00635393"/>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35393"/>
    <w:rPr>
      <w:rFonts w:asciiTheme="majorHAnsi" w:hAnsiTheme="majorHAnsi" w:eastAsiaTheme="majorEastAsia" w:cstheme="majorBidi"/>
      <w:spacing w:val="-10"/>
      <w:kern w:val="28"/>
      <w:sz w:val="56"/>
      <w:szCs w:val="56"/>
    </w:rPr>
  </w:style>
  <w:style w:type="table" w:styleId="TableGrid">
    <w:name w:val="Table Grid"/>
    <w:basedOn w:val="TableNormal"/>
    <w:uiPriority w:val="39"/>
    <w:rsid w:val="0063539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1">
    <w:name w:val="Plain Table 1"/>
    <w:basedOn w:val="TableNormal"/>
    <w:uiPriority w:val="41"/>
    <w:rsid w:val="00635393"/>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5">
    <w:name w:val="Grid Table 5 Dark Accent 5"/>
    <w:basedOn w:val="TableNormal"/>
    <w:uiPriority w:val="50"/>
    <w:rsid w:val="00287266"/>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EEAF6"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2-Accent5">
    <w:name w:val="Grid Table 2 Accent 5"/>
    <w:basedOn w:val="TableNormal"/>
    <w:uiPriority w:val="47"/>
    <w:rsid w:val="00287266"/>
    <w:pPr>
      <w:spacing w:after="0" w:line="240" w:lineRule="auto"/>
    </w:pPr>
    <w:tblPr>
      <w:tblStyleRowBandSize w:val="1"/>
      <w:tblStyleColBandSize w:val="1"/>
      <w:tblBorders>
        <w:top w:val="single" w:color="9CC2E5" w:themeColor="accent5" w:themeTint="99" w:sz="2" w:space="0"/>
        <w:bottom w:val="single" w:color="9CC2E5" w:themeColor="accent5" w:themeTint="99" w:sz="2" w:space="0"/>
        <w:insideH w:val="single" w:color="9CC2E5" w:themeColor="accent5" w:themeTint="99" w:sz="2" w:space="0"/>
        <w:insideV w:val="single" w:color="9CC2E5" w:themeColor="accent5" w:themeTint="99" w:sz="2" w:space="0"/>
      </w:tblBorders>
    </w:tblPr>
    <w:tblStylePr w:type="firstRow">
      <w:rPr>
        <w:b/>
        <w:bCs/>
      </w:rPr>
      <w:tblPr/>
      <w:tcPr>
        <w:tcBorders>
          <w:top w:val="nil"/>
          <w:bottom w:val="single" w:color="9CC2E5" w:themeColor="accent5" w:themeTint="99" w:sz="12" w:space="0"/>
          <w:insideH w:val="nil"/>
          <w:insideV w:val="nil"/>
        </w:tcBorders>
        <w:shd w:val="clear" w:color="auto" w:fill="FFFFFF" w:themeFill="background1"/>
      </w:tcPr>
    </w:tblStylePr>
    <w:tblStylePr w:type="lastRow">
      <w:rPr>
        <w:b/>
        <w:bCs/>
      </w:rPr>
      <w:tblPr/>
      <w:tcPr>
        <w:tcBorders>
          <w:top w:val="double" w:color="9CC2E5"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Heading2Char" w:customStyle="1">
    <w:name w:val="Heading 2 Char"/>
    <w:basedOn w:val="DefaultParagraphFont"/>
    <w:link w:val="Heading2"/>
    <w:uiPriority w:val="9"/>
    <w:semiHidden/>
    <w:rsid w:val="00B102FD"/>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semiHidden/>
    <w:rsid w:val="00B102FD"/>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semiHidden/>
    <w:rsid w:val="00B102FD"/>
    <w:rPr>
      <w:rFonts w:asciiTheme="majorHAnsi" w:hAnsiTheme="majorHAnsi" w:eastAsiaTheme="majorEastAsia" w:cstheme="majorBidi"/>
      <w:i/>
      <w:iCs/>
      <w:color w:val="2F5496" w:themeColor="accent1" w:themeShade="BF"/>
      <w:sz w:val="24"/>
    </w:rPr>
  </w:style>
  <w:style w:type="character" w:styleId="Hyperlink">
    <w:uiPriority w:val="99"/>
    <w:name w:val="Hyperlink"/>
    <w:basedOn w:val="DefaultParagraphFont"/>
    <w:unhideWhenUsed/>
    <w:rsid w:val="6E7E6F32"/>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cqc.org.uk/publications/major-report/state-care/2022-2023/workforce"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euro.who.int/en/data-and-evidence/health-workforce" TargetMode="External" Id="rId12" /><Relationship Type="http://schemas.openxmlformats.org/officeDocument/2006/relationships/hyperlink" Target="https://www.who.int/publications/m/item/health-workforce-2030--global-strategy-on-human-resources-for-health-brochure" TargetMode="External" Id="rId17" /><Relationship Type="http://schemas.openxmlformats.org/officeDocument/2006/relationships/customXml" Target="../customXml/item2.xml" Id="rId2" /><Relationship Type="http://schemas.openxmlformats.org/officeDocument/2006/relationships/hyperlink" Target="https://iris.who.int/handle/10665/250368"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librarysearch.uwtsd.ac.uk/permalink/44WHELF_UWTSD/neci73/cdi_oup_oro_10_1093_acref_9780191834837_013_0049" TargetMode="External" Id="R225ab8e897254510" /><Relationship Type="http://schemas.openxmlformats.org/officeDocument/2006/relationships/hyperlink" Target="https://doi.org/10.1017/elr.2023.34" TargetMode="External" Id="R6fc5dc6ba3c54ab2" /><Relationship Type="http://schemas.openxmlformats.org/officeDocument/2006/relationships/hyperlink" Target="https://doi.org/10.1177/10497323231204741" TargetMode="External" Id="R08727307253d4649" /><Relationship Type="http://schemas.openxmlformats.org/officeDocument/2006/relationships/hyperlink" Target="https://doi.org/10.1007/s11205-023-03069-x" TargetMode="External" Id="R1c1c351aa21a4129" /><Relationship Type="http://schemas.openxmlformats.org/officeDocument/2006/relationships/hyperlink" Target="https://doi.org/10.1186/s12960-024-00941-w" TargetMode="External" Id="R24e1fd5b9a7442e6" /><Relationship Type="http://schemas.openxmlformats.org/officeDocument/2006/relationships/hyperlink" Target="https://doi.org/10.2147/JHL.S513209" TargetMode="External" Id="R2f7d2ec0bef44e2f" /><Relationship Type="http://schemas.openxmlformats.org/officeDocument/2006/relationships/hyperlink" Target="https://doi.org/10.5209/ltdl.95966" TargetMode="External" Id="Rbdea19eaa1e24d93" /><Relationship Type="http://schemas.openxmlformats.org/officeDocument/2006/relationships/hyperlink" Target="https://www.rcn.org.uk/" TargetMode="External" Id="R88ad564309264bbc" /><Relationship Type="http://schemas.openxmlformats.org/officeDocument/2006/relationships/hyperlink" Target="https://doi.org/10.1186/s12913-022-07548-8" TargetMode="External" Id="R1d286b92dcc54b02" /><Relationship Type="http://schemas.openxmlformats.org/officeDocument/2006/relationships/hyperlink" Target="https://www.skillsforcare.org.uk/Adult-Social-Care-Workforce-Data/workforceintelligence/Reports-and-visualisations/National-information/The-State-of-report.aspx" TargetMode="External" Id="R88285e596b47455c" /><Relationship Type="http://schemas.openxmlformats.org/officeDocument/2006/relationships/hyperlink" Target="https://doi.org/10.1002/psp.70002" TargetMode="External" Id="R15156a20b54c4469" /><Relationship Type="http://schemas.microsoft.com/office/2020/10/relationships/intelligence" Target="intelligence2.xml" Id="Rc57ee60d6b09488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6ed1538-4377-4da7-81fa-9a477e54b5f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A1FE35B1768D46869F924A69EE2DC8" ma:contentTypeVersion="6" ma:contentTypeDescription="Create a new document." ma:contentTypeScope="" ma:versionID="58b90667335effe63edf5912fceaeb00">
  <xsd:schema xmlns:xsd="http://www.w3.org/2001/XMLSchema" xmlns:xs="http://www.w3.org/2001/XMLSchema" xmlns:p="http://schemas.microsoft.com/office/2006/metadata/properties" xmlns:ns3="16ed1538-4377-4da7-81fa-9a477e54b5f1" targetNamespace="http://schemas.microsoft.com/office/2006/metadata/properties" ma:root="true" ma:fieldsID="43020e91802fb9a816e9d0ccbf8c3dd4" ns3:_="">
    <xsd:import namespace="16ed1538-4377-4da7-81fa-9a477e54b5f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ed1538-4377-4da7-81fa-9a477e54b5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8D46C-AE94-42E9-B4D6-DCC728A6B2ED}">
  <ds:schemaRefs>
    <ds:schemaRef ds:uri="http://schemas.microsoft.com/sharepoint/v3/contenttype/forms"/>
  </ds:schemaRefs>
</ds:datastoreItem>
</file>

<file path=customXml/itemProps2.xml><?xml version="1.0" encoding="utf-8"?>
<ds:datastoreItem xmlns:ds="http://schemas.openxmlformats.org/officeDocument/2006/customXml" ds:itemID="{8FAB5478-D6FF-4BB0-BFA2-5D161DB0BE57}">
  <ds:schemaRefs>
    <ds:schemaRef ds:uri="http://schemas.microsoft.com/office/2006/metadata/properties"/>
    <ds:schemaRef ds:uri="http://schemas.microsoft.com/office/infopath/2007/PartnerControls"/>
    <ds:schemaRef ds:uri="16ed1538-4377-4da7-81fa-9a477e54b5f1"/>
  </ds:schemaRefs>
</ds:datastoreItem>
</file>

<file path=customXml/itemProps3.xml><?xml version="1.0" encoding="utf-8"?>
<ds:datastoreItem xmlns:ds="http://schemas.openxmlformats.org/officeDocument/2006/customXml" ds:itemID="{87996926-85D1-44C2-BCEC-8BAF4C8072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ed1538-4377-4da7-81fa-9a477e54b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Diola Bijlhout</dc:creator>
  <keywords/>
  <dc:description/>
  <lastModifiedBy>Mihaela Marcela Bakos (2325464)</lastModifiedBy>
  <revision>5</revision>
  <dcterms:created xsi:type="dcterms:W3CDTF">2025-12-11T06:30:00.0000000Z</dcterms:created>
  <dcterms:modified xsi:type="dcterms:W3CDTF">2025-12-12T10:26:38.3969866Z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37002b15-dc56-4ada-9ba1-675ea126d50f</vt:lpwstr>
  </property>
  <property fmtid="{D5CDD505-2E9C-101B-9397-08002B2CF9AE}" pid="3" name="ContentTypeId">
    <vt:lpwstr>0x010100C8A1FE35B1768D46869F924A69EE2DC8</vt:lpwstr>
  </property>
</Properties>
</file>