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4"/>
          <w:szCs w:val="22"/>
          <w:lang w:val="en-GB"/>
        </w:rPr>
        <w:id w:val="152113839"/>
        <w:docPartObj>
          <w:docPartGallery w:val="Table of Contents"/>
          <w:docPartUnique/>
        </w:docPartObj>
      </w:sdtPr>
      <w:sdtEndPr>
        <w:rPr>
          <w:b/>
          <w:bCs/>
          <w:noProof/>
        </w:rPr>
      </w:sdtEndPr>
      <w:sdtContent>
        <w:p w14:paraId="30802B33" w14:textId="452158BF" w:rsidR="00B1333C" w:rsidRDefault="00B1333C" w:rsidP="00B1333C">
          <w:pPr>
            <w:pStyle w:val="TOCHeading"/>
          </w:pPr>
        </w:p>
        <w:p w14:paraId="4006211D" w14:textId="1C62D7D5" w:rsidR="00A148CB" w:rsidRDefault="00000000"/>
      </w:sdtContent>
    </w:sdt>
    <w:p w14:paraId="14A122FA" w14:textId="6FC6CA05" w:rsidR="00D72DC8" w:rsidRDefault="00D72DC8" w:rsidP="00D72DC8"/>
    <w:p w14:paraId="6B8E1C8E" w14:textId="77777777" w:rsidR="00B1333C" w:rsidRDefault="00B1333C" w:rsidP="00D72DC8"/>
    <w:p w14:paraId="19B79149" w14:textId="77777777" w:rsidR="00B1333C" w:rsidRDefault="00B1333C" w:rsidP="00D72DC8"/>
    <w:p w14:paraId="5C8208CA" w14:textId="77777777" w:rsidR="00B1333C" w:rsidRDefault="00B1333C" w:rsidP="00D72DC8"/>
    <w:p w14:paraId="7AE9A0E9" w14:textId="77777777" w:rsidR="00B1333C" w:rsidRDefault="00B1333C" w:rsidP="00D72DC8"/>
    <w:p w14:paraId="72AC91ED" w14:textId="77777777" w:rsidR="00B1333C" w:rsidRPr="00B1333C" w:rsidRDefault="00B1333C" w:rsidP="00D72DC8">
      <w:pPr>
        <w:rPr>
          <w:sz w:val="36"/>
          <w:szCs w:val="36"/>
        </w:rPr>
      </w:pPr>
    </w:p>
    <w:p w14:paraId="4A68DBEF" w14:textId="169E4883" w:rsidR="00B1333C" w:rsidRPr="00B1333C" w:rsidRDefault="00B1333C" w:rsidP="00D72DC8">
      <w:pPr>
        <w:rPr>
          <w:sz w:val="36"/>
          <w:szCs w:val="36"/>
        </w:rPr>
      </w:pPr>
      <w:r w:rsidRPr="00B1333C">
        <w:rPr>
          <w:sz w:val="36"/>
          <w:szCs w:val="36"/>
        </w:rPr>
        <w:t>Student Name: Bijaya Dip Karki</w:t>
      </w:r>
    </w:p>
    <w:p w14:paraId="1B9DC707" w14:textId="56C86516" w:rsidR="00B1333C" w:rsidRPr="00B1333C" w:rsidRDefault="00B1333C" w:rsidP="00D72DC8">
      <w:pPr>
        <w:rPr>
          <w:sz w:val="36"/>
          <w:szCs w:val="36"/>
        </w:rPr>
      </w:pPr>
      <w:r w:rsidRPr="00B1333C">
        <w:rPr>
          <w:sz w:val="36"/>
          <w:szCs w:val="36"/>
        </w:rPr>
        <w:t>Student ID: 2207937</w:t>
      </w:r>
    </w:p>
    <w:p w14:paraId="189A961C" w14:textId="25A3A9EE" w:rsidR="00B1333C" w:rsidRPr="00B1333C" w:rsidRDefault="00B1333C" w:rsidP="00D72DC8">
      <w:pPr>
        <w:rPr>
          <w:sz w:val="36"/>
          <w:szCs w:val="36"/>
        </w:rPr>
      </w:pPr>
      <w:r w:rsidRPr="00B1333C">
        <w:rPr>
          <w:sz w:val="36"/>
          <w:szCs w:val="36"/>
        </w:rPr>
        <w:t>Module Title: Financial Management for the Hotel Industry</w:t>
      </w:r>
    </w:p>
    <w:p w14:paraId="2322B3DC" w14:textId="7AF6AB15" w:rsidR="00B1333C" w:rsidRPr="00B1333C" w:rsidRDefault="00B1333C" w:rsidP="00D72DC8">
      <w:pPr>
        <w:rPr>
          <w:sz w:val="36"/>
          <w:szCs w:val="36"/>
        </w:rPr>
      </w:pPr>
      <w:r w:rsidRPr="00B1333C">
        <w:rPr>
          <w:sz w:val="36"/>
          <w:szCs w:val="36"/>
        </w:rPr>
        <w:t>BMIH5007</w:t>
      </w:r>
    </w:p>
    <w:p w14:paraId="124E12E3" w14:textId="5A77F5DF" w:rsidR="00B1333C" w:rsidRPr="008703CC" w:rsidRDefault="00B1333C" w:rsidP="00D72DC8">
      <w:pPr>
        <w:rPr>
          <w:sz w:val="36"/>
          <w:szCs w:val="36"/>
        </w:rPr>
      </w:pPr>
      <w:r w:rsidRPr="008703CC">
        <w:rPr>
          <w:sz w:val="36"/>
          <w:szCs w:val="36"/>
        </w:rPr>
        <w:t>Lecture Name: Jaliya de silva</w:t>
      </w:r>
    </w:p>
    <w:p w14:paraId="653E6A52" w14:textId="3B4C5245" w:rsidR="00A148CB" w:rsidRPr="008703CC" w:rsidRDefault="00A148CB" w:rsidP="00D72DC8">
      <w:pPr>
        <w:rPr>
          <w:sz w:val="36"/>
          <w:szCs w:val="36"/>
        </w:rPr>
      </w:pPr>
    </w:p>
    <w:p w14:paraId="79FCF6EE" w14:textId="5A91A754" w:rsidR="00A148CB" w:rsidRPr="008703CC" w:rsidRDefault="00A148CB" w:rsidP="00D72DC8"/>
    <w:p w14:paraId="20CD3150" w14:textId="4DE6A7F0" w:rsidR="00A148CB" w:rsidRPr="008703CC" w:rsidRDefault="00A148CB" w:rsidP="00D72DC8"/>
    <w:p w14:paraId="40754EC2" w14:textId="77777777" w:rsidR="00B1333C" w:rsidRPr="008703CC" w:rsidRDefault="00B1333C" w:rsidP="00D72DC8"/>
    <w:p w14:paraId="18AEAC77" w14:textId="77777777" w:rsidR="00B1333C" w:rsidRPr="008703CC" w:rsidRDefault="00B1333C" w:rsidP="00D72DC8"/>
    <w:p w14:paraId="796DEE2A" w14:textId="77777777" w:rsidR="00841FF8" w:rsidRPr="008703CC" w:rsidRDefault="00841FF8" w:rsidP="00D72DC8"/>
    <w:p w14:paraId="7ABEA598" w14:textId="77777777" w:rsidR="00B1333C" w:rsidRPr="008703CC" w:rsidRDefault="00B1333C" w:rsidP="00D72DC8"/>
    <w:p w14:paraId="04C7801B" w14:textId="77777777" w:rsidR="00D72DC8" w:rsidRDefault="00D72DC8" w:rsidP="00A148CB">
      <w:pPr>
        <w:pStyle w:val="Heading1"/>
      </w:pPr>
      <w:bookmarkStart w:id="0" w:name="_Toc156071158"/>
      <w:r>
        <w:t>Introduction:</w:t>
      </w:r>
      <w:bookmarkEnd w:id="0"/>
    </w:p>
    <w:p w14:paraId="679EF213" w14:textId="39335A1C" w:rsidR="00284CFE" w:rsidRDefault="00D72DC8" w:rsidP="00284CFE">
      <w:r w:rsidRPr="00D72DC8">
        <w:t xml:space="preserve">This </w:t>
      </w:r>
      <w:r>
        <w:t>report will provide an in</w:t>
      </w:r>
      <w:r w:rsidRPr="00D72DC8">
        <w:t xml:space="preserve">-depth comparative </w:t>
      </w:r>
      <w:r>
        <w:t>analysis between</w:t>
      </w:r>
      <w:r w:rsidRPr="00D72DC8">
        <w:t xml:space="preserve"> Corinthia Hotels and Ibis Hotels along critical dimensions Total Revenue, Market Position, Growth Potential, and Financial Investment into Corporate Social Responsibility (CSR)</w:t>
      </w:r>
      <w:r w:rsidR="000D0E17">
        <w:t xml:space="preserve"> (Rhou and Singal, 2020)</w:t>
      </w:r>
      <w:r w:rsidRPr="00D72DC8">
        <w:t>. Since this analysis</w:t>
      </w:r>
      <w:r>
        <w:t xml:space="preserve"> will</w:t>
      </w:r>
      <w:r w:rsidRPr="00D72DC8">
        <w:t xml:space="preserve"> reveals the different strategies, market positions and growth paths for these hotel giants it </w:t>
      </w:r>
      <w:r>
        <w:t>-will enable us</w:t>
      </w:r>
      <w:r w:rsidRPr="00D72DC8">
        <w:t xml:space="preserve"> to understand if they are financially </w:t>
      </w:r>
      <w:r>
        <w:t>stable</w:t>
      </w:r>
      <w:r w:rsidRPr="00D72DC8">
        <w:t xml:space="preserve"> or how stable their future is as a business entity</w:t>
      </w:r>
      <w:r w:rsidR="00C453FA">
        <w:t xml:space="preserve"> (Cambon, 2023)</w:t>
      </w:r>
      <w:r w:rsidRPr="00D72DC8">
        <w:t>. It</w:t>
      </w:r>
      <w:r>
        <w:t xml:space="preserve"> will</w:t>
      </w:r>
      <w:r w:rsidRPr="00D72DC8">
        <w:t xml:space="preserve"> dig deep into their ways of doing CSR revealing more about how they are geared towards environmental and social responsibility.</w:t>
      </w:r>
      <w:r>
        <w:t xml:space="preserve"> In the end a suitable conclusion will be drawn from whole discussion.</w:t>
      </w:r>
    </w:p>
    <w:p w14:paraId="57B9BF0F" w14:textId="77777777" w:rsidR="00284CFE" w:rsidRDefault="00284CFE" w:rsidP="00D72DC8">
      <w:pPr>
        <w:pStyle w:val="Heading1"/>
      </w:pPr>
      <w:bookmarkStart w:id="1" w:name="_Toc156071159"/>
      <w:r>
        <w:t>Detailed Comparison between Corinthia Hotels and Ibis Hotels:</w:t>
      </w:r>
      <w:bookmarkEnd w:id="1"/>
    </w:p>
    <w:p w14:paraId="095D9EBA" w14:textId="310455FA" w:rsidR="00284CFE" w:rsidRDefault="00284CFE" w:rsidP="00D72DC8">
      <w:pPr>
        <w:pStyle w:val="Heading2"/>
      </w:pPr>
      <w:bookmarkStart w:id="2" w:name="_Toc156071160"/>
      <w:r>
        <w:t>In terms of Total Revenue:</w:t>
      </w:r>
      <w:bookmarkEnd w:id="2"/>
    </w:p>
    <w:p w14:paraId="7C71874D" w14:textId="70E149B9" w:rsidR="00A148CB" w:rsidRPr="00A148CB" w:rsidRDefault="00A148CB" w:rsidP="00A148CB">
      <w:r w:rsidRPr="00A148CB">
        <w:t>The financial Appraisal of Corinthia Hotels and Ibis Hotels in reference to their total revenue in 2022 reveals different characteristics and approaches</w:t>
      </w:r>
      <w:r w:rsidR="00C453FA">
        <w:t xml:space="preserve"> (Cambon, 2023)</w:t>
      </w:r>
      <w:r w:rsidRPr="00A148CB">
        <w:t>. 86% of the total revenue came from room sales and food and beverage, with a total figure around €46 million or $501 In comparison, the economic performance for Ibis Hotels was higher: they reported a total revenue of around €1.4 billion (approximately $ 1.5 billion) including room revenues from budget segment amounting to about 6</w:t>
      </w:r>
      <w:r w:rsidR="00BB3190">
        <w:t>8%</w:t>
      </w:r>
      <w:r w:rsidR="0064308C">
        <w:t xml:space="preserve"> (www.corinthiagroup.com/investors/financial-report, 2019)</w:t>
      </w:r>
      <w:r w:rsidR="00BB3190">
        <w:t>.</w:t>
      </w:r>
    </w:p>
    <w:p w14:paraId="2A607EB3" w14:textId="5CDB5F8B" w:rsidR="00A148CB" w:rsidRPr="00A148CB" w:rsidRDefault="00A148CB" w:rsidP="00A148CB">
      <w:r w:rsidRPr="00A148CB">
        <w:t xml:space="preserve">With regard to the trends in income, Corinthia Hotels had a pandemic-related downturn but demonstrated impressive recovery performance in 2022, exceeding pre-pandemic numbers. This comeback was based on a rise in key markets such as London and Dubai ADRs and occupancy rates. Ibis Hotels, on the other side of the spectrum, weathered through pandemic maintaining stable revenue streams. Projecting strategic network growth and increasing the demand for budget travel among price-sensitive consumers </w:t>
      </w:r>
      <w:r w:rsidR="00BB3190" w:rsidRPr="00A148CB">
        <w:t>fuelled</w:t>
      </w:r>
      <w:r w:rsidRPr="00A148CB">
        <w:t xml:space="preserve"> its growing success</w:t>
      </w:r>
      <w:r w:rsidR="0064308C">
        <w:t xml:space="preserve"> (Cambon, 2023)</w:t>
      </w:r>
      <w:r w:rsidRPr="00A148CB">
        <w:t>.</w:t>
      </w:r>
      <w:r w:rsidR="0064308C">
        <w:t xml:space="preserve"> </w:t>
      </w:r>
    </w:p>
    <w:p w14:paraId="52E957E4" w14:textId="78FE92F7" w:rsidR="00A148CB" w:rsidRPr="00A148CB" w:rsidRDefault="00A148CB" w:rsidP="00A148CB">
      <w:r w:rsidRPr="00A148CB">
        <w:lastRenderedPageBreak/>
        <w:t xml:space="preserve">factors underlying revenue growth or decline help to tease out the different approaches of the two hotel chains. Corinthia Hotels took advantage of </w:t>
      </w:r>
      <w:r w:rsidR="00BB3190" w:rsidRPr="00A148CB">
        <w:t>favourable</w:t>
      </w:r>
      <w:r w:rsidRPr="00A148CB">
        <w:t xml:space="preserve"> market situations in the luxury travel segment, capitalising on its powerful brand image and concentrating efforts on high-returning markets</w:t>
      </w:r>
      <w:r w:rsidR="000D0E17">
        <w:t xml:space="preserve"> (Motta and Sharma, 2019)</w:t>
      </w:r>
      <w:r w:rsidRPr="00A148CB">
        <w:t>. On the one hand, Ibis Hotels took advantage of cost-oriented consumer tastes; on the other hand, they made strategic investments in major markets and leveraged their Internet marketing capabilities as well</w:t>
      </w:r>
      <w:r w:rsidR="0064308C" w:rsidRPr="0064308C">
        <w:t xml:space="preserve"> </w:t>
      </w:r>
      <w:r w:rsidR="0064308C">
        <w:t xml:space="preserve">(Cambon, 2023). </w:t>
      </w:r>
    </w:p>
    <w:p w14:paraId="5CDDAEE0" w14:textId="6FE2E248" w:rsidR="00A148CB" w:rsidRPr="00A148CB" w:rsidRDefault="00A148CB" w:rsidP="00A148CB">
      <w:r w:rsidRPr="00A148CB">
        <w:t>The comparison reveals insights that Corinthia Hotels, while making less total revenue still charges higher room rates due to focusing more on luxury hospitality</w:t>
      </w:r>
      <w:r w:rsidR="00C453FA">
        <w:t xml:space="preserve"> (Cambon, 2023)</w:t>
      </w:r>
      <w:r w:rsidRPr="00A148CB">
        <w:t>. On the other hand, Ibis Hotels has more overall revenue because it has many units and various forms of income sources beyond just room revenues</w:t>
      </w:r>
      <w:r w:rsidR="0064308C">
        <w:t xml:space="preserve"> (Hayes </w:t>
      </w:r>
      <w:r w:rsidR="0064308C">
        <w:rPr>
          <w:i/>
          <w:iCs/>
        </w:rPr>
        <w:t>et al.</w:t>
      </w:r>
      <w:r w:rsidR="0064308C">
        <w:t>, 2017b)</w:t>
      </w:r>
      <w:r w:rsidRPr="00A148CB">
        <w:t xml:space="preserve">. The various growth drivers of every company further </w:t>
      </w:r>
      <w:r w:rsidR="0064308C" w:rsidRPr="00A148CB">
        <w:t>reinforce</w:t>
      </w:r>
      <w:r w:rsidRPr="00A148CB">
        <w:t xml:space="preserve"> the positioning Corinthia in relation to luxury travel trends and Ibis, courting popularity due to its appeal towards budget travel as well.</w:t>
      </w:r>
    </w:p>
    <w:p w14:paraId="1A522AD3" w14:textId="697DAE3D" w:rsidR="00A148CB" w:rsidRDefault="00A148CB" w:rsidP="00A148CB">
      <w:r w:rsidRPr="00A148CB">
        <w:t>However, for a more thorough evaluation of the financial soundness and viability of Corinthia Hotels and Ibis Aside from total revenue, analysing profitability, efficiency ratios and cost structures will allow one to have a more refined insight into the financial management strategies of each as well as their long-term prospective success</w:t>
      </w:r>
      <w:r w:rsidR="000D0E17">
        <w:t xml:space="preserve"> (Sukach </w:t>
      </w:r>
      <w:r w:rsidR="000D0E17">
        <w:rPr>
          <w:i/>
          <w:iCs/>
        </w:rPr>
        <w:t>et al.</w:t>
      </w:r>
      <w:r w:rsidR="000D0E17">
        <w:t>, 2021)</w:t>
      </w:r>
      <w:r w:rsidRPr="00A148CB">
        <w:t>. This becomes an initial exploration, which can pave the way to further inquiries on these significant financial parameters for a much thorough analysis</w:t>
      </w:r>
      <w:r w:rsidR="0064308C">
        <w:t xml:space="preserve"> (Hayes </w:t>
      </w:r>
      <w:r w:rsidR="0064308C">
        <w:rPr>
          <w:i/>
          <w:iCs/>
        </w:rPr>
        <w:t>et al.</w:t>
      </w:r>
      <w:r w:rsidR="0064308C">
        <w:t>, 2017b)</w:t>
      </w:r>
      <w:r w:rsidRPr="00A148CB">
        <w:t>.</w:t>
      </w:r>
    </w:p>
    <w:p w14:paraId="2E67E2D2" w14:textId="207DEF4D" w:rsidR="00284CFE" w:rsidRDefault="00284CFE" w:rsidP="00A148CB">
      <w:pPr>
        <w:pStyle w:val="Heading2"/>
      </w:pPr>
      <w:bookmarkStart w:id="3" w:name="_Toc156071161"/>
      <w:r>
        <w:t>In terms of Market Position:</w:t>
      </w:r>
      <w:bookmarkEnd w:id="3"/>
    </w:p>
    <w:p w14:paraId="385B47EE" w14:textId="62C6B791" w:rsidR="00A148CB" w:rsidRPr="00A148CB" w:rsidRDefault="00A148CB" w:rsidP="00A148CB">
      <w:r w:rsidRPr="00A148CB">
        <w:t>In terms of market positioning, Corinthia Hotels and Ibis Hotels stand out as large giants dominating different segments within the hospitality industry. Corinthia targeting the luxury segment has an opulent ambiance and personalized service in its 57 hotels across 20 countries</w:t>
      </w:r>
      <w:r w:rsidR="000D0E17">
        <w:t xml:space="preserve"> (Franco </w:t>
      </w:r>
      <w:r w:rsidR="000D0E17">
        <w:rPr>
          <w:i/>
          <w:iCs/>
        </w:rPr>
        <w:t>et al.</w:t>
      </w:r>
      <w:r w:rsidR="000D0E17">
        <w:t>, 2019)</w:t>
      </w:r>
      <w:r w:rsidRPr="00A148CB">
        <w:t>. Although Corinthia has a relatively modest global market share, the brand is strong in key luxury destinations such as London Dubai and St Petersburg. Corinthia targets affluent individuals, couples and business people with high disposable incomes hence it creates the perception of luxury therefore leading to pompous guest satisfaction scores as well strong brand loyalty.</w:t>
      </w:r>
      <w:r w:rsidR="0064308C">
        <w:t xml:space="preserve"> (Nieves and Segarra-Ciprés, 2015)</w:t>
      </w:r>
    </w:p>
    <w:p w14:paraId="20E33C45" w14:textId="48CB92C4" w:rsidR="00A148CB" w:rsidRPr="00A148CB" w:rsidRDefault="00A148CB" w:rsidP="00A148CB">
      <w:r w:rsidRPr="00A148CB">
        <w:lastRenderedPageBreak/>
        <w:t>On the other hand, Accorhotel’s budget brand Ibis Hotels leads in this segment with a massive 1200 hotels spread across 68 countries</w:t>
      </w:r>
      <w:r w:rsidR="000D0E17">
        <w:t xml:space="preserve"> (Sikveland </w:t>
      </w:r>
      <w:r w:rsidR="000D0E17">
        <w:rPr>
          <w:i/>
          <w:iCs/>
        </w:rPr>
        <w:t>et al.</w:t>
      </w:r>
      <w:r w:rsidR="000D0E17">
        <w:t>, 2022)</w:t>
      </w:r>
      <w:r w:rsidRPr="00A148CB">
        <w:t xml:space="preserve">. Ibis commands a strong market share especially in Europe and Asia as it strategically positions itself as the leader for providing clean, comfortable and functional accommodations at cheap prices. Ibis targets price-conscious amenity </w:t>
      </w:r>
      <w:r w:rsidR="00BB3190" w:rsidRPr="00A148CB">
        <w:t>travellers</w:t>
      </w:r>
      <w:r w:rsidRPr="00A148CB">
        <w:t>, including young professionals’ backpackers and cost sensitive families; It is defined by a dependable value proposition for budget travellers with an average of the age group of its guests smaller than luxury chains</w:t>
      </w:r>
      <w:r w:rsidR="0064308C">
        <w:t xml:space="preserve"> (Hayes and Miller, 2011)</w:t>
      </w:r>
      <w:r w:rsidRPr="00A148CB">
        <w:t>.</w:t>
      </w:r>
    </w:p>
    <w:p w14:paraId="488BEF7E" w14:textId="75813016" w:rsidR="00A148CB" w:rsidRPr="00A148CB" w:rsidRDefault="00A148CB" w:rsidP="00A148CB">
      <w:r w:rsidRPr="00A148CB">
        <w:t xml:space="preserve">Price points are another key distinguisher between the two giants, with Corinthia’s average room rates far exceeding those of Ibis this is reflective of their differing target markets and service standards. In terms of location, Corinthia focuses on prime locations in important cities and tourist destinations while Ibis enjoys strategic expansion to urban </w:t>
      </w:r>
      <w:r w:rsidR="00BB3190" w:rsidRPr="00A148CB">
        <w:t>centres</w:t>
      </w:r>
      <w:r w:rsidRPr="00A148CB">
        <w:t xml:space="preserve">, transportation hubs and value-for money leisure markets. Corinthia brand experience is </w:t>
      </w:r>
      <w:r w:rsidR="00BB3190" w:rsidRPr="00A148CB">
        <w:t>centred</w:t>
      </w:r>
      <w:r w:rsidRPr="00A148CB">
        <w:t xml:space="preserve"> upon a personalized service that caters to the needs of their customers, luxurious amenities and curated experiences tailor-made for each individual customer while Ibis focuses on efficiency, convenience and delivering value for money</w:t>
      </w:r>
      <w:r w:rsidR="007E6569">
        <w:t xml:space="preserve"> (Hung </w:t>
      </w:r>
      <w:r w:rsidR="007E6569">
        <w:rPr>
          <w:i/>
          <w:iCs/>
        </w:rPr>
        <w:t>et al.</w:t>
      </w:r>
      <w:r w:rsidR="007E6569">
        <w:t>, 2010)</w:t>
      </w:r>
      <w:r w:rsidRPr="00A148CB">
        <w:t>.</w:t>
      </w:r>
    </w:p>
    <w:p w14:paraId="20819B35" w14:textId="36DEEBDB" w:rsidR="00A148CB" w:rsidRDefault="00A148CB" w:rsidP="00A148CB">
      <w:r w:rsidRPr="00A148CB">
        <w:t xml:space="preserve">Based on market dynamics, Corinthia is well poised to benefit from the expected growth in demand for luxury travel after the pandemic. Ibis, on the other hand makes a strong comeback in depressive economic periods due to prices that attract price-conscious </w:t>
      </w:r>
      <w:r w:rsidR="00BB3190" w:rsidRPr="00A148CB">
        <w:t>travellers</w:t>
      </w:r>
      <w:r w:rsidR="000D0E17">
        <w:t xml:space="preserve"> (IOVU, 2022)</w:t>
      </w:r>
      <w:r w:rsidRPr="00A148CB">
        <w:t>. In both cases, however companies must adapt to changing consumer preferences such as the increasing concern about environmentally friendly practices and digital experiences revealing that innovating in response to shifting market trends is a constant requirement</w:t>
      </w:r>
      <w:r w:rsidR="000D0E17">
        <w:t xml:space="preserve"> (Mueller and Sensini, 2021)</w:t>
      </w:r>
      <w:r w:rsidRPr="00A148CB">
        <w:t>.</w:t>
      </w:r>
    </w:p>
    <w:p w14:paraId="46E1736D" w14:textId="3400DF41" w:rsidR="00284CFE" w:rsidRDefault="00284CFE" w:rsidP="00A148CB">
      <w:pPr>
        <w:pStyle w:val="Heading2"/>
      </w:pPr>
      <w:bookmarkStart w:id="4" w:name="_Toc156071162"/>
      <w:r>
        <w:t>In terms of Growth Potential</w:t>
      </w:r>
      <w:r w:rsidR="00D72DC8">
        <w:t>:</w:t>
      </w:r>
      <w:bookmarkEnd w:id="4"/>
    </w:p>
    <w:p w14:paraId="35B416C8" w14:textId="18BA093D" w:rsidR="00A148CB" w:rsidRPr="00A148CB" w:rsidRDefault="00A148CB" w:rsidP="00A148CB">
      <w:r w:rsidRPr="00A148CB">
        <w:t>Corinthia Hotels and Ibis Hotels are polar opposites in terms of growth trajectories due to their different market positions and strategies. Corinthia, given its somewhat limited network of 57 hotels, has significant upside potential for growth especially within emerging luxury markets such as Asia and Africa</w:t>
      </w:r>
      <w:r w:rsidR="000D0E17">
        <w:t xml:space="preserve"> (Cerchione and Bansal, 2019)</w:t>
      </w:r>
      <w:r w:rsidRPr="00A148CB">
        <w:t xml:space="preserve">. Corinthia to target luxury branded residences and travel experiences given its current image as a provider of high-end services However, some </w:t>
      </w:r>
      <w:r w:rsidRPr="00A148CB">
        <w:lastRenderedPageBreak/>
        <w:t>issues include intensive dependence on such key luxury markets as the USA and Japan which usually recover slower from economic crashes, maintaining exclusivity for being a brand that reaches more stores</w:t>
      </w:r>
      <w:r w:rsidR="004F6F5A">
        <w:t xml:space="preserve"> (Statista, 2023a)</w:t>
      </w:r>
      <w:r w:rsidRPr="00A148CB">
        <w:t>.</w:t>
      </w:r>
    </w:p>
    <w:p w14:paraId="5EE1D9C5" w14:textId="4B77E329" w:rsidR="00A148CB" w:rsidRPr="00A148CB" w:rsidRDefault="00A148CB" w:rsidP="00A148CB">
      <w:r w:rsidRPr="00A148CB">
        <w:t xml:space="preserve">In contrast, AccorHotels’ Ibis Hotels have an aggressive network expansion approach with over 1020 hotels mainly targeting price-conscious regions such as Southeast Asia and Latin America. Adopting the franchise model in Ibis, AccorHotels’ growth takes place quickly and with reduced capital </w:t>
      </w:r>
      <w:r w:rsidR="0064308C" w:rsidRPr="00A148CB">
        <w:t>investment</w:t>
      </w:r>
      <w:r w:rsidR="007E6569">
        <w:t xml:space="preserve"> (Cambon, 2023)</w:t>
      </w:r>
      <w:r w:rsidR="0064308C" w:rsidRPr="00A148CB">
        <w:t>. The</w:t>
      </w:r>
      <w:r w:rsidRPr="00A148CB">
        <w:t xml:space="preserve"> company is also considering diversification of brands under Ibis while creating customizations like brands such as styles or budget that targets certain niche groups within its umbrella</w:t>
      </w:r>
      <w:r w:rsidR="004F6F5A">
        <w:t xml:space="preserve"> (Statista, 2023a)</w:t>
      </w:r>
      <w:r w:rsidRPr="00A148CB">
        <w:t>. The concerns include fierce competition within the low-price segment, which could put Ibis under price pressure and reduced profit margins as well as a need to preserve brand integrity among various franchised hotels in diverse locations</w:t>
      </w:r>
      <w:r w:rsidR="000D0E17">
        <w:t xml:space="preserve"> (Wang </w:t>
      </w:r>
      <w:r w:rsidR="000D0E17">
        <w:rPr>
          <w:i/>
          <w:iCs/>
        </w:rPr>
        <w:t>et al.</w:t>
      </w:r>
      <w:r w:rsidR="000D0E17">
        <w:t>, 2014)</w:t>
      </w:r>
      <w:r w:rsidRPr="00A148CB">
        <w:t>.</w:t>
      </w:r>
    </w:p>
    <w:p w14:paraId="1D05AB6E" w14:textId="0F193CA6" w:rsidR="00A148CB" w:rsidRDefault="00A148CB" w:rsidP="00A148CB">
      <w:r w:rsidRPr="00A148CB">
        <w:t>Both companies can take advantage of market opportunities, including the increasing popularity of leisure travel among business travellers who combine both work and pleasure. Both Corinthia and Ibis can leverage this shift in travel preference by providing availability of variable workspaces along with leisure facilities</w:t>
      </w:r>
      <w:r w:rsidR="004F6F5A">
        <w:t xml:space="preserve"> (Statista, 2023)</w:t>
      </w:r>
      <w:r w:rsidRPr="00A148CB">
        <w:t>. Another area for growth can be seen in the rise of eco-friendly travel demands since both companies could practice sustainability to appeal to environmentally concerned travellers. Furthermore, using technology for contactless check-in, tailored guest experiences and dynamic pricing can improve operations while boosting the satisfaction of guests for both Corinthia and Ibis</w:t>
      </w:r>
      <w:r w:rsidR="000D0E17">
        <w:t xml:space="preserve"> (García-Gómez </w:t>
      </w:r>
      <w:r w:rsidR="000D0E17">
        <w:rPr>
          <w:i/>
          <w:iCs/>
        </w:rPr>
        <w:t>et al.</w:t>
      </w:r>
      <w:r w:rsidR="000D0E17">
        <w:t>, 2023)</w:t>
      </w:r>
      <w:r w:rsidRPr="00A148CB">
        <w:t>.</w:t>
      </w:r>
      <w:r w:rsidR="000D0E17">
        <w:t xml:space="preserve"> </w:t>
      </w:r>
    </w:p>
    <w:p w14:paraId="3A3D3D5A" w14:textId="0A98A52F" w:rsidR="00284CFE" w:rsidRPr="008703CC" w:rsidRDefault="00D72DC8" w:rsidP="00A148CB">
      <w:pPr>
        <w:pStyle w:val="Heading2"/>
      </w:pPr>
      <w:bookmarkStart w:id="5" w:name="_Toc156071163"/>
      <w:r w:rsidRPr="008703CC">
        <w:t>In terms of Financial Commitment to CSR:</w:t>
      </w:r>
      <w:bookmarkEnd w:id="5"/>
    </w:p>
    <w:p w14:paraId="0632EF0E" w14:textId="17A3AC41" w:rsidR="00A148CB" w:rsidRPr="008703CC" w:rsidRDefault="00A148CB" w:rsidP="00A148CB">
      <w:pPr>
        <w:rPr>
          <w:lang w:eastAsia="en-GB"/>
        </w:rPr>
      </w:pPr>
      <w:r w:rsidRPr="008703CC">
        <w:rPr>
          <w:lang w:eastAsia="en-GB"/>
        </w:rPr>
        <w:t>Although Corinthia Hotels and IbisHotels pay attention to Corporate Social Responsibility (CSR), their strategies, financial investments differ significantly. Reviewing their particular initiatives and investments reveals different ways in the hospitality sector</w:t>
      </w:r>
      <w:r w:rsidR="007E6569" w:rsidRPr="008703CC">
        <w:rPr>
          <w:lang w:eastAsia="en-GB"/>
        </w:rPr>
        <w:t xml:space="preserve"> </w:t>
      </w:r>
      <w:r w:rsidR="007E6569" w:rsidRPr="008703CC">
        <w:t>(www.corinthiagroup.com, 2023)</w:t>
      </w:r>
      <w:r w:rsidRPr="008703CC">
        <w:rPr>
          <w:lang w:eastAsia="en-GB"/>
        </w:rPr>
        <w:t>.</w:t>
      </w:r>
    </w:p>
    <w:p w14:paraId="6B0992F9" w14:textId="77777777" w:rsidR="00A148CB" w:rsidRPr="008703CC" w:rsidRDefault="00A148CB" w:rsidP="00BB3190">
      <w:pPr>
        <w:pStyle w:val="Heading2"/>
        <w:rPr>
          <w:lang w:eastAsia="en-GB"/>
        </w:rPr>
      </w:pPr>
      <w:bookmarkStart w:id="6" w:name="_Toc156071164"/>
      <w:r w:rsidRPr="008703CC">
        <w:rPr>
          <w:lang w:eastAsia="en-GB"/>
        </w:rPr>
        <w:lastRenderedPageBreak/>
        <w:t>Corinthia Hotels:</w:t>
      </w:r>
      <w:bookmarkEnd w:id="6"/>
    </w:p>
    <w:p w14:paraId="69583EB5" w14:textId="1BA1EAB1" w:rsidR="00A148CB" w:rsidRPr="008703CC" w:rsidRDefault="00A148CB" w:rsidP="00A148CB">
      <w:pPr>
        <w:rPr>
          <w:lang w:eastAsia="en-GB"/>
        </w:rPr>
      </w:pPr>
      <w:r w:rsidRPr="008703CC">
        <w:rPr>
          <w:b/>
          <w:bCs/>
          <w:lang w:eastAsia="en-GB"/>
        </w:rPr>
        <w:t>Sustainability Focus:</w:t>
      </w:r>
      <w:r w:rsidRPr="008703CC">
        <w:rPr>
          <w:lang w:eastAsia="en-GB"/>
        </w:rPr>
        <w:t xml:space="preserve"> Corinthia is deeply steeped in environmentally conscious practices. They invest in green energy, water conservation activities and waste reduction across their hotels. 2022 saw the Corinthia Hotel London reach carbon-neutral status. 2021 saw them also kickstart the “Planting Hope” program, planting 100k trees worldwide and promising to neutralize all inescapable carbon emissions</w:t>
      </w:r>
      <w:r w:rsidR="007E6569" w:rsidRPr="008703CC">
        <w:rPr>
          <w:lang w:eastAsia="en-GB"/>
        </w:rPr>
        <w:t xml:space="preserve"> </w:t>
      </w:r>
      <w:r w:rsidR="007E6569" w:rsidRPr="008703CC">
        <w:t>(www.corinthiagroup.com, 2023)</w:t>
      </w:r>
      <w:r w:rsidRPr="008703CC">
        <w:rPr>
          <w:lang w:eastAsia="en-GB"/>
        </w:rPr>
        <w:t>.</w:t>
      </w:r>
    </w:p>
    <w:p w14:paraId="796AA774" w14:textId="7C9B4486" w:rsidR="00A148CB" w:rsidRPr="008703CC" w:rsidRDefault="00A148CB" w:rsidP="00A148CB">
      <w:pPr>
        <w:rPr>
          <w:lang w:eastAsia="en-GB"/>
        </w:rPr>
      </w:pPr>
      <w:r w:rsidRPr="008703CC">
        <w:rPr>
          <w:b/>
          <w:bCs/>
          <w:lang w:eastAsia="en-GB"/>
        </w:rPr>
        <w:t>Community Engagement:</w:t>
      </w:r>
      <w:r w:rsidRPr="008703CC">
        <w:rPr>
          <w:lang w:eastAsia="en-GB"/>
        </w:rPr>
        <w:t xml:space="preserve"> Corinthia also makes significant efforts to support local communities through various educational programs, cultural partnerships and donation of funds for charitable purposes. Their “Hotels Helping Hands” initiative allows hotel staff to give back and take part in the local causes. Their collaboration with UNICEF involves enhancing the quality of education and life among children in impoverished communities</w:t>
      </w:r>
      <w:r w:rsidR="007E6569" w:rsidRPr="008703CC">
        <w:rPr>
          <w:lang w:eastAsia="en-GB"/>
        </w:rPr>
        <w:t xml:space="preserve"> </w:t>
      </w:r>
      <w:r w:rsidR="007E6569" w:rsidRPr="008703CC">
        <w:t>(www.corinthiagroup.com/investors/financial-report, 2019).</w:t>
      </w:r>
    </w:p>
    <w:p w14:paraId="0BA6F718" w14:textId="5D26C4A1" w:rsidR="00A148CB" w:rsidRPr="008703CC" w:rsidRDefault="00A148CB" w:rsidP="00A148CB">
      <w:pPr>
        <w:rPr>
          <w:lang w:eastAsia="en-GB"/>
        </w:rPr>
      </w:pPr>
      <w:r w:rsidRPr="008703CC">
        <w:rPr>
          <w:b/>
          <w:bCs/>
          <w:lang w:eastAsia="en-GB"/>
        </w:rPr>
        <w:t>Financial Investments:</w:t>
      </w:r>
      <w:r w:rsidRPr="008703CC">
        <w:rPr>
          <w:lang w:eastAsia="en-GB"/>
        </w:rPr>
        <w:t xml:space="preserve"> Although exact numbers are not forthcoming, the sustainability efforts of Corinthia require substantial capital outlay. Their investments in renewable energy systems, eco-friendly building materials and waste management technologies highlight their commitment to the </w:t>
      </w:r>
      <w:r w:rsidR="00BB3190" w:rsidRPr="008703CC">
        <w:rPr>
          <w:lang w:eastAsia="en-GB"/>
        </w:rPr>
        <w:t>long-term</w:t>
      </w:r>
      <w:r w:rsidRPr="008703CC">
        <w:rPr>
          <w:lang w:eastAsia="en-GB"/>
        </w:rPr>
        <w:t xml:space="preserve"> effect on the environment.</w:t>
      </w:r>
    </w:p>
    <w:p w14:paraId="1F620134" w14:textId="10F1CBED" w:rsidR="00A148CB" w:rsidRPr="008703CC" w:rsidRDefault="00A148CB" w:rsidP="00A148CB">
      <w:pPr>
        <w:rPr>
          <w:lang w:eastAsia="en-GB"/>
        </w:rPr>
      </w:pPr>
      <w:r w:rsidRPr="008703CC">
        <w:rPr>
          <w:b/>
          <w:bCs/>
          <w:lang w:eastAsia="en-GB"/>
        </w:rPr>
        <w:t>Challenges:</w:t>
      </w:r>
      <w:r w:rsidRPr="008703CC">
        <w:rPr>
          <w:lang w:eastAsia="en-GB"/>
        </w:rPr>
        <w:t xml:space="preserve"> Striking a balance between luxurious experiences and sustainability goals is not easy, it often necessitates creativity in its approach as well as potentially affecting profit margins temporarily</w:t>
      </w:r>
      <w:r w:rsidR="007E6569" w:rsidRPr="008703CC">
        <w:rPr>
          <w:lang w:eastAsia="en-GB"/>
        </w:rPr>
        <w:t xml:space="preserve"> </w:t>
      </w:r>
      <w:r w:rsidR="007E6569" w:rsidRPr="008703CC">
        <w:t>(www.corinthiagroup.com, 2023)</w:t>
      </w:r>
      <w:r w:rsidRPr="008703CC">
        <w:rPr>
          <w:lang w:eastAsia="en-GB"/>
        </w:rPr>
        <w:t>.</w:t>
      </w:r>
    </w:p>
    <w:p w14:paraId="0DD4E52F" w14:textId="77777777" w:rsidR="00A148CB" w:rsidRPr="008703CC" w:rsidRDefault="00A148CB" w:rsidP="00BB3190">
      <w:pPr>
        <w:pStyle w:val="Heading2"/>
        <w:rPr>
          <w:lang w:eastAsia="en-GB"/>
        </w:rPr>
      </w:pPr>
      <w:bookmarkStart w:id="7" w:name="_Toc156071165"/>
      <w:r w:rsidRPr="008703CC">
        <w:rPr>
          <w:lang w:eastAsia="en-GB"/>
        </w:rPr>
        <w:t>Ibis Hotels:</w:t>
      </w:r>
      <w:bookmarkEnd w:id="7"/>
    </w:p>
    <w:p w14:paraId="3B6905E1" w14:textId="671948D1" w:rsidR="00A148CB" w:rsidRPr="008703CC" w:rsidRDefault="00A148CB" w:rsidP="00A148CB">
      <w:pPr>
        <w:rPr>
          <w:lang w:eastAsia="en-GB"/>
        </w:rPr>
      </w:pPr>
      <w:r w:rsidRPr="008703CC">
        <w:rPr>
          <w:b/>
          <w:bCs/>
          <w:lang w:eastAsia="en-GB"/>
        </w:rPr>
        <w:t xml:space="preserve">Standardized Approach: </w:t>
      </w:r>
      <w:r w:rsidRPr="008703CC">
        <w:rPr>
          <w:lang w:eastAsia="en-GB"/>
        </w:rPr>
        <w:t>AccorHotels, the parent firm of Ibis has created sustainability objectives and policies for all its brands that includes Ibis. This ensures one consistent policy across the huge network but may not allow brand specific initiatives. That includes reducing the quantity of energy consumed, water utilized and food wastage</w:t>
      </w:r>
      <w:r w:rsidR="007E6569" w:rsidRPr="008703CC">
        <w:rPr>
          <w:lang w:eastAsia="en-GB"/>
        </w:rPr>
        <w:t xml:space="preserve"> </w:t>
      </w:r>
      <w:r w:rsidR="007E6569" w:rsidRPr="008703CC">
        <w:t>(Cambon, 2023)</w:t>
      </w:r>
      <w:r w:rsidRPr="008703CC">
        <w:rPr>
          <w:lang w:eastAsia="en-GB"/>
        </w:rPr>
        <w:t>.</w:t>
      </w:r>
    </w:p>
    <w:p w14:paraId="47135F5B" w14:textId="77777777" w:rsidR="00A148CB" w:rsidRPr="008703CC" w:rsidRDefault="00A148CB" w:rsidP="00A148CB">
      <w:pPr>
        <w:rPr>
          <w:lang w:eastAsia="en-GB"/>
        </w:rPr>
      </w:pPr>
      <w:r w:rsidRPr="008703CC">
        <w:rPr>
          <w:b/>
          <w:bCs/>
          <w:lang w:eastAsia="en-GB"/>
        </w:rPr>
        <w:t>Social Impact Programs:</w:t>
      </w:r>
      <w:r w:rsidRPr="008703CC">
        <w:rPr>
          <w:lang w:eastAsia="en-GB"/>
        </w:rPr>
        <w:t xml:space="preserve"> Ibis hotels involved themselves in the community activities of AccorHotels including its “Planet Solidarity” programme that helps local charities and </w:t>
      </w:r>
      <w:r w:rsidRPr="008703CC">
        <w:rPr>
          <w:lang w:eastAsia="en-GB"/>
        </w:rPr>
        <w:lastRenderedPageBreak/>
        <w:t>environmental projects. However, individual Ibis hotels might have limited scope to customize their community contribution.</w:t>
      </w:r>
    </w:p>
    <w:p w14:paraId="4D3DFEFF" w14:textId="1C9DF743" w:rsidR="00A148CB" w:rsidRPr="008703CC" w:rsidRDefault="00A148CB" w:rsidP="00A148CB">
      <w:pPr>
        <w:rPr>
          <w:lang w:eastAsia="en-GB"/>
        </w:rPr>
      </w:pPr>
      <w:r w:rsidRPr="008703CC">
        <w:rPr>
          <w:b/>
          <w:bCs/>
          <w:lang w:eastAsia="en-GB"/>
        </w:rPr>
        <w:t>Financial Commitment:</w:t>
      </w:r>
      <w:r w:rsidRPr="008703CC">
        <w:rPr>
          <w:lang w:eastAsia="en-GB"/>
        </w:rPr>
        <w:t xml:space="preserve"> AccorHotels spends €200 million a year on CSR activities in its branches, with part of this amount distributed to the environmental and social causes located within Ibis hotels. However, Ibis-specific CSR activities’ financial contribution is not made public</w:t>
      </w:r>
      <w:r w:rsidR="007E6569" w:rsidRPr="008703CC">
        <w:rPr>
          <w:lang w:eastAsia="en-GB"/>
        </w:rPr>
        <w:t xml:space="preserve"> </w:t>
      </w:r>
      <w:r w:rsidR="007E6569" w:rsidRPr="008703CC">
        <w:t>(Cambon, 2023)</w:t>
      </w:r>
      <w:r w:rsidRPr="008703CC">
        <w:rPr>
          <w:lang w:eastAsia="en-GB"/>
        </w:rPr>
        <w:t>.</w:t>
      </w:r>
    </w:p>
    <w:p w14:paraId="5E6C6DC7" w14:textId="39BD2C9B" w:rsidR="00A148CB" w:rsidRPr="008703CC" w:rsidRDefault="00A148CB" w:rsidP="00A148CB">
      <w:pPr>
        <w:rPr>
          <w:lang w:eastAsia="en-GB"/>
        </w:rPr>
      </w:pPr>
      <w:r w:rsidRPr="008703CC">
        <w:rPr>
          <w:b/>
          <w:bCs/>
          <w:lang w:eastAsia="en-GB"/>
        </w:rPr>
        <w:t>Challenges:</w:t>
      </w:r>
      <w:r w:rsidRPr="008703CC">
        <w:rPr>
          <w:lang w:eastAsia="en-GB"/>
        </w:rPr>
        <w:t xml:space="preserve"> Balancing cost effectiveness with meaningful social impact is not easy in the budget segment. It may also be difficult to ensure consistent implementation of CSR initiatives when operating under franchise models across a diverse network</w:t>
      </w:r>
      <w:r w:rsidR="007E6569" w:rsidRPr="008703CC">
        <w:rPr>
          <w:lang w:eastAsia="en-GB"/>
        </w:rPr>
        <w:t xml:space="preserve"> </w:t>
      </w:r>
      <w:r w:rsidR="007E6569" w:rsidRPr="008703CC">
        <w:t>(Cambon, 2023)</w:t>
      </w:r>
      <w:r w:rsidRPr="008703CC">
        <w:rPr>
          <w:lang w:eastAsia="en-GB"/>
        </w:rPr>
        <w:t>.</w:t>
      </w:r>
    </w:p>
    <w:p w14:paraId="00BC4FC7" w14:textId="77777777" w:rsidR="00A148CB" w:rsidRPr="008703CC" w:rsidRDefault="00A148CB" w:rsidP="00A148CB">
      <w:pPr>
        <w:rPr>
          <w:lang w:eastAsia="en-GB"/>
        </w:rPr>
      </w:pPr>
      <w:r w:rsidRPr="008703CC">
        <w:rPr>
          <w:b/>
          <w:bCs/>
          <w:lang w:eastAsia="en-GB"/>
        </w:rPr>
        <w:t>Contrasting Strategies</w:t>
      </w:r>
      <w:r w:rsidRPr="008703CC">
        <w:rPr>
          <w:lang w:eastAsia="en-GB"/>
        </w:rPr>
        <w:t>:</w:t>
      </w:r>
    </w:p>
    <w:p w14:paraId="5737AD85" w14:textId="37F6EF70" w:rsidR="00A148CB" w:rsidRPr="008703CC" w:rsidRDefault="00A148CB" w:rsidP="00A148CB">
      <w:pPr>
        <w:rPr>
          <w:lang w:eastAsia="en-GB"/>
        </w:rPr>
      </w:pPr>
      <w:r w:rsidRPr="008703CC">
        <w:rPr>
          <w:lang w:eastAsia="en-GB"/>
        </w:rPr>
        <w:t>Corinthia and Ibis differ in their approaches to CSR Corinthia focuses on brand-specific activities, highlighting innovation and major financial investments in sustainability and community relations. Ibis represents an established model across AccorHotels, thus assuring consistency but possibly restricting individual hotel contribution</w:t>
      </w:r>
      <w:r w:rsidR="007E6569" w:rsidRPr="008703CC">
        <w:rPr>
          <w:lang w:eastAsia="en-GB"/>
        </w:rPr>
        <w:t xml:space="preserve"> </w:t>
      </w:r>
      <w:r w:rsidR="007E6569" w:rsidRPr="008703CC">
        <w:t>(Cambon, 2023)</w:t>
      </w:r>
      <w:r w:rsidRPr="008703CC">
        <w:rPr>
          <w:lang w:eastAsia="en-GB"/>
        </w:rPr>
        <w:t>.</w:t>
      </w:r>
    </w:p>
    <w:p w14:paraId="00C44A4A" w14:textId="521DAB0B" w:rsidR="00284CFE" w:rsidRPr="008703CC" w:rsidRDefault="00284CFE" w:rsidP="00A148CB">
      <w:pPr>
        <w:rPr>
          <w:b/>
          <w:bCs/>
          <w:lang w:eastAsia="en-GB"/>
        </w:rPr>
      </w:pPr>
      <w:r w:rsidRPr="008703CC">
        <w:rPr>
          <w:b/>
          <w:bCs/>
          <w:lang w:eastAsia="en-GB"/>
        </w:rPr>
        <w:t>Evaluating Financial Commitment:</w:t>
      </w:r>
    </w:p>
    <w:p w14:paraId="0EBCD3EF" w14:textId="39DDB85A" w:rsidR="008703CC" w:rsidRDefault="00284CFE" w:rsidP="008703CC">
      <w:pPr>
        <w:rPr>
          <w:lang w:eastAsia="en-GB"/>
        </w:rPr>
      </w:pPr>
      <w:r w:rsidRPr="008703CC">
        <w:rPr>
          <w:lang w:eastAsia="en-GB"/>
        </w:rPr>
        <w:t>While specific financial figures for Ibis' CSR activities are unavailable, Corinthia's transparent investments in eco-friendly technologies and community programs point to a stronger financial commitment to CSR obj</w:t>
      </w:r>
      <w:bookmarkStart w:id="8" w:name="_Toc156071166"/>
      <w:r w:rsidR="008703CC">
        <w:rPr>
          <w:lang w:eastAsia="en-GB"/>
        </w:rPr>
        <w:t>.</w:t>
      </w:r>
    </w:p>
    <w:p w14:paraId="482E40D0" w14:textId="27D949AF" w:rsidR="008703CC" w:rsidRPr="008703CC" w:rsidRDefault="008703CC" w:rsidP="008703CC">
      <w:pPr>
        <w:keepNext/>
        <w:keepLines/>
        <w:spacing w:before="360" w:after="120"/>
        <w:outlineLvl w:val="0"/>
        <w:rPr>
          <w:rFonts w:ascii="Times New Roman" w:eastAsiaTheme="majorEastAsia" w:hAnsi="Times New Roman" w:cs="Times New Roman"/>
          <w:color w:val="2F5496" w:themeColor="accent1" w:themeShade="BF"/>
          <w:kern w:val="2"/>
          <w:sz w:val="32"/>
          <w:szCs w:val="24"/>
          <w14:ligatures w14:val="standardContextual"/>
        </w:rPr>
      </w:pPr>
      <w:r w:rsidRPr="008703CC">
        <w:rPr>
          <w:rFonts w:ascii="Times New Roman" w:eastAsiaTheme="majorEastAsia" w:hAnsi="Times New Roman" w:cs="Times New Roman"/>
          <w:color w:val="2F5496" w:themeColor="accent1" w:themeShade="BF"/>
          <w:kern w:val="2"/>
          <w:sz w:val="32"/>
          <w:szCs w:val="24"/>
          <w14:ligatures w14:val="standardContextual"/>
        </w:rPr>
        <w:lastRenderedPageBreak/>
        <w:t>Conclusion:</w:t>
      </w:r>
      <w:r>
        <w:rPr>
          <w:rFonts w:ascii="Times New Roman" w:eastAsiaTheme="majorEastAsia" w:hAnsi="Times New Roman" w:cs="Times New Roman"/>
          <w:color w:val="2F5496" w:themeColor="accent1" w:themeShade="BF"/>
          <w:kern w:val="2"/>
          <w:sz w:val="32"/>
          <w:szCs w:val="24"/>
          <w14:ligatures w14:val="standardContextual"/>
        </w:rPr>
        <w:t xml:space="preserve"> </w:t>
      </w:r>
      <w:r w:rsidRPr="008703CC">
        <w:t>In conclusion, comparing Corinthia and Ibis Hotels has shown their specific positions in the market and potential routes for development. Corinthia excels in luxury, an emphasis on high room rates and sustainability; Ibis positions itself as a chain of hotels with extensive networks but lower prices. These recommendations aim enhancing these strengths to ensure continuous growth and strong commitment towards corporate social responsibility in the dynamic world of hospitality.</w:t>
      </w:r>
    </w:p>
    <w:p w14:paraId="245CB75F" w14:textId="497C7F58" w:rsidR="00284CFE" w:rsidRPr="00284CFE" w:rsidRDefault="00284CFE" w:rsidP="00D72DC8">
      <w:pPr>
        <w:pStyle w:val="Heading1"/>
      </w:pPr>
      <w:r>
        <w:t>Recommendation</w:t>
      </w:r>
      <w:bookmarkEnd w:id="8"/>
    </w:p>
    <w:p w14:paraId="13F38EBB" w14:textId="77777777" w:rsidR="00284CFE" w:rsidRPr="00BB3190" w:rsidRDefault="00284CFE" w:rsidP="00BB3190">
      <w:pPr>
        <w:rPr>
          <w:b/>
          <w:bCs/>
          <w:lang w:eastAsia="en-GB"/>
        </w:rPr>
      </w:pPr>
      <w:r w:rsidRPr="00BB3190">
        <w:rPr>
          <w:b/>
          <w:bCs/>
          <w:lang w:eastAsia="en-GB"/>
        </w:rPr>
        <w:t>Corinthia Hotels:</w:t>
      </w:r>
    </w:p>
    <w:p w14:paraId="1C197E61" w14:textId="7EE6888E" w:rsidR="00A148CB" w:rsidRPr="00A148CB" w:rsidRDefault="00A148CB" w:rsidP="00BB3190">
      <w:pPr>
        <w:rPr>
          <w:lang w:eastAsia="en-GB"/>
        </w:rPr>
      </w:pPr>
      <w:r w:rsidRPr="00A148CB">
        <w:rPr>
          <w:lang w:eastAsia="en-GB"/>
        </w:rPr>
        <w:t>Expand Brand Experiences: Develop luxury travel experiences such as curated tours, private retreats and culinary events that leverage of the strong Corinthia brand beyond hotels</w:t>
      </w:r>
      <w:r w:rsidR="004F6F5A">
        <w:rPr>
          <w:lang w:eastAsia="en-GB"/>
        </w:rPr>
        <w:t xml:space="preserve"> </w:t>
      </w:r>
      <w:r w:rsidR="004F6F5A">
        <w:t>(Statista, 2023a)</w:t>
      </w:r>
      <w:r w:rsidRPr="00A148CB">
        <w:rPr>
          <w:lang w:eastAsia="en-GB"/>
        </w:rPr>
        <w:t>. This will diversify sources of income and enhance the exclusivity image. Evidence:</w:t>
      </w:r>
    </w:p>
    <w:p w14:paraId="19120B1C" w14:textId="77777777" w:rsidR="00A148CB" w:rsidRPr="00BB3190" w:rsidRDefault="00A148CB" w:rsidP="00BB3190">
      <w:pPr>
        <w:rPr>
          <w:b/>
          <w:bCs/>
          <w:lang w:eastAsia="en-GB"/>
        </w:rPr>
      </w:pPr>
      <w:r w:rsidRPr="00BB3190">
        <w:rPr>
          <w:b/>
          <w:bCs/>
          <w:lang w:eastAsia="en-GB"/>
        </w:rPr>
        <w:t>Ibis Hotels:</w:t>
      </w:r>
    </w:p>
    <w:p w14:paraId="6440E9AA" w14:textId="36A74AA5" w:rsidR="00A148CB" w:rsidRPr="00A148CB" w:rsidRDefault="00A148CB" w:rsidP="00BB3190">
      <w:pPr>
        <w:rPr>
          <w:lang w:eastAsia="en-GB"/>
        </w:rPr>
      </w:pPr>
      <w:r w:rsidRPr="00A148CB">
        <w:rPr>
          <w:lang w:eastAsia="en-GB"/>
        </w:rPr>
        <w:t>Franchisee Sustainability Partnership: Establish an incentive and support program for franchisees to take up sustainable practices. This may be financial incentives in the form of rebates for energy conservation efforts, waste reduction programs or green facilities</w:t>
      </w:r>
      <w:r w:rsidR="000D0E17">
        <w:rPr>
          <w:lang w:eastAsia="en-GB"/>
        </w:rPr>
        <w:t xml:space="preserve"> </w:t>
      </w:r>
      <w:r w:rsidR="000D0E17">
        <w:t xml:space="preserve">(Sota </w:t>
      </w:r>
      <w:r w:rsidR="000D0E17">
        <w:rPr>
          <w:i/>
          <w:iCs/>
        </w:rPr>
        <w:t>et al.</w:t>
      </w:r>
      <w:r w:rsidR="000D0E17">
        <w:t>, 2019)</w:t>
      </w:r>
      <w:r w:rsidRPr="00A148CB">
        <w:rPr>
          <w:lang w:eastAsia="en-GB"/>
        </w:rPr>
        <w:t>. Franchise model allows for rapid development but may impede centralised sustainability efforts.</w:t>
      </w:r>
    </w:p>
    <w:p w14:paraId="29511D50" w14:textId="77777777" w:rsidR="00A148CB" w:rsidRPr="00BB3190" w:rsidRDefault="00A148CB" w:rsidP="00BB3190">
      <w:pPr>
        <w:rPr>
          <w:b/>
          <w:bCs/>
          <w:lang w:eastAsia="en-GB"/>
        </w:rPr>
      </w:pPr>
      <w:r w:rsidRPr="00BB3190">
        <w:rPr>
          <w:b/>
          <w:bCs/>
          <w:lang w:eastAsia="en-GB"/>
        </w:rPr>
        <w:t>Justification:</w:t>
      </w:r>
    </w:p>
    <w:p w14:paraId="0233894C" w14:textId="1F8F9E2E" w:rsidR="00BB3190" w:rsidRDefault="00A148CB" w:rsidP="00BB3190">
      <w:pPr>
        <w:rPr>
          <w:lang w:eastAsia="en-GB"/>
        </w:rPr>
      </w:pPr>
      <w:r w:rsidRPr="00A148CB">
        <w:rPr>
          <w:lang w:eastAsia="en-GB"/>
        </w:rPr>
        <w:t>These recommendations deal with some of the key challenges mentioned in previous analysis. Brand extension is a valuable tool for Corinthia, as it not simply capitalizes on its existing strengths but diversifies the revenue and reduces reliance upon luxury markets</w:t>
      </w:r>
      <w:r w:rsidR="004F6F5A">
        <w:rPr>
          <w:lang w:eastAsia="en-GB"/>
        </w:rPr>
        <w:t xml:space="preserve"> </w:t>
      </w:r>
      <w:r w:rsidR="004F6F5A">
        <w:t>(Statista, 2023)</w:t>
      </w:r>
      <w:r w:rsidRPr="00A148CB">
        <w:rPr>
          <w:lang w:eastAsia="en-GB"/>
        </w:rPr>
        <w:t xml:space="preserve">. Incentivizing franchisees solves the problem of ensuring uniform sustainability practices throughout a large network for </w:t>
      </w:r>
      <w:r w:rsidR="00BB3190" w:rsidRPr="00A148CB">
        <w:rPr>
          <w:lang w:eastAsia="en-GB"/>
        </w:rPr>
        <w:t>Ibis.</w:t>
      </w:r>
      <w:r w:rsidRPr="00A148CB">
        <w:rPr>
          <w:lang w:eastAsia="en-GB"/>
        </w:rPr>
        <w:t xml:space="preserve"> Both recommendations support potential areas of growth while encouraging financial EC commitment to CSR.</w:t>
      </w:r>
    </w:p>
    <w:p w14:paraId="4B60CD1C" w14:textId="3FB58961" w:rsidR="004F6F5A" w:rsidRDefault="004F6F5A" w:rsidP="00BB3190"/>
    <w:p w14:paraId="32642B00" w14:textId="47D273E5" w:rsidR="004F6F5A" w:rsidRDefault="004F6F5A" w:rsidP="00BB3190"/>
    <w:p w14:paraId="6FB4EA4F" w14:textId="0A8DDBE7" w:rsidR="004F6F5A" w:rsidRDefault="004F6F5A" w:rsidP="00BB3190"/>
    <w:p w14:paraId="741E4EA4" w14:textId="57AA56D3" w:rsidR="004F6F5A" w:rsidRDefault="004F6F5A" w:rsidP="004F6F5A">
      <w:pPr>
        <w:pStyle w:val="Heading1"/>
        <w:spacing w:before="0" w:after="240"/>
        <w:rPr>
          <w:sz w:val="36"/>
          <w:szCs w:val="36"/>
        </w:rPr>
      </w:pPr>
      <w:bookmarkStart w:id="9" w:name="_Toc156071168"/>
      <w:r>
        <w:rPr>
          <w:sz w:val="36"/>
          <w:szCs w:val="36"/>
        </w:rPr>
        <w:t>Reference list:</w:t>
      </w:r>
      <w:bookmarkEnd w:id="9"/>
    </w:p>
    <w:p w14:paraId="49BBD360" w14:textId="73F5C83E" w:rsidR="004F6F5A" w:rsidRDefault="004F6F5A" w:rsidP="009B0C2F">
      <w:pPr>
        <w:pStyle w:val="NormalWeb"/>
        <w:spacing w:before="0" w:beforeAutospacing="0" w:after="240" w:afterAutospacing="0" w:line="360" w:lineRule="auto"/>
      </w:pPr>
      <w:r>
        <w:t xml:space="preserve">Cambon, A. (2023) Full-Year 2022 Results Solid and sustainable rebound in activity in 2022. </w:t>
      </w:r>
      <w:r>
        <w:rPr>
          <w:i/>
          <w:iCs/>
        </w:rPr>
        <w:t>Accor – Newsroom</w:t>
      </w:r>
      <w:r>
        <w:t>. [online]. Available from: https://press.accor.com/full-year-2022-resultssolid-and-sustainable-reboundin-activity-in-2022sustainable-revpar-recovery-above-pre-pandemic-levelfy-2023-group-revpar-expected-up-between-5-and-9-lfl-yoy-return-of/?lang=en [Accessed January 13, 2024].</w:t>
      </w:r>
    </w:p>
    <w:p w14:paraId="370FEC48" w14:textId="0D48B04C" w:rsidR="000D0E17" w:rsidRDefault="000D0E17" w:rsidP="009B0C2F">
      <w:pPr>
        <w:pStyle w:val="NormalWeb"/>
        <w:spacing w:before="0" w:beforeAutospacing="0" w:after="240" w:afterAutospacing="0" w:line="360" w:lineRule="auto"/>
      </w:pPr>
      <w:r>
        <w:t xml:space="preserve">Cerchione, R., Bansal, H. (2019) Measuring the impact of sustainability policy and practices in tourism and hospitality industry. </w:t>
      </w:r>
      <w:r>
        <w:rPr>
          <w:i/>
          <w:iCs/>
        </w:rPr>
        <w:t>Business Strategy and the Environment</w:t>
      </w:r>
      <w:r>
        <w:t xml:space="preserve">. </w:t>
      </w:r>
      <w:r>
        <w:rPr>
          <w:b/>
          <w:bCs/>
        </w:rPr>
        <w:t>29</w:t>
      </w:r>
      <w:r>
        <w:t>(3).</w:t>
      </w:r>
    </w:p>
    <w:p w14:paraId="38A01A91" w14:textId="468B5620" w:rsidR="000D0E17" w:rsidRDefault="000D0E17" w:rsidP="009B0C2F">
      <w:pPr>
        <w:pStyle w:val="NormalWeb"/>
        <w:spacing w:before="0" w:beforeAutospacing="0" w:after="240" w:afterAutospacing="0" w:line="360" w:lineRule="auto"/>
      </w:pPr>
      <w:r>
        <w:t xml:space="preserve">Franco, S., Caroli, M.G., Cappa, F., Del Chiappa, G. (2019) Are you good enough? CSR, quality management and corporate financial performance in the hospitality industry. </w:t>
      </w:r>
      <w:r>
        <w:rPr>
          <w:i/>
          <w:iCs/>
        </w:rPr>
        <w:t>International Journal of Hospitality Management</w:t>
      </w:r>
      <w:r>
        <w:t xml:space="preserve">. </w:t>
      </w:r>
      <w:r>
        <w:rPr>
          <w:b/>
          <w:bCs/>
        </w:rPr>
        <w:t>88</w:t>
      </w:r>
      <w:r>
        <w:t>, 102395.</w:t>
      </w:r>
    </w:p>
    <w:p w14:paraId="6A73D287" w14:textId="65EDBDEA" w:rsidR="000D0E17" w:rsidRDefault="000D0E17" w:rsidP="009B0C2F">
      <w:pPr>
        <w:pStyle w:val="NormalWeb"/>
        <w:spacing w:before="0" w:beforeAutospacing="0" w:after="240" w:afterAutospacing="0" w:line="360" w:lineRule="auto"/>
      </w:pPr>
      <w:r>
        <w:t xml:space="preserve">García-Gómez, C.D., Demir, E., Díez-Esteban, J.M., Popesko, B. (2023) Investment inefficiency in the hospitality industry: The role of economic policy uncertainty. </w:t>
      </w:r>
      <w:r>
        <w:rPr>
          <w:i/>
          <w:iCs/>
        </w:rPr>
        <w:t>Journal of Hospitality and Tourism Management</w:t>
      </w:r>
      <w:r>
        <w:t xml:space="preserve">. </w:t>
      </w:r>
      <w:r>
        <w:rPr>
          <w:b/>
          <w:bCs/>
        </w:rPr>
        <w:t>54</w:t>
      </w:r>
      <w:r>
        <w:t>, 383–391.</w:t>
      </w:r>
    </w:p>
    <w:p w14:paraId="45A8F5FF" w14:textId="1186D929" w:rsidR="004F6F5A" w:rsidRDefault="004F6F5A" w:rsidP="009B0C2F">
      <w:pPr>
        <w:pStyle w:val="NormalWeb"/>
        <w:spacing w:before="0" w:beforeAutospacing="0" w:after="240" w:afterAutospacing="0" w:line="360" w:lineRule="auto"/>
      </w:pPr>
      <w:r>
        <w:t xml:space="preserve">Hayes, D.K., Miller, A.A. (2011) </w:t>
      </w:r>
      <w:r>
        <w:rPr>
          <w:i/>
          <w:iCs/>
        </w:rPr>
        <w:t>Revenue management for the hospitality industry</w:t>
      </w:r>
      <w:r>
        <w:t>. Hoboken, N.J.: Wiley.</w:t>
      </w:r>
    </w:p>
    <w:p w14:paraId="0CF217BA" w14:textId="292A4A7F" w:rsidR="004F6F5A" w:rsidRDefault="004F6F5A" w:rsidP="009B0C2F">
      <w:pPr>
        <w:pStyle w:val="NormalWeb"/>
        <w:spacing w:before="0" w:beforeAutospacing="0" w:after="240" w:afterAutospacing="0" w:line="360" w:lineRule="auto"/>
      </w:pPr>
      <w:r>
        <w:t xml:space="preserve">Hung, W.-T., Shang, J.-K., Wang, F.-C. (2010) Pricing determinants in the hotel industry: Quantile regression analysis. </w:t>
      </w:r>
      <w:r>
        <w:rPr>
          <w:i/>
          <w:iCs/>
        </w:rPr>
        <w:t>International Journal of Hospitality Management</w:t>
      </w:r>
      <w:r>
        <w:t xml:space="preserve">. </w:t>
      </w:r>
      <w:r>
        <w:rPr>
          <w:b/>
          <w:bCs/>
        </w:rPr>
        <w:t>29</w:t>
      </w:r>
      <w:r>
        <w:t>(3), 378–384.</w:t>
      </w:r>
    </w:p>
    <w:p w14:paraId="5678A541" w14:textId="1B0EC690" w:rsidR="000D0E17" w:rsidRDefault="000D0E17" w:rsidP="009B0C2F">
      <w:pPr>
        <w:pStyle w:val="NormalWeb"/>
        <w:spacing w:before="0" w:beforeAutospacing="0" w:after="240" w:afterAutospacing="0" w:line="360" w:lineRule="auto"/>
      </w:pPr>
      <w:r>
        <w:t xml:space="preserve">IOVU, C. (2022) Risk Management Associated with Hospitality Industry. </w:t>
      </w:r>
      <w:r>
        <w:rPr>
          <w:i/>
          <w:iCs/>
        </w:rPr>
        <w:t>Annals of Dunarea de Jos University of Galati. Fascicle I. Economics and Applied Informatics</w:t>
      </w:r>
      <w:r>
        <w:t xml:space="preserve">. </w:t>
      </w:r>
      <w:r>
        <w:rPr>
          <w:b/>
          <w:bCs/>
        </w:rPr>
        <w:t>28</w:t>
      </w:r>
      <w:r>
        <w:t>(1), 51–60.</w:t>
      </w:r>
    </w:p>
    <w:p w14:paraId="20E44AEC" w14:textId="6E2740A8" w:rsidR="000D0E17" w:rsidRDefault="000D0E17" w:rsidP="009B0C2F">
      <w:pPr>
        <w:pStyle w:val="NormalWeb"/>
        <w:spacing w:before="0" w:beforeAutospacing="0" w:after="240" w:afterAutospacing="0" w:line="360" w:lineRule="auto"/>
      </w:pPr>
      <w:r>
        <w:t xml:space="preserve">Marneros, S., Papageorgiou, G., Efstathiades, A. (2020) Identifying key success competencies for the hospitality industry: the perspectives of professionals. </w:t>
      </w:r>
      <w:r>
        <w:rPr>
          <w:i/>
          <w:iCs/>
        </w:rPr>
        <w:t>Journal of Teaching in Travel &amp; Tourism</w:t>
      </w:r>
      <w:r>
        <w:t xml:space="preserve">. </w:t>
      </w:r>
      <w:r>
        <w:rPr>
          <w:b/>
          <w:bCs/>
        </w:rPr>
        <w:t>20</w:t>
      </w:r>
      <w:r>
        <w:t>(4), 1–25.</w:t>
      </w:r>
    </w:p>
    <w:p w14:paraId="0B751AC9" w14:textId="73DD9946" w:rsidR="000D0E17" w:rsidRDefault="000D0E17" w:rsidP="009B0C2F">
      <w:pPr>
        <w:pStyle w:val="NormalWeb"/>
        <w:spacing w:before="0" w:beforeAutospacing="0" w:after="240" w:afterAutospacing="0" w:line="360" w:lineRule="auto"/>
      </w:pPr>
      <w:r>
        <w:lastRenderedPageBreak/>
        <w:t xml:space="preserve">Motta, V., Sharma, A. (2019) Lending technologies and access to finance for SMEs in the hospitality industry. </w:t>
      </w:r>
      <w:r>
        <w:rPr>
          <w:i/>
          <w:iCs/>
        </w:rPr>
        <w:t>International Journal of Hospitality Management</w:t>
      </w:r>
      <w:r>
        <w:t>, 102371.</w:t>
      </w:r>
    </w:p>
    <w:p w14:paraId="174E16C2" w14:textId="349F59C7" w:rsidR="000D0E17" w:rsidRDefault="000D0E17" w:rsidP="009B0C2F">
      <w:pPr>
        <w:pStyle w:val="NormalWeb"/>
        <w:spacing w:before="0" w:beforeAutospacing="0" w:after="240" w:afterAutospacing="0" w:line="360" w:lineRule="auto"/>
      </w:pPr>
      <w:r>
        <w:t xml:space="preserve">Mueller, A., Sensini, L. (2021) Determinants of Financing Decisions of SMEs: Evidence from Hotel Industry. </w:t>
      </w:r>
      <w:r>
        <w:rPr>
          <w:i/>
          <w:iCs/>
        </w:rPr>
        <w:t>International Journal of Business and Management</w:t>
      </w:r>
      <w:r>
        <w:t xml:space="preserve">. </w:t>
      </w:r>
      <w:r>
        <w:rPr>
          <w:b/>
          <w:bCs/>
        </w:rPr>
        <w:t>16</w:t>
      </w:r>
      <w:r>
        <w:t>(3), 117.</w:t>
      </w:r>
    </w:p>
    <w:p w14:paraId="3E84FE02" w14:textId="70CA3B53" w:rsidR="004F6F5A" w:rsidRDefault="004F6F5A" w:rsidP="009B0C2F">
      <w:pPr>
        <w:pStyle w:val="NormalWeb"/>
        <w:spacing w:before="0" w:beforeAutospacing="0" w:after="240" w:afterAutospacing="0" w:line="360" w:lineRule="auto"/>
      </w:pPr>
      <w:r>
        <w:t xml:space="preserve">Nieves, J., Segarra-Ciprés, M. (2015) Management innovation in the hotel industry. </w:t>
      </w:r>
      <w:r>
        <w:rPr>
          <w:i/>
          <w:iCs/>
        </w:rPr>
        <w:t>Tourism Management</w:t>
      </w:r>
      <w:r>
        <w:t xml:space="preserve">. </w:t>
      </w:r>
      <w:r>
        <w:rPr>
          <w:b/>
          <w:bCs/>
        </w:rPr>
        <w:t>46</w:t>
      </w:r>
      <w:r>
        <w:t>, 51–58.</w:t>
      </w:r>
    </w:p>
    <w:p w14:paraId="1952D9E3" w14:textId="38151017" w:rsidR="000D0E17" w:rsidRDefault="000D0E17" w:rsidP="009B0C2F">
      <w:pPr>
        <w:pStyle w:val="NormalWeb"/>
        <w:spacing w:before="0" w:beforeAutospacing="0" w:after="240" w:afterAutospacing="0" w:line="360" w:lineRule="auto"/>
      </w:pPr>
      <w:r>
        <w:t xml:space="preserve">Sikveland, M., Xie, J., Zhang, D. (2022) Determinants of capital structure in the hospitality industry: Impact of clustering and seasonality on debt and liquidity. </w:t>
      </w:r>
      <w:r>
        <w:rPr>
          <w:i/>
          <w:iCs/>
        </w:rPr>
        <w:t>International Journal of Hospitality Management</w:t>
      </w:r>
      <w:r>
        <w:t xml:space="preserve">. </w:t>
      </w:r>
      <w:r>
        <w:rPr>
          <w:b/>
          <w:bCs/>
        </w:rPr>
        <w:t>102</w:t>
      </w:r>
      <w:r>
        <w:t>, 103172.</w:t>
      </w:r>
    </w:p>
    <w:p w14:paraId="1B17129B" w14:textId="47B2755A" w:rsidR="008A31D3" w:rsidRDefault="008A31D3" w:rsidP="009B0C2F">
      <w:pPr>
        <w:pStyle w:val="NormalWeb"/>
        <w:spacing w:before="0" w:beforeAutospacing="0" w:after="240" w:afterAutospacing="0" w:line="360" w:lineRule="auto"/>
      </w:pPr>
      <w:r>
        <w:t xml:space="preserve">Sota, S., Chaudhry, H., Srivastava, M.K. (2019) Customer relationship management research in hospitality industry: a review and classification. </w:t>
      </w:r>
      <w:r>
        <w:rPr>
          <w:i/>
          <w:iCs/>
        </w:rPr>
        <w:t>Journal of Hospitality Marketing &amp; Management</w:t>
      </w:r>
      <w:r>
        <w:t xml:space="preserve">. </w:t>
      </w:r>
      <w:r>
        <w:rPr>
          <w:b/>
          <w:bCs/>
        </w:rPr>
        <w:t>29</w:t>
      </w:r>
      <w:r>
        <w:t>(1), 1–26.</w:t>
      </w:r>
    </w:p>
    <w:p w14:paraId="7843442E" w14:textId="6E9DB4B3" w:rsidR="000D0E17" w:rsidRDefault="000D0E17" w:rsidP="009B0C2F">
      <w:pPr>
        <w:pStyle w:val="NormalWeb"/>
        <w:spacing w:before="0" w:beforeAutospacing="0" w:after="240" w:afterAutospacing="0" w:line="360" w:lineRule="auto"/>
      </w:pPr>
      <w:r>
        <w:t xml:space="preserve">Sukach, O., Kozlovska, S., Sushko, N. (2021) MODERN MANAGEMENT TECHNOLOGIES IN THE HOSPITALITY INDUSTRY. </w:t>
      </w:r>
      <w:r>
        <w:rPr>
          <w:i/>
          <w:iCs/>
        </w:rPr>
        <w:t>Baltic Journal of Economic Studies</w:t>
      </w:r>
      <w:r>
        <w:t xml:space="preserve">. </w:t>
      </w:r>
      <w:r>
        <w:rPr>
          <w:b/>
          <w:bCs/>
        </w:rPr>
        <w:t>7</w:t>
      </w:r>
      <w:r>
        <w:t>(3), 168–176.</w:t>
      </w:r>
    </w:p>
    <w:p w14:paraId="0F11587D" w14:textId="77777777" w:rsidR="004F6F5A" w:rsidRDefault="004F6F5A" w:rsidP="009B0C2F">
      <w:pPr>
        <w:pStyle w:val="NormalWeb"/>
        <w:spacing w:before="0" w:beforeAutospacing="0" w:after="240" w:afterAutospacing="0" w:line="360" w:lineRule="auto"/>
      </w:pPr>
      <w:r>
        <w:t xml:space="preserve">Statista (2023a) Hotel and Resort Industry Market Size Worldwide 2020. </w:t>
      </w:r>
      <w:r>
        <w:rPr>
          <w:i/>
          <w:iCs/>
        </w:rPr>
        <w:t>Statista</w:t>
      </w:r>
      <w:r>
        <w:t>. [online]. Available from: https://www.statista.com/statistics/1186201/hotel-and-resort-industry-market-size-global/ [Accessed January 13, 2024].</w:t>
      </w:r>
    </w:p>
    <w:p w14:paraId="277C6B02" w14:textId="77777777" w:rsidR="004F6F5A" w:rsidRDefault="004F6F5A" w:rsidP="009B0C2F">
      <w:pPr>
        <w:pStyle w:val="NormalWeb"/>
        <w:spacing w:before="0" w:beforeAutospacing="0" w:after="240" w:afterAutospacing="0" w:line="360" w:lineRule="auto"/>
      </w:pPr>
      <w:r>
        <w:t xml:space="preserve">Statista (2023b) Luxury hotel supply worldwide 2023. </w:t>
      </w:r>
      <w:r>
        <w:rPr>
          <w:i/>
          <w:iCs/>
        </w:rPr>
        <w:t>Statista</w:t>
      </w:r>
      <w:r>
        <w:t>. [online]. Available from: https://www.statista.com/statistics/1414445/luxury-hotel-supply-worldwide-forecast/ [Accessed January 13, 2024].</w:t>
      </w:r>
    </w:p>
    <w:p w14:paraId="6B21FD05" w14:textId="77777777" w:rsidR="004F6F5A" w:rsidRDefault="004F6F5A" w:rsidP="009B0C2F">
      <w:pPr>
        <w:pStyle w:val="NormalWeb"/>
        <w:spacing w:before="0" w:beforeAutospacing="0" w:after="240" w:afterAutospacing="0" w:line="360" w:lineRule="auto"/>
      </w:pPr>
      <w:r>
        <w:t xml:space="preserve">www.corinthiagroup.com (2023) Corinthia Group - Owners, Developers &amp; Operators of the Corinthia Hotels and Real Estate Brand. </w:t>
      </w:r>
      <w:r>
        <w:rPr>
          <w:i/>
          <w:iCs/>
        </w:rPr>
        <w:t>www.corinthiagroup.com</w:t>
      </w:r>
      <w:r>
        <w:t>. [online]. Available from: https://www.corinthiagroup.com/ [Accessed January 13, 2024].</w:t>
      </w:r>
    </w:p>
    <w:p w14:paraId="7901D608" w14:textId="0F09E7EB" w:rsidR="008A31D3" w:rsidRDefault="004F6F5A" w:rsidP="009B0C2F">
      <w:pPr>
        <w:pStyle w:val="NormalWeb"/>
        <w:spacing w:before="0" w:beforeAutospacing="0" w:after="240" w:afterAutospacing="0" w:line="360" w:lineRule="auto"/>
      </w:pPr>
      <w:r>
        <w:t xml:space="preserve">www.corinthiagroup.com/investors/financial-report (2019) Financial Reports | Corinthia Group - Owners, Developers &amp; Operators of the Corinthia Hotels and Real Estate Brand. </w:t>
      </w:r>
      <w:r>
        <w:rPr>
          <w:i/>
          <w:iCs/>
        </w:rPr>
        <w:lastRenderedPageBreak/>
        <w:t>Corinthiagroup.com</w:t>
      </w:r>
      <w:r>
        <w:t>. [online]. Available from: https://www.corinthiagroup.com/investors/financial-report/ [Accessed January 13, 2024].</w:t>
      </w:r>
    </w:p>
    <w:p w14:paraId="6FFA865F" w14:textId="57A2DFC9" w:rsidR="008A31D3" w:rsidRDefault="008A31D3" w:rsidP="009B0C2F">
      <w:pPr>
        <w:pStyle w:val="NormalWeb"/>
        <w:spacing w:before="0" w:beforeAutospacing="0" w:after="240" w:afterAutospacing="0" w:line="360" w:lineRule="auto"/>
      </w:pPr>
      <w:r>
        <w:t xml:space="preserve">Walker, J.R. (2017) </w:t>
      </w:r>
      <w:r>
        <w:rPr>
          <w:i/>
          <w:iCs/>
        </w:rPr>
        <w:t>Introduction to hospitality management</w:t>
      </w:r>
      <w:r>
        <w:t>. Boston: Pearson.</w:t>
      </w:r>
    </w:p>
    <w:p w14:paraId="53D1038F" w14:textId="77777777" w:rsidR="000D0E17" w:rsidRDefault="000D0E17" w:rsidP="009B0C2F">
      <w:pPr>
        <w:pStyle w:val="NormalWeb"/>
        <w:spacing w:before="0" w:beforeAutospacing="0" w:after="240" w:afterAutospacing="0" w:line="360" w:lineRule="auto"/>
      </w:pPr>
      <w:r>
        <w:t xml:space="preserve">Wang, Y., Chen, C.R., Huang, Y.S. (2014) Economic policy uncertainty and corporate investment: Evidence from China. </w:t>
      </w:r>
      <w:r>
        <w:rPr>
          <w:i/>
          <w:iCs/>
        </w:rPr>
        <w:t>Pacific-Basin Finance Journal</w:t>
      </w:r>
      <w:r>
        <w:t xml:space="preserve">. </w:t>
      </w:r>
      <w:r>
        <w:rPr>
          <w:b/>
          <w:bCs/>
        </w:rPr>
        <w:t>26</w:t>
      </w:r>
      <w:r>
        <w:t>, 227–243.</w:t>
      </w:r>
    </w:p>
    <w:p w14:paraId="24405A32" w14:textId="77777777" w:rsidR="000D0E17" w:rsidRDefault="000D0E17" w:rsidP="009B0C2F">
      <w:pPr>
        <w:pStyle w:val="NormalWeb"/>
        <w:spacing w:before="0" w:beforeAutospacing="0" w:after="240" w:afterAutospacing="0" w:line="360" w:lineRule="auto"/>
        <w:ind w:left="360"/>
      </w:pPr>
    </w:p>
    <w:p w14:paraId="5DDFE8F0" w14:textId="563875E2" w:rsidR="004F6F5A" w:rsidRDefault="004F6F5A" w:rsidP="009B0C2F"/>
    <w:p w14:paraId="2EE3C653" w14:textId="77777777" w:rsidR="000D0E17" w:rsidRDefault="000D0E17" w:rsidP="00BB3190"/>
    <w:sectPr w:rsidR="000D0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E28"/>
    <w:multiLevelType w:val="multilevel"/>
    <w:tmpl w:val="126C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002D1"/>
    <w:multiLevelType w:val="hybridMultilevel"/>
    <w:tmpl w:val="6164B61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0C215C"/>
    <w:multiLevelType w:val="multilevel"/>
    <w:tmpl w:val="FEC0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871659"/>
    <w:multiLevelType w:val="multilevel"/>
    <w:tmpl w:val="1E18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884FF5"/>
    <w:multiLevelType w:val="multilevel"/>
    <w:tmpl w:val="7698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483980">
    <w:abstractNumId w:val="4"/>
  </w:num>
  <w:num w:numId="2" w16cid:durableId="1260717312">
    <w:abstractNumId w:val="2"/>
  </w:num>
  <w:num w:numId="3" w16cid:durableId="685138335">
    <w:abstractNumId w:val="3"/>
  </w:num>
  <w:num w:numId="4" w16cid:durableId="1832330990">
    <w:abstractNumId w:val="0"/>
  </w:num>
  <w:num w:numId="5" w16cid:durableId="201787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CFE"/>
    <w:rsid w:val="000209F9"/>
    <w:rsid w:val="000D0E17"/>
    <w:rsid w:val="000F5397"/>
    <w:rsid w:val="00133E6D"/>
    <w:rsid w:val="00171B01"/>
    <w:rsid w:val="00192F6A"/>
    <w:rsid w:val="00284CFE"/>
    <w:rsid w:val="00330CCE"/>
    <w:rsid w:val="00467740"/>
    <w:rsid w:val="004F6F5A"/>
    <w:rsid w:val="0058599E"/>
    <w:rsid w:val="005F7086"/>
    <w:rsid w:val="0064308C"/>
    <w:rsid w:val="00730722"/>
    <w:rsid w:val="0075420B"/>
    <w:rsid w:val="007E6569"/>
    <w:rsid w:val="00841FF8"/>
    <w:rsid w:val="008703CC"/>
    <w:rsid w:val="00896DF3"/>
    <w:rsid w:val="008A31D3"/>
    <w:rsid w:val="00917048"/>
    <w:rsid w:val="009B0C2F"/>
    <w:rsid w:val="00A07446"/>
    <w:rsid w:val="00A148CB"/>
    <w:rsid w:val="00A904FC"/>
    <w:rsid w:val="00A913AB"/>
    <w:rsid w:val="00B1333C"/>
    <w:rsid w:val="00B54388"/>
    <w:rsid w:val="00B5696A"/>
    <w:rsid w:val="00BA506A"/>
    <w:rsid w:val="00BB3190"/>
    <w:rsid w:val="00C453FA"/>
    <w:rsid w:val="00D72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0A1F"/>
  <w15:chartTrackingRefBased/>
  <w15:docId w15:val="{2B3DD8D8-B19C-405E-A712-43B7E163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3CC"/>
    <w:pPr>
      <w:spacing w:line="360" w:lineRule="auto"/>
      <w:jc w:val="both"/>
    </w:pPr>
    <w:rPr>
      <w:kern w:val="0"/>
      <w:sz w:val="24"/>
      <w:lang w:val="en-GB"/>
      <w14:ligatures w14:val="none"/>
    </w:rPr>
  </w:style>
  <w:style w:type="paragraph" w:styleId="Heading1">
    <w:name w:val="heading 1"/>
    <w:basedOn w:val="Normal"/>
    <w:next w:val="Normal"/>
    <w:link w:val="Heading1Char"/>
    <w:autoRedefine/>
    <w:uiPriority w:val="9"/>
    <w:qFormat/>
    <w:rsid w:val="00917048"/>
    <w:pPr>
      <w:keepNext/>
      <w:keepLines/>
      <w:spacing w:before="360" w:after="120"/>
      <w:outlineLvl w:val="0"/>
    </w:pPr>
    <w:rPr>
      <w:rFonts w:ascii="Times New Roman" w:eastAsiaTheme="majorEastAsia" w:hAnsi="Times New Roman" w:cs="Times New Roman"/>
      <w:color w:val="2F5496" w:themeColor="accent1" w:themeShade="BF"/>
      <w:kern w:val="2"/>
      <w:sz w:val="32"/>
      <w:szCs w:val="24"/>
      <w14:ligatures w14:val="standardContextual"/>
    </w:rPr>
  </w:style>
  <w:style w:type="paragraph" w:styleId="Heading2">
    <w:name w:val="heading 2"/>
    <w:basedOn w:val="Normal"/>
    <w:next w:val="Normal"/>
    <w:link w:val="Heading2Char"/>
    <w:autoRedefine/>
    <w:uiPriority w:val="9"/>
    <w:unhideWhenUsed/>
    <w:qFormat/>
    <w:rsid w:val="00917048"/>
    <w:pPr>
      <w:keepNext/>
      <w:keepLines/>
      <w:spacing w:before="160" w:after="120"/>
      <w:outlineLvl w:val="1"/>
    </w:pPr>
    <w:rPr>
      <w:rFonts w:ascii="Times New Roman" w:eastAsiaTheme="majorEastAsia" w:hAnsi="Times New Roman" w:cs="Times New Roman"/>
      <w:color w:val="2F5496" w:themeColor="accent1" w:themeShade="BF"/>
      <w:kern w:val="2"/>
      <w:sz w:val="28"/>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048"/>
    <w:rPr>
      <w:rFonts w:ascii="Times New Roman" w:eastAsiaTheme="majorEastAsia" w:hAnsi="Times New Roman" w:cs="Times New Roman"/>
      <w:color w:val="2F5496" w:themeColor="accent1" w:themeShade="BF"/>
      <w:sz w:val="32"/>
      <w:szCs w:val="24"/>
      <w:lang w:val="en-GB"/>
    </w:rPr>
  </w:style>
  <w:style w:type="character" w:customStyle="1" w:styleId="Heading2Char">
    <w:name w:val="Heading 2 Char"/>
    <w:basedOn w:val="DefaultParagraphFont"/>
    <w:link w:val="Heading2"/>
    <w:uiPriority w:val="9"/>
    <w:rsid w:val="00917048"/>
    <w:rPr>
      <w:rFonts w:ascii="Times New Roman" w:eastAsiaTheme="majorEastAsia" w:hAnsi="Times New Roman" w:cs="Times New Roman"/>
      <w:color w:val="2F5496" w:themeColor="accent1" w:themeShade="BF"/>
      <w:sz w:val="28"/>
      <w:szCs w:val="24"/>
      <w:lang w:val="en-GB"/>
    </w:rPr>
  </w:style>
  <w:style w:type="paragraph" w:styleId="NormalWeb">
    <w:name w:val="Normal (Web)"/>
    <w:basedOn w:val="Normal"/>
    <w:uiPriority w:val="99"/>
    <w:unhideWhenUsed/>
    <w:rsid w:val="00284CFE"/>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284CFE"/>
    <w:rPr>
      <w:b/>
      <w:bCs/>
    </w:rPr>
  </w:style>
  <w:style w:type="paragraph" w:styleId="TOCHeading">
    <w:name w:val="TOC Heading"/>
    <w:basedOn w:val="Heading1"/>
    <w:next w:val="Normal"/>
    <w:uiPriority w:val="39"/>
    <w:unhideWhenUsed/>
    <w:qFormat/>
    <w:rsid w:val="00A148CB"/>
    <w:pPr>
      <w:spacing w:before="240" w:after="0" w:line="259" w:lineRule="auto"/>
      <w:jc w:val="left"/>
      <w:outlineLvl w:val="9"/>
    </w:pPr>
    <w:rPr>
      <w:rFonts w:asciiTheme="majorHAnsi" w:hAnsiTheme="majorHAnsi" w:cstheme="majorBidi"/>
      <w:kern w:val="0"/>
      <w:szCs w:val="32"/>
      <w:lang w:val="en-US"/>
      <w14:ligatures w14:val="none"/>
    </w:rPr>
  </w:style>
  <w:style w:type="paragraph" w:styleId="TOC1">
    <w:name w:val="toc 1"/>
    <w:basedOn w:val="Normal"/>
    <w:next w:val="Normal"/>
    <w:autoRedefine/>
    <w:uiPriority w:val="39"/>
    <w:unhideWhenUsed/>
    <w:rsid w:val="00A148CB"/>
    <w:pPr>
      <w:spacing w:after="100"/>
    </w:pPr>
  </w:style>
  <w:style w:type="paragraph" w:styleId="TOC2">
    <w:name w:val="toc 2"/>
    <w:basedOn w:val="Normal"/>
    <w:next w:val="Normal"/>
    <w:autoRedefine/>
    <w:uiPriority w:val="39"/>
    <w:unhideWhenUsed/>
    <w:rsid w:val="00A148CB"/>
    <w:pPr>
      <w:spacing w:after="100"/>
      <w:ind w:left="240"/>
    </w:pPr>
  </w:style>
  <w:style w:type="character" w:styleId="Hyperlink">
    <w:name w:val="Hyperlink"/>
    <w:basedOn w:val="DefaultParagraphFont"/>
    <w:uiPriority w:val="99"/>
    <w:unhideWhenUsed/>
    <w:rsid w:val="00A148CB"/>
    <w:rPr>
      <w:color w:val="0563C1" w:themeColor="hyperlink"/>
      <w:u w:val="single"/>
    </w:rPr>
  </w:style>
  <w:style w:type="paragraph" w:styleId="ListParagraph">
    <w:name w:val="List Paragraph"/>
    <w:basedOn w:val="Normal"/>
    <w:uiPriority w:val="34"/>
    <w:qFormat/>
    <w:rsid w:val="008A3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1924">
      <w:bodyDiv w:val="1"/>
      <w:marLeft w:val="0"/>
      <w:marRight w:val="0"/>
      <w:marTop w:val="0"/>
      <w:marBottom w:val="0"/>
      <w:divBdr>
        <w:top w:val="none" w:sz="0" w:space="0" w:color="auto"/>
        <w:left w:val="none" w:sz="0" w:space="0" w:color="auto"/>
        <w:bottom w:val="none" w:sz="0" w:space="0" w:color="auto"/>
        <w:right w:val="none" w:sz="0" w:space="0" w:color="auto"/>
      </w:divBdr>
      <w:divsChild>
        <w:div w:id="16544659">
          <w:marLeft w:val="0"/>
          <w:marRight w:val="0"/>
          <w:marTop w:val="0"/>
          <w:marBottom w:val="0"/>
          <w:divBdr>
            <w:top w:val="none" w:sz="0" w:space="0" w:color="auto"/>
            <w:left w:val="none" w:sz="0" w:space="0" w:color="auto"/>
            <w:bottom w:val="none" w:sz="0" w:space="0" w:color="auto"/>
            <w:right w:val="none" w:sz="0" w:space="0" w:color="auto"/>
          </w:divBdr>
        </w:div>
      </w:divsChild>
    </w:div>
    <w:div w:id="200671580">
      <w:bodyDiv w:val="1"/>
      <w:marLeft w:val="0"/>
      <w:marRight w:val="0"/>
      <w:marTop w:val="0"/>
      <w:marBottom w:val="0"/>
      <w:divBdr>
        <w:top w:val="none" w:sz="0" w:space="0" w:color="auto"/>
        <w:left w:val="none" w:sz="0" w:space="0" w:color="auto"/>
        <w:bottom w:val="none" w:sz="0" w:space="0" w:color="auto"/>
        <w:right w:val="none" w:sz="0" w:space="0" w:color="auto"/>
      </w:divBdr>
      <w:divsChild>
        <w:div w:id="926301806">
          <w:marLeft w:val="0"/>
          <w:marRight w:val="0"/>
          <w:marTop w:val="0"/>
          <w:marBottom w:val="0"/>
          <w:divBdr>
            <w:top w:val="none" w:sz="0" w:space="0" w:color="auto"/>
            <w:left w:val="none" w:sz="0" w:space="0" w:color="auto"/>
            <w:bottom w:val="none" w:sz="0" w:space="0" w:color="auto"/>
            <w:right w:val="none" w:sz="0" w:space="0" w:color="auto"/>
          </w:divBdr>
        </w:div>
      </w:divsChild>
    </w:div>
    <w:div w:id="671680805">
      <w:bodyDiv w:val="1"/>
      <w:marLeft w:val="0"/>
      <w:marRight w:val="0"/>
      <w:marTop w:val="0"/>
      <w:marBottom w:val="0"/>
      <w:divBdr>
        <w:top w:val="none" w:sz="0" w:space="0" w:color="auto"/>
        <w:left w:val="none" w:sz="0" w:space="0" w:color="auto"/>
        <w:bottom w:val="none" w:sz="0" w:space="0" w:color="auto"/>
        <w:right w:val="none" w:sz="0" w:space="0" w:color="auto"/>
      </w:divBdr>
    </w:div>
    <w:div w:id="1042944433">
      <w:bodyDiv w:val="1"/>
      <w:marLeft w:val="0"/>
      <w:marRight w:val="0"/>
      <w:marTop w:val="0"/>
      <w:marBottom w:val="0"/>
      <w:divBdr>
        <w:top w:val="none" w:sz="0" w:space="0" w:color="auto"/>
        <w:left w:val="none" w:sz="0" w:space="0" w:color="auto"/>
        <w:bottom w:val="none" w:sz="0" w:space="0" w:color="auto"/>
        <w:right w:val="none" w:sz="0" w:space="0" w:color="auto"/>
      </w:divBdr>
      <w:divsChild>
        <w:div w:id="1559706930">
          <w:marLeft w:val="0"/>
          <w:marRight w:val="0"/>
          <w:marTop w:val="0"/>
          <w:marBottom w:val="0"/>
          <w:divBdr>
            <w:top w:val="none" w:sz="0" w:space="0" w:color="auto"/>
            <w:left w:val="none" w:sz="0" w:space="0" w:color="auto"/>
            <w:bottom w:val="none" w:sz="0" w:space="0" w:color="auto"/>
            <w:right w:val="none" w:sz="0" w:space="0" w:color="auto"/>
          </w:divBdr>
        </w:div>
      </w:divsChild>
    </w:div>
    <w:div w:id="181424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8B485-088B-4F9C-B41A-0312D12EF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Toheed Javed -1392</dc:creator>
  <cp:keywords/>
  <dc:description/>
  <cp:lastModifiedBy>Bijaya Dip Karki (2207937)</cp:lastModifiedBy>
  <cp:revision>2</cp:revision>
  <dcterms:created xsi:type="dcterms:W3CDTF">2024-01-29T11:08:00Z</dcterms:created>
  <dcterms:modified xsi:type="dcterms:W3CDTF">2024-01-29T11:08:00Z</dcterms:modified>
</cp:coreProperties>
</file>