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2E217C" w:rsidP="006771A1" w:rsidRDefault="002E217C" w14:paraId="35E6676F" w14:textId="77777777">
      <w:pPr>
        <w:spacing w:line="360" w:lineRule="auto"/>
        <w:jc w:val="both"/>
        <w:rPr>
          <w:b/>
          <w:bCs/>
        </w:rPr>
      </w:pPr>
    </w:p>
    <w:p w:rsidR="002A31F8" w:rsidP="006771A1" w:rsidRDefault="002A31F8" w14:paraId="2C5D16C3" w14:textId="77777777">
      <w:pPr>
        <w:spacing w:line="360" w:lineRule="auto"/>
        <w:jc w:val="both"/>
        <w:rPr>
          <w:b/>
          <w:bCs/>
        </w:rPr>
      </w:pPr>
    </w:p>
    <w:p w:rsidR="002A31F8" w:rsidP="006771A1" w:rsidRDefault="002A31F8" w14:paraId="2C0BC773" w14:textId="078690BD">
      <w:pPr>
        <w:spacing w:line="360" w:lineRule="auto"/>
        <w:jc w:val="both"/>
        <w:rPr>
          <w:b/>
          <w:bCs/>
        </w:rPr>
      </w:pPr>
      <w:r>
        <w:rPr>
          <w:noProof/>
        </w:rPr>
        <w:drawing>
          <wp:inline distT="0" distB="0" distL="0" distR="0" wp14:anchorId="2CA880CC" wp14:editId="39095004">
            <wp:extent cx="5731510" cy="2147570"/>
            <wp:effectExtent l="0" t="0" r="2540" b="5080"/>
            <wp:docPr id="139867743" name="Picture 1" descr="Picture, Picture,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ture, Pictu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147570"/>
                    </a:xfrm>
                    <a:prstGeom prst="rect">
                      <a:avLst/>
                    </a:prstGeom>
                    <a:noFill/>
                    <a:ln>
                      <a:noFill/>
                    </a:ln>
                  </pic:spPr>
                </pic:pic>
              </a:graphicData>
            </a:graphic>
          </wp:inline>
        </w:drawing>
      </w:r>
    </w:p>
    <w:p w:rsidR="002E217C" w:rsidP="006771A1" w:rsidRDefault="002E217C" w14:paraId="19E0EAE8" w14:textId="77777777">
      <w:pPr>
        <w:spacing w:line="360" w:lineRule="auto"/>
        <w:jc w:val="both"/>
        <w:rPr>
          <w:b/>
          <w:bCs/>
        </w:rPr>
      </w:pPr>
    </w:p>
    <w:p w:rsidRPr="002A31F8" w:rsidR="002E217C" w:rsidP="006771A1" w:rsidRDefault="002E217C" w14:paraId="7E0F5AC1" w14:textId="77777777">
      <w:pPr>
        <w:spacing w:line="360" w:lineRule="auto"/>
        <w:jc w:val="center"/>
        <w:rPr>
          <w:rFonts w:ascii="Arial" w:hAnsi="Arial" w:cs="Arial"/>
          <w:b/>
          <w:bCs/>
          <w:sz w:val="28"/>
          <w:szCs w:val="28"/>
        </w:rPr>
      </w:pPr>
    </w:p>
    <w:p w:rsidRPr="002A31F8" w:rsidR="002A31F8" w:rsidP="006771A1" w:rsidRDefault="002A31F8" w14:paraId="1BF9CBD6" w14:textId="5FE5D7C7">
      <w:pPr>
        <w:spacing w:line="360" w:lineRule="auto"/>
        <w:jc w:val="center"/>
        <w:rPr>
          <w:rFonts w:ascii="Arial" w:hAnsi="Arial" w:cs="Arial"/>
          <w:b/>
          <w:bCs/>
          <w:sz w:val="28"/>
          <w:szCs w:val="28"/>
        </w:rPr>
      </w:pPr>
      <w:proofErr w:type="spellStart"/>
      <w:r w:rsidRPr="002A31F8">
        <w:rPr>
          <w:rFonts w:ascii="Arial" w:hAnsi="Arial" w:cs="Arial"/>
          <w:b/>
          <w:bCs/>
          <w:sz w:val="28"/>
          <w:szCs w:val="28"/>
          <w:lang w:val="en-US"/>
        </w:rPr>
        <w:t>Programme</w:t>
      </w:r>
      <w:proofErr w:type="spellEnd"/>
      <w:r w:rsidRPr="002A31F8">
        <w:rPr>
          <w:rFonts w:ascii="Arial" w:hAnsi="Arial" w:cs="Arial"/>
          <w:b/>
          <w:bCs/>
          <w:sz w:val="28"/>
          <w:szCs w:val="28"/>
          <w:lang w:val="en-US"/>
        </w:rPr>
        <w:t>: BA (Hons) Business Management</w:t>
      </w:r>
    </w:p>
    <w:p w:rsidRPr="002A31F8" w:rsidR="002A31F8" w:rsidP="006771A1" w:rsidRDefault="002A31F8" w14:paraId="590D8989" w14:textId="1F9327C0">
      <w:pPr>
        <w:spacing w:line="360" w:lineRule="auto"/>
        <w:jc w:val="center"/>
        <w:rPr>
          <w:rFonts w:ascii="Arial" w:hAnsi="Arial" w:cs="Arial"/>
          <w:b/>
          <w:bCs/>
          <w:sz w:val="28"/>
          <w:szCs w:val="28"/>
        </w:rPr>
      </w:pPr>
      <w:r w:rsidRPr="002A31F8">
        <w:rPr>
          <w:rFonts w:ascii="Arial" w:hAnsi="Arial" w:cs="Arial"/>
          <w:b/>
          <w:bCs/>
          <w:sz w:val="28"/>
          <w:szCs w:val="28"/>
          <w:lang w:val="en-US"/>
        </w:rPr>
        <w:t>Module name: Independent Project</w:t>
      </w:r>
    </w:p>
    <w:p w:rsidRPr="002A31F8" w:rsidR="002A31F8" w:rsidP="006771A1" w:rsidRDefault="002A31F8" w14:paraId="0F5E1315" w14:textId="11B2B4E7">
      <w:pPr>
        <w:spacing w:line="360" w:lineRule="auto"/>
        <w:jc w:val="center"/>
        <w:rPr>
          <w:rFonts w:ascii="Arial" w:hAnsi="Arial" w:cs="Arial"/>
          <w:b/>
          <w:bCs/>
          <w:sz w:val="28"/>
          <w:szCs w:val="28"/>
        </w:rPr>
      </w:pPr>
      <w:r w:rsidRPr="002A31F8">
        <w:rPr>
          <w:rFonts w:ascii="Arial" w:hAnsi="Arial" w:cs="Arial"/>
          <w:b/>
          <w:bCs/>
          <w:sz w:val="28"/>
          <w:szCs w:val="28"/>
          <w:lang w:val="en-US"/>
        </w:rPr>
        <w:t>Module code: LCBB 6014</w:t>
      </w:r>
    </w:p>
    <w:p w:rsidRPr="002A31F8" w:rsidR="002A31F8" w:rsidP="006771A1" w:rsidRDefault="002A31F8" w14:paraId="270ECF18" w14:textId="2D4B3B86">
      <w:pPr>
        <w:spacing w:line="360" w:lineRule="auto"/>
        <w:jc w:val="center"/>
        <w:rPr>
          <w:rFonts w:ascii="Arial" w:hAnsi="Arial" w:cs="Arial"/>
          <w:b/>
          <w:bCs/>
          <w:sz w:val="28"/>
          <w:szCs w:val="28"/>
        </w:rPr>
      </w:pPr>
      <w:r w:rsidRPr="002A31F8">
        <w:rPr>
          <w:rFonts w:ascii="Arial" w:hAnsi="Arial" w:cs="Arial"/>
          <w:b/>
          <w:bCs/>
          <w:sz w:val="28"/>
          <w:szCs w:val="28"/>
          <w:lang w:val="en-US"/>
        </w:rPr>
        <w:t>Student name: Corina Seni</w:t>
      </w:r>
    </w:p>
    <w:p w:rsidRPr="002A31F8" w:rsidR="002A31F8" w:rsidP="006771A1" w:rsidRDefault="002A31F8" w14:paraId="7E2B839D" w14:textId="3A375859">
      <w:pPr>
        <w:spacing w:line="360" w:lineRule="auto"/>
        <w:jc w:val="center"/>
        <w:rPr>
          <w:rFonts w:ascii="Arial" w:hAnsi="Arial" w:cs="Arial"/>
          <w:b/>
          <w:bCs/>
          <w:sz w:val="28"/>
          <w:szCs w:val="28"/>
        </w:rPr>
      </w:pPr>
      <w:r w:rsidRPr="002A31F8">
        <w:rPr>
          <w:rFonts w:ascii="Arial" w:hAnsi="Arial" w:cs="Arial"/>
          <w:b/>
          <w:bCs/>
          <w:sz w:val="28"/>
          <w:szCs w:val="28"/>
          <w:lang w:val="en-US"/>
        </w:rPr>
        <w:t>Student ID: 2217836</w:t>
      </w:r>
    </w:p>
    <w:p w:rsidRPr="002A31F8" w:rsidR="002A31F8" w:rsidP="006771A1" w:rsidRDefault="002A31F8" w14:paraId="66650B34" w14:textId="74E7F952">
      <w:pPr>
        <w:spacing w:line="360" w:lineRule="auto"/>
        <w:jc w:val="center"/>
        <w:rPr>
          <w:rFonts w:ascii="Arial" w:hAnsi="Arial" w:cs="Arial"/>
          <w:b/>
          <w:bCs/>
          <w:sz w:val="28"/>
          <w:szCs w:val="28"/>
          <w:lang w:val="en-US"/>
        </w:rPr>
      </w:pPr>
      <w:r w:rsidRPr="002A31F8">
        <w:rPr>
          <w:rFonts w:ascii="Arial" w:hAnsi="Arial" w:cs="Arial"/>
          <w:b/>
          <w:bCs/>
          <w:sz w:val="28"/>
          <w:szCs w:val="28"/>
          <w:lang w:val="en-US"/>
        </w:rPr>
        <w:t>Assignment Title: Component 1</w:t>
      </w:r>
      <w:r>
        <w:rPr>
          <w:rFonts w:ascii="Arial" w:hAnsi="Arial" w:cs="Arial"/>
          <w:b/>
          <w:bCs/>
          <w:sz w:val="28"/>
          <w:szCs w:val="28"/>
          <w:lang w:val="en-US"/>
        </w:rPr>
        <w:t>- Research Proposal</w:t>
      </w:r>
    </w:p>
    <w:p w:rsidRPr="00D54CC3" w:rsidR="002A31F8" w:rsidP="006771A1" w:rsidRDefault="002A31F8" w14:paraId="1EFB8F4A" w14:textId="33B4D124">
      <w:pPr>
        <w:spacing w:line="360" w:lineRule="auto"/>
        <w:jc w:val="center"/>
        <w:rPr>
          <w:rFonts w:ascii="Arial" w:hAnsi="Arial" w:cs="Arial"/>
          <w:b/>
          <w:bCs/>
          <w:i/>
          <w:iCs/>
          <w:sz w:val="28"/>
          <w:szCs w:val="28"/>
        </w:rPr>
      </w:pPr>
      <w:r w:rsidRPr="00D54CC3">
        <w:rPr>
          <w:rFonts w:ascii="Arial" w:hAnsi="Arial" w:cs="Arial"/>
          <w:b/>
          <w:bCs/>
          <w:i/>
          <w:iCs/>
          <w:sz w:val="28"/>
          <w:szCs w:val="28"/>
        </w:rPr>
        <w:t>The Impact of Hybrid Working on Employee Engagement in UK Organisations</w:t>
      </w:r>
    </w:p>
    <w:p w:rsidRPr="002A31F8" w:rsidR="002A31F8" w:rsidP="006771A1" w:rsidRDefault="00DF1C92" w14:paraId="39352369" w14:textId="5D623100">
      <w:pPr>
        <w:spacing w:line="360" w:lineRule="auto"/>
        <w:jc w:val="center"/>
        <w:rPr>
          <w:rFonts w:ascii="Arial" w:hAnsi="Arial" w:cs="Arial"/>
          <w:b/>
          <w:bCs/>
          <w:sz w:val="28"/>
          <w:szCs w:val="28"/>
        </w:rPr>
      </w:pPr>
      <w:r>
        <w:rPr>
          <w:rFonts w:ascii="Arial" w:hAnsi="Arial" w:cs="Arial"/>
          <w:b/>
          <w:bCs/>
          <w:sz w:val="28"/>
          <w:szCs w:val="28"/>
          <w:lang w:val="en-US"/>
        </w:rPr>
        <w:t>Supervisor</w:t>
      </w:r>
      <w:r w:rsidRPr="002A31F8" w:rsidR="002A31F8">
        <w:rPr>
          <w:rFonts w:ascii="Arial" w:hAnsi="Arial" w:cs="Arial"/>
          <w:b/>
          <w:bCs/>
          <w:sz w:val="28"/>
          <w:szCs w:val="28"/>
          <w:lang w:val="en-US"/>
        </w:rPr>
        <w:t xml:space="preserve"> name: Dr Ibrahim Rufai</w:t>
      </w:r>
    </w:p>
    <w:p w:rsidR="002E217C" w:rsidP="006771A1" w:rsidRDefault="002E217C" w14:paraId="2662CC0B" w14:textId="77777777">
      <w:pPr>
        <w:spacing w:line="360" w:lineRule="auto"/>
        <w:jc w:val="both"/>
        <w:rPr>
          <w:b/>
          <w:bCs/>
        </w:rPr>
      </w:pPr>
    </w:p>
    <w:p w:rsidR="002E217C" w:rsidP="006771A1" w:rsidRDefault="002E217C" w14:paraId="583EDA2E" w14:textId="77777777">
      <w:pPr>
        <w:spacing w:line="360" w:lineRule="auto"/>
        <w:jc w:val="both"/>
        <w:rPr>
          <w:b/>
          <w:bCs/>
        </w:rPr>
      </w:pPr>
    </w:p>
    <w:p w:rsidR="002E217C" w:rsidP="006771A1" w:rsidRDefault="002E217C" w14:paraId="3503EBF3" w14:textId="77777777">
      <w:pPr>
        <w:spacing w:line="360" w:lineRule="auto"/>
        <w:jc w:val="both"/>
        <w:rPr>
          <w:b/>
          <w:bCs/>
        </w:rPr>
      </w:pPr>
    </w:p>
    <w:p w:rsidR="002A31F8" w:rsidP="006771A1" w:rsidRDefault="002A31F8" w14:paraId="47443C38" w14:textId="77777777">
      <w:pPr>
        <w:spacing w:line="360" w:lineRule="auto"/>
        <w:jc w:val="both"/>
        <w:rPr>
          <w:b/>
          <w:bCs/>
        </w:rPr>
      </w:pPr>
    </w:p>
    <w:p w:rsidR="006771A1" w:rsidP="006771A1" w:rsidRDefault="006771A1" w14:paraId="6CFFAB6D" w14:textId="40F062A6">
      <w:pPr>
        <w:spacing w:line="360" w:lineRule="auto"/>
        <w:jc w:val="both"/>
        <w:rPr>
          <w:rFonts w:ascii="Arial" w:hAnsi="Arial" w:cs="Arial"/>
          <w:b/>
          <w:bCs/>
          <w:sz w:val="28"/>
          <w:szCs w:val="28"/>
        </w:rPr>
      </w:pPr>
      <w:r w:rsidRPr="563A5469" w:rsidR="006771A1">
        <w:rPr>
          <w:rFonts w:ascii="Arial" w:hAnsi="Arial" w:cs="Arial"/>
          <w:b w:val="1"/>
          <w:bCs w:val="1"/>
          <w:sz w:val="28"/>
          <w:szCs w:val="28"/>
        </w:rPr>
        <w:t>Table of Contents</w:t>
      </w:r>
    </w:p>
    <w:sdt>
      <w:sdtPr>
        <w:id w:val="1013883546"/>
        <w:docPartObj>
          <w:docPartGallery w:val="Table of Contents"/>
          <w:docPartUnique/>
        </w:docPartObj>
      </w:sdtPr>
      <w:sdtContent>
        <w:p w:rsidR="563A5469" w:rsidP="563A5469" w:rsidRDefault="563A5469" w14:paraId="1B78CDBC" w14:textId="245EE50D">
          <w:pPr>
            <w:pStyle w:val="TOC1"/>
            <w:tabs>
              <w:tab w:val="right" w:leader="dot" w:pos="9015"/>
            </w:tabs>
            <w:bidi w:val="0"/>
            <w:rPr>
              <w:rStyle w:val="Hyperlink"/>
            </w:rPr>
          </w:pPr>
          <w:r>
            <w:fldChar w:fldCharType="begin"/>
          </w:r>
          <w:r>
            <w:instrText xml:space="preserve">TOC \o "1-9" \z \u \h</w:instrText>
          </w:r>
          <w:r>
            <w:fldChar w:fldCharType="separate"/>
          </w:r>
          <w:hyperlink w:anchor="_Toc1972944172">
            <w:r w:rsidRPr="563A5469" w:rsidR="563A5469">
              <w:rPr>
                <w:rStyle w:val="Hyperlink"/>
              </w:rPr>
              <w:t>1. Introduction</w:t>
            </w:r>
            <w:r>
              <w:tab/>
            </w:r>
            <w:r>
              <w:fldChar w:fldCharType="begin"/>
            </w:r>
            <w:r>
              <w:instrText xml:space="preserve">PAGEREF _Toc1972944172 \h</w:instrText>
            </w:r>
            <w:r>
              <w:fldChar w:fldCharType="separate"/>
            </w:r>
            <w:r w:rsidRPr="563A5469" w:rsidR="563A5469">
              <w:rPr>
                <w:rStyle w:val="Hyperlink"/>
              </w:rPr>
              <w:t>2</w:t>
            </w:r>
            <w:r>
              <w:fldChar w:fldCharType="end"/>
            </w:r>
          </w:hyperlink>
        </w:p>
        <w:p w:rsidR="563A5469" w:rsidP="563A5469" w:rsidRDefault="563A5469" w14:paraId="7CD7F3DB" w14:textId="225BB30C">
          <w:pPr>
            <w:pStyle w:val="TOC1"/>
            <w:tabs>
              <w:tab w:val="right" w:leader="dot" w:pos="9015"/>
            </w:tabs>
            <w:bidi w:val="0"/>
            <w:rPr>
              <w:rStyle w:val="Hyperlink"/>
            </w:rPr>
          </w:pPr>
          <w:hyperlink w:anchor="_Toc1900232573">
            <w:r w:rsidRPr="563A5469" w:rsidR="563A5469">
              <w:rPr>
                <w:rStyle w:val="Hyperlink"/>
              </w:rPr>
              <w:t>2. Research Aim, Objectives and Research Questions</w:t>
            </w:r>
            <w:r>
              <w:tab/>
            </w:r>
            <w:r>
              <w:fldChar w:fldCharType="begin"/>
            </w:r>
            <w:r>
              <w:instrText xml:space="preserve">PAGEREF _Toc1900232573 \h</w:instrText>
            </w:r>
            <w:r>
              <w:fldChar w:fldCharType="separate"/>
            </w:r>
            <w:r w:rsidRPr="563A5469" w:rsidR="563A5469">
              <w:rPr>
                <w:rStyle w:val="Hyperlink"/>
              </w:rPr>
              <w:t>3</w:t>
            </w:r>
            <w:r>
              <w:fldChar w:fldCharType="end"/>
            </w:r>
          </w:hyperlink>
        </w:p>
        <w:p w:rsidR="563A5469" w:rsidP="563A5469" w:rsidRDefault="563A5469" w14:paraId="61240006" w14:textId="7D66A947">
          <w:pPr>
            <w:pStyle w:val="TOC2"/>
            <w:tabs>
              <w:tab w:val="right" w:leader="dot" w:pos="9015"/>
            </w:tabs>
            <w:bidi w:val="0"/>
            <w:rPr>
              <w:rStyle w:val="Hyperlink"/>
            </w:rPr>
          </w:pPr>
          <w:hyperlink w:anchor="_Toc1013334561">
            <w:r w:rsidRPr="563A5469" w:rsidR="563A5469">
              <w:rPr>
                <w:rStyle w:val="Hyperlink"/>
              </w:rPr>
              <w:t>Research Aim</w:t>
            </w:r>
            <w:r>
              <w:tab/>
            </w:r>
            <w:r>
              <w:fldChar w:fldCharType="begin"/>
            </w:r>
            <w:r>
              <w:instrText xml:space="preserve">PAGEREF _Toc1013334561 \h</w:instrText>
            </w:r>
            <w:r>
              <w:fldChar w:fldCharType="separate"/>
            </w:r>
            <w:r w:rsidRPr="563A5469" w:rsidR="563A5469">
              <w:rPr>
                <w:rStyle w:val="Hyperlink"/>
              </w:rPr>
              <w:t>3</w:t>
            </w:r>
            <w:r>
              <w:fldChar w:fldCharType="end"/>
            </w:r>
          </w:hyperlink>
        </w:p>
        <w:p w:rsidR="563A5469" w:rsidP="563A5469" w:rsidRDefault="563A5469" w14:paraId="1426069E" w14:textId="16A85247">
          <w:pPr>
            <w:pStyle w:val="TOC2"/>
            <w:tabs>
              <w:tab w:val="right" w:leader="dot" w:pos="9015"/>
            </w:tabs>
            <w:bidi w:val="0"/>
            <w:rPr>
              <w:rStyle w:val="Hyperlink"/>
            </w:rPr>
          </w:pPr>
          <w:hyperlink w:anchor="_Toc199327659">
            <w:r w:rsidRPr="563A5469" w:rsidR="563A5469">
              <w:rPr>
                <w:rStyle w:val="Hyperlink"/>
              </w:rPr>
              <w:t>Research Objectives</w:t>
            </w:r>
            <w:r>
              <w:tab/>
            </w:r>
            <w:r>
              <w:fldChar w:fldCharType="begin"/>
            </w:r>
            <w:r>
              <w:instrText xml:space="preserve">PAGEREF _Toc199327659 \h</w:instrText>
            </w:r>
            <w:r>
              <w:fldChar w:fldCharType="separate"/>
            </w:r>
            <w:r w:rsidRPr="563A5469" w:rsidR="563A5469">
              <w:rPr>
                <w:rStyle w:val="Hyperlink"/>
              </w:rPr>
              <w:t>3</w:t>
            </w:r>
            <w:r>
              <w:fldChar w:fldCharType="end"/>
            </w:r>
          </w:hyperlink>
        </w:p>
        <w:p w:rsidR="563A5469" w:rsidP="563A5469" w:rsidRDefault="563A5469" w14:paraId="45CD49D5" w14:textId="16A1E6D4">
          <w:pPr>
            <w:pStyle w:val="TOC2"/>
            <w:tabs>
              <w:tab w:val="right" w:leader="dot" w:pos="9015"/>
            </w:tabs>
            <w:bidi w:val="0"/>
            <w:rPr>
              <w:rStyle w:val="Hyperlink"/>
            </w:rPr>
          </w:pPr>
          <w:hyperlink w:anchor="_Toc1689272348">
            <w:r w:rsidRPr="563A5469" w:rsidR="563A5469">
              <w:rPr>
                <w:rStyle w:val="Hyperlink"/>
              </w:rPr>
              <w:t>Research Questions</w:t>
            </w:r>
            <w:r>
              <w:tab/>
            </w:r>
            <w:r>
              <w:fldChar w:fldCharType="begin"/>
            </w:r>
            <w:r>
              <w:instrText xml:space="preserve">PAGEREF _Toc1689272348 \h</w:instrText>
            </w:r>
            <w:r>
              <w:fldChar w:fldCharType="separate"/>
            </w:r>
            <w:r w:rsidRPr="563A5469" w:rsidR="563A5469">
              <w:rPr>
                <w:rStyle w:val="Hyperlink"/>
              </w:rPr>
              <w:t>3</w:t>
            </w:r>
            <w:r>
              <w:fldChar w:fldCharType="end"/>
            </w:r>
          </w:hyperlink>
        </w:p>
        <w:p w:rsidR="563A5469" w:rsidP="563A5469" w:rsidRDefault="563A5469" w14:paraId="22E4C9C6" w14:textId="298A94DA">
          <w:pPr>
            <w:pStyle w:val="TOC1"/>
            <w:tabs>
              <w:tab w:val="right" w:leader="dot" w:pos="9015"/>
            </w:tabs>
            <w:bidi w:val="0"/>
            <w:rPr>
              <w:rStyle w:val="Hyperlink"/>
            </w:rPr>
          </w:pPr>
          <w:hyperlink w:anchor="_Toc227016993">
            <w:r w:rsidRPr="563A5469" w:rsidR="563A5469">
              <w:rPr>
                <w:rStyle w:val="Hyperlink"/>
              </w:rPr>
              <w:t>3.Literature Review</w:t>
            </w:r>
            <w:r>
              <w:tab/>
            </w:r>
            <w:r>
              <w:fldChar w:fldCharType="begin"/>
            </w:r>
            <w:r>
              <w:instrText xml:space="preserve">PAGEREF _Toc227016993 \h</w:instrText>
            </w:r>
            <w:r>
              <w:fldChar w:fldCharType="separate"/>
            </w:r>
            <w:r w:rsidRPr="563A5469" w:rsidR="563A5469">
              <w:rPr>
                <w:rStyle w:val="Hyperlink"/>
              </w:rPr>
              <w:t>4</w:t>
            </w:r>
            <w:r>
              <w:fldChar w:fldCharType="end"/>
            </w:r>
          </w:hyperlink>
        </w:p>
        <w:p w:rsidR="563A5469" w:rsidP="563A5469" w:rsidRDefault="563A5469" w14:paraId="1B8EA8A6" w14:textId="1DFEA282">
          <w:pPr>
            <w:pStyle w:val="TOC1"/>
            <w:tabs>
              <w:tab w:val="right" w:leader="dot" w:pos="9015"/>
            </w:tabs>
            <w:bidi w:val="0"/>
            <w:rPr>
              <w:rStyle w:val="Hyperlink"/>
            </w:rPr>
          </w:pPr>
          <w:hyperlink w:anchor="_Toc934146375">
            <w:r w:rsidRPr="563A5469" w:rsidR="563A5469">
              <w:rPr>
                <w:rStyle w:val="Hyperlink"/>
              </w:rPr>
              <w:t>4. Research Methodology</w:t>
            </w:r>
            <w:r>
              <w:tab/>
            </w:r>
            <w:r>
              <w:fldChar w:fldCharType="begin"/>
            </w:r>
            <w:r>
              <w:instrText xml:space="preserve">PAGEREF _Toc934146375 \h</w:instrText>
            </w:r>
            <w:r>
              <w:fldChar w:fldCharType="separate"/>
            </w:r>
            <w:r w:rsidRPr="563A5469" w:rsidR="563A5469">
              <w:rPr>
                <w:rStyle w:val="Hyperlink"/>
              </w:rPr>
              <w:t>6</w:t>
            </w:r>
            <w:r>
              <w:fldChar w:fldCharType="end"/>
            </w:r>
          </w:hyperlink>
        </w:p>
        <w:p w:rsidR="563A5469" w:rsidP="563A5469" w:rsidRDefault="563A5469" w14:paraId="4D5E49C3" w14:textId="0735D4F2">
          <w:pPr>
            <w:pStyle w:val="TOC1"/>
            <w:tabs>
              <w:tab w:val="right" w:leader="dot" w:pos="9015"/>
            </w:tabs>
            <w:bidi w:val="0"/>
            <w:rPr>
              <w:rStyle w:val="Hyperlink"/>
            </w:rPr>
          </w:pPr>
          <w:hyperlink w:anchor="_Toc1414111325">
            <w:r w:rsidRPr="563A5469" w:rsidR="563A5469">
              <w:rPr>
                <w:rStyle w:val="Hyperlink"/>
              </w:rPr>
              <w:t>5. Potential Implications</w:t>
            </w:r>
            <w:r>
              <w:tab/>
            </w:r>
            <w:r>
              <w:fldChar w:fldCharType="begin"/>
            </w:r>
            <w:r>
              <w:instrText xml:space="preserve">PAGEREF _Toc1414111325 \h</w:instrText>
            </w:r>
            <w:r>
              <w:fldChar w:fldCharType="separate"/>
            </w:r>
            <w:r w:rsidRPr="563A5469" w:rsidR="563A5469">
              <w:rPr>
                <w:rStyle w:val="Hyperlink"/>
              </w:rPr>
              <w:t>7</w:t>
            </w:r>
            <w:r>
              <w:fldChar w:fldCharType="end"/>
            </w:r>
          </w:hyperlink>
        </w:p>
        <w:p w:rsidR="563A5469" w:rsidP="563A5469" w:rsidRDefault="563A5469" w14:paraId="6F7CA4BA" w14:textId="3C2F909A">
          <w:pPr>
            <w:pStyle w:val="TOC1"/>
            <w:tabs>
              <w:tab w:val="right" w:leader="dot" w:pos="9015"/>
            </w:tabs>
            <w:bidi w:val="0"/>
            <w:rPr>
              <w:rStyle w:val="Hyperlink"/>
            </w:rPr>
          </w:pPr>
          <w:hyperlink w:anchor="_Toc455301598">
            <w:r w:rsidRPr="563A5469" w:rsidR="563A5469">
              <w:rPr>
                <w:rStyle w:val="Hyperlink"/>
              </w:rPr>
              <w:t>6. Conclusion</w:t>
            </w:r>
            <w:r>
              <w:tab/>
            </w:r>
            <w:r>
              <w:fldChar w:fldCharType="begin"/>
            </w:r>
            <w:r>
              <w:instrText xml:space="preserve">PAGEREF _Toc455301598 \h</w:instrText>
            </w:r>
            <w:r>
              <w:fldChar w:fldCharType="separate"/>
            </w:r>
            <w:r w:rsidRPr="563A5469" w:rsidR="563A5469">
              <w:rPr>
                <w:rStyle w:val="Hyperlink"/>
              </w:rPr>
              <w:t>8</w:t>
            </w:r>
            <w:r>
              <w:fldChar w:fldCharType="end"/>
            </w:r>
          </w:hyperlink>
        </w:p>
        <w:p w:rsidR="563A5469" w:rsidP="563A5469" w:rsidRDefault="563A5469" w14:paraId="49DF5C16" w14:textId="36E3ABE8">
          <w:pPr>
            <w:pStyle w:val="TOC1"/>
            <w:tabs>
              <w:tab w:val="right" w:leader="dot" w:pos="9015"/>
            </w:tabs>
            <w:bidi w:val="0"/>
            <w:rPr>
              <w:rStyle w:val="Hyperlink"/>
            </w:rPr>
          </w:pPr>
          <w:hyperlink w:anchor="_Toc1759050739">
            <w:r w:rsidRPr="563A5469" w:rsidR="563A5469">
              <w:rPr>
                <w:rStyle w:val="Hyperlink"/>
              </w:rPr>
              <w:t>References</w:t>
            </w:r>
            <w:r>
              <w:tab/>
            </w:r>
            <w:r>
              <w:fldChar w:fldCharType="begin"/>
            </w:r>
            <w:r>
              <w:instrText xml:space="preserve">PAGEREF _Toc1759050739 \h</w:instrText>
            </w:r>
            <w:r>
              <w:fldChar w:fldCharType="separate"/>
            </w:r>
            <w:r w:rsidRPr="563A5469" w:rsidR="563A5469">
              <w:rPr>
                <w:rStyle w:val="Hyperlink"/>
              </w:rPr>
              <w:t>9</w:t>
            </w:r>
            <w:r>
              <w:fldChar w:fldCharType="end"/>
            </w:r>
          </w:hyperlink>
        </w:p>
        <w:p w:rsidR="563A5469" w:rsidRDefault="563A5469" w14:paraId="064AED8E" w14:textId="1DC37302">
          <w:r>
            <w:fldChar w:fldCharType="end"/>
          </w:r>
        </w:p>
      </w:sdtContent>
    </w:sdt>
    <w:p w:rsidR="00DF6488" w:rsidP="006771A1" w:rsidRDefault="00DF6488" w14:paraId="214E77AA" w14:textId="77777777">
      <w:pPr>
        <w:spacing w:line="360" w:lineRule="auto"/>
        <w:jc w:val="both"/>
        <w:rPr>
          <w:rFonts w:ascii="Arial" w:hAnsi="Arial" w:cs="Arial"/>
          <w:b/>
          <w:bCs/>
          <w:sz w:val="28"/>
          <w:szCs w:val="28"/>
        </w:rPr>
      </w:pPr>
    </w:p>
    <w:p w:rsidR="006771A1" w:rsidP="006771A1" w:rsidRDefault="006771A1" w14:paraId="21C2406A" w14:textId="77777777">
      <w:pPr>
        <w:spacing w:line="360" w:lineRule="auto"/>
        <w:jc w:val="both"/>
        <w:rPr>
          <w:rFonts w:ascii="Arial" w:hAnsi="Arial" w:cs="Arial"/>
          <w:b/>
          <w:bCs/>
          <w:sz w:val="28"/>
          <w:szCs w:val="28"/>
        </w:rPr>
      </w:pPr>
    </w:p>
    <w:p w:rsidR="006771A1" w:rsidP="00D45D85" w:rsidRDefault="006771A1" w14:paraId="3A0ED290" w14:textId="77777777">
      <w:pPr>
        <w:spacing w:line="360" w:lineRule="auto"/>
        <w:jc w:val="right"/>
        <w:rPr>
          <w:rFonts w:ascii="Arial" w:hAnsi="Arial" w:cs="Arial"/>
          <w:b/>
          <w:bCs/>
          <w:sz w:val="28"/>
          <w:szCs w:val="28"/>
        </w:rPr>
      </w:pPr>
    </w:p>
    <w:p w:rsidR="006771A1" w:rsidP="006771A1" w:rsidRDefault="006771A1" w14:paraId="46FD28B2" w14:textId="77777777">
      <w:pPr>
        <w:spacing w:line="360" w:lineRule="auto"/>
        <w:jc w:val="both"/>
        <w:rPr>
          <w:rFonts w:ascii="Arial" w:hAnsi="Arial" w:cs="Arial"/>
          <w:b/>
          <w:bCs/>
          <w:sz w:val="28"/>
          <w:szCs w:val="28"/>
        </w:rPr>
      </w:pPr>
    </w:p>
    <w:p w:rsidR="006771A1" w:rsidP="006771A1" w:rsidRDefault="006771A1" w14:paraId="4FD7B19D" w14:textId="77777777">
      <w:pPr>
        <w:spacing w:line="360" w:lineRule="auto"/>
        <w:jc w:val="both"/>
        <w:rPr>
          <w:rFonts w:ascii="Arial" w:hAnsi="Arial" w:cs="Arial"/>
          <w:b/>
          <w:bCs/>
          <w:sz w:val="28"/>
          <w:szCs w:val="28"/>
        </w:rPr>
      </w:pPr>
    </w:p>
    <w:p w:rsidR="006771A1" w:rsidP="006771A1" w:rsidRDefault="006771A1" w14:paraId="5D8C1AF0" w14:textId="77777777">
      <w:pPr>
        <w:spacing w:line="360" w:lineRule="auto"/>
        <w:jc w:val="both"/>
        <w:rPr>
          <w:rFonts w:ascii="Arial" w:hAnsi="Arial" w:cs="Arial"/>
          <w:b/>
          <w:bCs/>
          <w:sz w:val="28"/>
          <w:szCs w:val="28"/>
        </w:rPr>
      </w:pPr>
    </w:p>
    <w:p w:rsidR="006771A1" w:rsidP="006771A1" w:rsidRDefault="006771A1" w14:paraId="05D0D4E3" w14:textId="77777777">
      <w:pPr>
        <w:spacing w:line="360" w:lineRule="auto"/>
        <w:jc w:val="both"/>
        <w:rPr>
          <w:rFonts w:ascii="Arial" w:hAnsi="Arial" w:cs="Arial"/>
          <w:b/>
          <w:bCs/>
          <w:sz w:val="28"/>
          <w:szCs w:val="28"/>
        </w:rPr>
      </w:pPr>
    </w:p>
    <w:p w:rsidR="006771A1" w:rsidP="006771A1" w:rsidRDefault="006771A1" w14:paraId="5491556D" w14:textId="77777777">
      <w:pPr>
        <w:spacing w:line="360" w:lineRule="auto"/>
        <w:jc w:val="both"/>
        <w:rPr>
          <w:rFonts w:ascii="Arial" w:hAnsi="Arial" w:cs="Arial"/>
          <w:b/>
          <w:bCs/>
          <w:sz w:val="28"/>
          <w:szCs w:val="28"/>
        </w:rPr>
      </w:pPr>
    </w:p>
    <w:p w:rsidR="006771A1" w:rsidP="006771A1" w:rsidRDefault="006771A1" w14:paraId="6A7C7D18" w14:textId="77777777">
      <w:pPr>
        <w:spacing w:line="360" w:lineRule="auto"/>
        <w:jc w:val="both"/>
        <w:rPr>
          <w:rFonts w:ascii="Arial" w:hAnsi="Arial" w:cs="Arial"/>
          <w:b/>
          <w:bCs/>
          <w:sz w:val="28"/>
          <w:szCs w:val="28"/>
        </w:rPr>
      </w:pPr>
    </w:p>
    <w:p w:rsidR="006771A1" w:rsidP="006771A1" w:rsidRDefault="006771A1" w14:paraId="2A4DB4C2" w14:textId="77777777">
      <w:pPr>
        <w:spacing w:line="360" w:lineRule="auto"/>
        <w:jc w:val="both"/>
        <w:rPr>
          <w:rFonts w:ascii="Arial" w:hAnsi="Arial" w:cs="Arial"/>
          <w:b/>
          <w:bCs/>
          <w:sz w:val="28"/>
          <w:szCs w:val="28"/>
        </w:rPr>
      </w:pPr>
    </w:p>
    <w:p w:rsidR="006771A1" w:rsidP="006771A1" w:rsidRDefault="006771A1" w14:paraId="1067E5F3" w14:textId="77777777">
      <w:pPr>
        <w:spacing w:line="360" w:lineRule="auto"/>
        <w:jc w:val="both"/>
        <w:rPr>
          <w:rFonts w:ascii="Arial" w:hAnsi="Arial" w:cs="Arial"/>
          <w:b/>
          <w:bCs/>
          <w:sz w:val="28"/>
          <w:szCs w:val="28"/>
        </w:rPr>
      </w:pPr>
    </w:p>
    <w:p w:rsidR="006771A1" w:rsidP="6194F335" w:rsidRDefault="006771A1" w14:paraId="7FCACF15" w14:textId="7B4466F3">
      <w:pPr>
        <w:pStyle w:val="Normal"/>
        <w:spacing w:line="360" w:lineRule="auto"/>
        <w:jc w:val="both"/>
        <w:rPr>
          <w:rFonts w:ascii="Arial" w:hAnsi="Arial" w:cs="Arial"/>
          <w:b w:val="1"/>
          <w:bCs w:val="1"/>
          <w:sz w:val="28"/>
          <w:szCs w:val="28"/>
        </w:rPr>
      </w:pPr>
    </w:p>
    <w:p w:rsidR="563A5469" w:rsidP="563A5469" w:rsidRDefault="563A5469" w14:paraId="4C0AD2AE" w14:textId="2BEC5BF9">
      <w:pPr>
        <w:pStyle w:val="Normal"/>
        <w:spacing w:line="360" w:lineRule="auto"/>
        <w:jc w:val="both"/>
        <w:rPr>
          <w:rFonts w:ascii="Arial" w:hAnsi="Arial" w:cs="Arial"/>
          <w:b w:val="1"/>
          <w:bCs w:val="1"/>
          <w:sz w:val="28"/>
          <w:szCs w:val="28"/>
        </w:rPr>
      </w:pPr>
    </w:p>
    <w:p w:rsidRPr="00555250" w:rsidR="002E217C" w:rsidP="00DF6488" w:rsidRDefault="002E217C" w14:paraId="054FC36E" w14:textId="5733F856">
      <w:pPr>
        <w:spacing w:line="360" w:lineRule="auto"/>
        <w:jc w:val="center"/>
        <w:rPr>
          <w:rFonts w:ascii="Arial" w:hAnsi="Arial" w:cs="Arial"/>
          <w:b/>
          <w:bCs/>
          <w:color w:val="4C94D8" w:themeColor="text2" w:themeTint="80"/>
          <w:sz w:val="36"/>
          <w:szCs w:val="36"/>
        </w:rPr>
      </w:pPr>
      <w:r w:rsidRPr="00555250">
        <w:rPr>
          <w:rFonts w:ascii="Arial" w:hAnsi="Arial" w:cs="Arial"/>
          <w:b/>
          <w:bCs/>
          <w:color w:val="4C94D8" w:themeColor="text2" w:themeTint="80"/>
          <w:sz w:val="36"/>
          <w:szCs w:val="36"/>
        </w:rPr>
        <w:t>Research Proposal</w:t>
      </w:r>
    </w:p>
    <w:p w:rsidRPr="00F0588F" w:rsidR="002E217C" w:rsidP="00F0588F" w:rsidRDefault="002E217C" w14:paraId="5628FE45" w14:textId="145E7928">
      <w:pPr>
        <w:spacing w:line="360" w:lineRule="auto"/>
        <w:jc w:val="center"/>
        <w:rPr>
          <w:rFonts w:ascii="Arial" w:hAnsi="Arial" w:cs="Arial"/>
          <w:b/>
          <w:bCs/>
          <w:sz w:val="32"/>
          <w:szCs w:val="32"/>
        </w:rPr>
      </w:pPr>
      <w:r w:rsidRPr="00F0588F">
        <w:rPr>
          <w:rFonts w:ascii="Arial" w:hAnsi="Arial" w:cs="Arial"/>
          <w:b/>
          <w:bCs/>
          <w:sz w:val="32"/>
          <w:szCs w:val="32"/>
        </w:rPr>
        <w:t>Title</w:t>
      </w:r>
      <w:r w:rsidRPr="00F0588F" w:rsidR="002A31F8">
        <w:rPr>
          <w:rFonts w:ascii="Arial" w:hAnsi="Arial" w:cs="Arial"/>
          <w:b/>
          <w:bCs/>
          <w:sz w:val="32"/>
          <w:szCs w:val="32"/>
        </w:rPr>
        <w:t xml:space="preserve">: </w:t>
      </w:r>
      <w:r w:rsidRPr="00F0588F">
        <w:rPr>
          <w:rFonts w:ascii="Arial" w:hAnsi="Arial" w:cs="Arial"/>
          <w:b/>
          <w:bCs/>
          <w:sz w:val="32"/>
          <w:szCs w:val="32"/>
        </w:rPr>
        <w:t>The Impact of Hybrid Working on Employee Engagement in UK Organisations</w:t>
      </w:r>
    </w:p>
    <w:p w:rsidR="002E217C" w:rsidP="00DF6488" w:rsidRDefault="002E217C" w14:paraId="4C944C87" w14:textId="6588BB66">
      <w:pPr>
        <w:pStyle w:val="Heading1"/>
      </w:pPr>
      <w:bookmarkStart w:name="_Toc1972944172" w:id="564555564"/>
      <w:r w:rsidR="577CC86D">
        <w:rPr/>
        <w:t>1. Introduction</w:t>
      </w:r>
      <w:bookmarkEnd w:id="564555564"/>
      <w:r w:rsidR="577CC86D">
        <w:rPr/>
        <w:t xml:space="preserve"> </w:t>
      </w:r>
    </w:p>
    <w:p w:rsidRPr="00F42EA5" w:rsidR="00F42EA5" w:rsidP="00F42EA5" w:rsidRDefault="00F42EA5" w14:paraId="4E749C7D" w14:textId="4F99CB90">
      <w:pPr>
        <w:spacing w:line="360" w:lineRule="auto"/>
        <w:rPr>
          <w:rFonts w:ascii="Arial" w:hAnsi="Arial" w:cs="Arial"/>
        </w:rPr>
      </w:pPr>
      <w:r w:rsidRPr="6194F335" w:rsidR="4A6625A7">
        <w:rPr>
          <w:rFonts w:ascii="Arial" w:hAnsi="Arial" w:cs="Arial"/>
        </w:rPr>
        <w:t xml:space="preserve">One of the main changes to work patterns </w:t>
      </w:r>
      <w:r w:rsidRPr="6194F335" w:rsidR="4A6625A7">
        <w:rPr>
          <w:rFonts w:ascii="Arial" w:hAnsi="Arial" w:cs="Arial"/>
        </w:rPr>
        <w:t>because of</w:t>
      </w:r>
      <w:r w:rsidRPr="6194F335" w:rsidR="4A6625A7">
        <w:rPr>
          <w:rFonts w:ascii="Arial" w:hAnsi="Arial" w:cs="Arial"/>
        </w:rPr>
        <w:t xml:space="preserve"> the COVID-19 pandemic is the adoption of Hybrid working by many organizations around the world as the new normal and this allows their staff to work from the office and any other location. Hybrid working provides employees with the benefits of work life balance, reduced travel time between meetings, increased </w:t>
      </w:r>
      <w:r w:rsidRPr="6194F335" w:rsidR="4A6625A7">
        <w:rPr>
          <w:rFonts w:ascii="Arial" w:hAnsi="Arial" w:cs="Arial"/>
        </w:rPr>
        <w:t>productivity</w:t>
      </w:r>
      <w:r w:rsidRPr="6194F335" w:rsidR="4A6625A7">
        <w:rPr>
          <w:rFonts w:ascii="Arial" w:hAnsi="Arial" w:cs="Arial"/>
        </w:rPr>
        <w:t xml:space="preserve"> and improved health.</w:t>
      </w:r>
      <w:r w:rsidRPr="6194F335" w:rsidR="55FB5FF8">
        <w:rPr>
          <w:rFonts w:ascii="Arial" w:hAnsi="Arial" w:cs="Arial"/>
        </w:rPr>
        <w:t xml:space="preserve"> However, there are also many concerns relating to Hybrid working and its impact on employee engagement. Employee engagement is key to any organization and to them performing at their best and achieving their goals in terms of productivity, job </w:t>
      </w:r>
      <w:r w:rsidRPr="6194F335" w:rsidR="55FB5FF8">
        <w:rPr>
          <w:rFonts w:ascii="Arial" w:hAnsi="Arial" w:cs="Arial"/>
        </w:rPr>
        <w:t>satisfaction</w:t>
      </w:r>
      <w:r w:rsidRPr="6194F335" w:rsidR="55FB5FF8">
        <w:rPr>
          <w:rFonts w:ascii="Arial" w:hAnsi="Arial" w:cs="Arial"/>
        </w:rPr>
        <w:t xml:space="preserve"> and retention.</w:t>
      </w:r>
    </w:p>
    <w:p w:rsidRPr="00F42EA5" w:rsidR="00F42EA5" w:rsidP="00F42EA5" w:rsidRDefault="00F42EA5" w14:paraId="6AA4546E" w14:textId="1E72334D">
      <w:pPr>
        <w:spacing w:line="360" w:lineRule="auto"/>
        <w:rPr>
          <w:rFonts w:ascii="Arial" w:hAnsi="Arial" w:cs="Arial"/>
        </w:rPr>
      </w:pPr>
      <w:r w:rsidRPr="6194F335" w:rsidR="55FB5FF8">
        <w:rPr>
          <w:rFonts w:ascii="Arial" w:hAnsi="Arial" w:cs="Arial"/>
        </w:rPr>
        <w:t>This research is important because hybrid working has become a long-term way of working in many organizations across the UK. Little is known about</w:t>
      </w:r>
      <w:r w:rsidRPr="6194F335" w:rsidR="35BD5238">
        <w:rPr>
          <w:rFonts w:ascii="Arial" w:hAnsi="Arial" w:cs="Arial"/>
        </w:rPr>
        <w:t xml:space="preserve"> other</w:t>
      </w:r>
      <w:r w:rsidRPr="6194F335" w:rsidR="55FB5FF8">
        <w:rPr>
          <w:rFonts w:ascii="Arial" w:hAnsi="Arial" w:cs="Arial"/>
        </w:rPr>
        <w:t xml:space="preserve"> effects of hybrid working on employee engagement. What does exist provides a mixed picture and therefore requires further exploration.</w:t>
      </w:r>
    </w:p>
    <w:p w:rsidRPr="00F42EA5" w:rsidR="00F42EA5" w:rsidP="00F42EA5" w:rsidRDefault="00F42EA5" w14:paraId="3D47E4D1" w14:textId="6B6337BD">
      <w:pPr>
        <w:spacing w:line="360" w:lineRule="auto"/>
        <w:rPr>
          <w:rFonts w:ascii="Arial" w:hAnsi="Arial" w:cs="Arial"/>
        </w:rPr>
      </w:pPr>
      <w:r w:rsidRPr="563A5469" w:rsidR="55FB5FF8">
        <w:rPr>
          <w:rFonts w:ascii="Arial" w:hAnsi="Arial" w:cs="Arial"/>
        </w:rPr>
        <w:t>This study is a qualitative study that examines the impact of hybrid working on employees’ levels of engagement in UK organizations. The secondary data used in this study is sourced from a variety of places including on-line journal articles, books, UK Government reports and organizational and industry studies.</w:t>
      </w:r>
    </w:p>
    <w:p w:rsidRPr="00F42EA5" w:rsidR="00F42EA5" w:rsidP="6194F335" w:rsidRDefault="00F42EA5" w14:paraId="31FAFB60" w14:textId="1CA048DF">
      <w:pPr>
        <w:spacing w:line="360" w:lineRule="auto"/>
        <w:rPr>
          <w:rFonts w:ascii="Arial" w:hAnsi="Arial" w:cs="Arial"/>
        </w:rPr>
      </w:pPr>
      <w:r w:rsidRPr="6194F335" w:rsidR="2D0056C1">
        <w:rPr>
          <w:rFonts w:ascii="Arial" w:hAnsi="Arial" w:cs="Arial"/>
        </w:rPr>
        <w:t xml:space="preserve">This study addresses the current knowledge gap as to the long- and short-term effects of hybrid working on employee engagement in UK organizations. </w:t>
      </w:r>
    </w:p>
    <w:p w:rsidRPr="00F42EA5" w:rsidR="00F42EA5" w:rsidP="00F42EA5" w:rsidRDefault="00F42EA5" w14:paraId="14EEAE60" w14:textId="25C62001">
      <w:pPr>
        <w:spacing w:line="360" w:lineRule="auto"/>
        <w:rPr>
          <w:rFonts w:ascii="Arial" w:hAnsi="Arial" w:cs="Arial"/>
        </w:rPr>
      </w:pPr>
      <w:r w:rsidRPr="6194F335" w:rsidR="55FB5FF8">
        <w:rPr>
          <w:rFonts w:ascii="Arial" w:hAnsi="Arial" w:cs="Arial"/>
        </w:rPr>
        <w:t xml:space="preserve">The findings from this research will enable managers, HR </w:t>
      </w:r>
      <w:r w:rsidRPr="6194F335" w:rsidR="55FB5FF8">
        <w:rPr>
          <w:rFonts w:ascii="Arial" w:hAnsi="Arial" w:cs="Arial"/>
        </w:rPr>
        <w:t>practitioners</w:t>
      </w:r>
      <w:r w:rsidRPr="6194F335" w:rsidR="55FB5FF8">
        <w:rPr>
          <w:rFonts w:ascii="Arial" w:hAnsi="Arial" w:cs="Arial"/>
        </w:rPr>
        <w:t xml:space="preserve"> and policy makers to develop strategies which will increase employee engagement and enhance organizational performance through the implementation of hybrid working.</w:t>
      </w:r>
    </w:p>
    <w:p w:rsidRPr="002A31F8" w:rsidR="002E217C" w:rsidP="00DF6488" w:rsidRDefault="002E217C" w14:paraId="14651C2E" w14:textId="4CA43DD2">
      <w:pPr>
        <w:pStyle w:val="Heading1"/>
      </w:pPr>
      <w:bookmarkStart w:name="_Toc1900232573" w:id="1030702443"/>
      <w:r w:rsidR="577CC86D">
        <w:rPr/>
        <w:t>2. Research Aim, Objectives and Research Questions</w:t>
      </w:r>
      <w:bookmarkEnd w:id="1030702443"/>
      <w:r w:rsidR="577CC86D">
        <w:rPr/>
        <w:t xml:space="preserve"> </w:t>
      </w:r>
    </w:p>
    <w:p w:rsidR="002E217C" w:rsidP="00DF6488" w:rsidRDefault="002E217C" w14:paraId="05F6D426" w14:textId="77777777">
      <w:pPr>
        <w:pStyle w:val="Heading2"/>
      </w:pPr>
      <w:bookmarkStart w:name="_Toc1013334561" w:id="1932185896"/>
      <w:r w:rsidR="577CC86D">
        <w:rPr/>
        <w:t>Research Aim</w:t>
      </w:r>
      <w:bookmarkEnd w:id="1932185896"/>
    </w:p>
    <w:p w:rsidR="002E217C" w:rsidP="6194F335" w:rsidRDefault="002E217C" w14:paraId="17E69793" w14:textId="3B5988BC">
      <w:pPr>
        <w:pStyle w:val="Normal"/>
        <w:spacing w:line="360" w:lineRule="auto"/>
        <w:rPr>
          <w:rFonts w:ascii="Arial" w:hAnsi="Arial" w:eastAsia="Arial" w:cs="Arial"/>
          <w:sz w:val="22"/>
          <w:szCs w:val="22"/>
        </w:rPr>
      </w:pPr>
      <w:r w:rsidRPr="6194F335" w:rsidR="5D2B60BA">
        <w:rPr>
          <w:rFonts w:ascii="Arial" w:hAnsi="Arial" w:eastAsia="Arial" w:cs="Arial"/>
        </w:rPr>
        <w:t xml:space="preserve">An exploratory study into the effects of hybrid working on employee engagement in organizations in the UK. </w:t>
      </w:r>
    </w:p>
    <w:p w:rsidR="002E217C" w:rsidP="00DF6488" w:rsidRDefault="002E217C" w14:paraId="43D22146" w14:textId="6EAAE9EF">
      <w:pPr>
        <w:pStyle w:val="Heading2"/>
      </w:pPr>
      <w:bookmarkStart w:name="_Toc199327659" w:id="2122110739"/>
      <w:r w:rsidR="577CC86D">
        <w:rPr/>
        <w:t>Research Objectives</w:t>
      </w:r>
      <w:bookmarkEnd w:id="2122110739"/>
    </w:p>
    <w:p w:rsidRPr="00F813AD" w:rsidR="00F813AD" w:rsidP="00F813AD" w:rsidRDefault="00F813AD" w14:paraId="1428F46B" w14:textId="364A13E1">
      <w:pPr>
        <w:spacing w:line="360" w:lineRule="auto"/>
        <w:rPr>
          <w:rFonts w:ascii="Arial" w:hAnsi="Arial" w:cs="Arial"/>
        </w:rPr>
      </w:pPr>
      <w:r w:rsidRPr="00F813AD">
        <w:rPr>
          <w:rFonts w:ascii="Arial" w:hAnsi="Arial" w:cs="Arial"/>
        </w:rPr>
        <w:t>1. Hybrid working in UK organisations has several key characteristics.</w:t>
      </w:r>
    </w:p>
    <w:p w:rsidRPr="00F813AD" w:rsidR="00F813AD" w:rsidP="00F813AD" w:rsidRDefault="00F813AD" w14:paraId="02356C90" w14:textId="624211BF">
      <w:pPr>
        <w:spacing w:line="360" w:lineRule="auto"/>
        <w:rPr>
          <w:rFonts w:ascii="Arial" w:hAnsi="Arial" w:cs="Arial"/>
        </w:rPr>
      </w:pPr>
      <w:r w:rsidRPr="00F813AD">
        <w:rPr>
          <w:rFonts w:ascii="Arial" w:hAnsi="Arial" w:cs="Arial"/>
        </w:rPr>
        <w:t>2. To explore the factors which affect employee engagement because of employees working hybrid working patterns.</w:t>
      </w:r>
    </w:p>
    <w:p w:rsidRPr="00F813AD" w:rsidR="00F813AD" w:rsidP="00F813AD" w:rsidRDefault="00F813AD" w14:paraId="2DCDA35D" w14:textId="569292EC">
      <w:pPr>
        <w:spacing w:line="360" w:lineRule="auto"/>
        <w:rPr>
          <w:rFonts w:ascii="Arial" w:hAnsi="Arial" w:cs="Arial"/>
        </w:rPr>
      </w:pPr>
      <w:r w:rsidRPr="00F813AD">
        <w:rPr>
          <w:rFonts w:ascii="Arial" w:hAnsi="Arial" w:cs="Arial"/>
        </w:rPr>
        <w:t>3. What are the key organizational practices that support employee engagement in hybrid working environments?</w:t>
      </w:r>
    </w:p>
    <w:p w:rsidR="002E217C" w:rsidP="00DF6488" w:rsidRDefault="002E217C" w14:paraId="558711D5" w14:textId="77777777">
      <w:pPr>
        <w:pStyle w:val="Heading2"/>
      </w:pPr>
      <w:bookmarkStart w:name="_Toc1689272348" w:id="41908777"/>
      <w:r w:rsidR="577CC86D">
        <w:rPr/>
        <w:t>Research Questions</w:t>
      </w:r>
      <w:bookmarkEnd w:id="41908777"/>
    </w:p>
    <w:p w:rsidRPr="00F813AD" w:rsidR="00F813AD" w:rsidP="00F813AD" w:rsidRDefault="00F813AD" w14:paraId="3AC0FE1D" w14:textId="4C171DD4">
      <w:pPr>
        <w:spacing w:line="360" w:lineRule="auto"/>
        <w:rPr>
          <w:rFonts w:ascii="Arial" w:hAnsi="Arial" w:cs="Arial"/>
        </w:rPr>
      </w:pPr>
      <w:r w:rsidRPr="00F813AD">
        <w:rPr>
          <w:rFonts w:ascii="Arial" w:hAnsi="Arial" w:cs="Arial"/>
        </w:rPr>
        <w:t>RQ1: What are the dominant dimensions or characteristics of hybrid working currently in practice in UK</w:t>
      </w:r>
      <w:r w:rsidR="00F0588F">
        <w:rPr>
          <w:rFonts w:ascii="Arial" w:hAnsi="Arial" w:cs="Arial"/>
        </w:rPr>
        <w:t xml:space="preserve"> </w:t>
      </w:r>
      <w:r w:rsidRPr="00F813AD">
        <w:rPr>
          <w:rFonts w:ascii="Arial" w:hAnsi="Arial" w:cs="Arial"/>
        </w:rPr>
        <w:t>organizations?</w:t>
      </w:r>
    </w:p>
    <w:p w:rsidRPr="00F813AD" w:rsidR="00F813AD" w:rsidP="00F813AD" w:rsidRDefault="00F813AD" w14:paraId="18E173A8" w14:textId="77777777">
      <w:pPr>
        <w:spacing w:line="360" w:lineRule="auto"/>
        <w:rPr>
          <w:rFonts w:ascii="Arial" w:hAnsi="Arial" w:cs="Arial"/>
        </w:rPr>
      </w:pPr>
      <w:r w:rsidRPr="00F813AD">
        <w:rPr>
          <w:rFonts w:ascii="Arial" w:hAnsi="Arial" w:cs="Arial"/>
        </w:rPr>
        <w:t>RQ2: How does hybrid work influence employee engagement?</w:t>
      </w:r>
    </w:p>
    <w:p w:rsidR="00F813AD" w:rsidP="563A5469" w:rsidRDefault="00F813AD" w14:paraId="0A9CDAB1" w14:textId="26BC73D8">
      <w:pPr>
        <w:spacing w:line="360" w:lineRule="auto"/>
        <w:rPr>
          <w:rFonts w:ascii="Arial" w:hAnsi="Arial" w:cs="Arial"/>
        </w:rPr>
      </w:pPr>
      <w:r w:rsidRPr="563A5469" w:rsidR="00F813AD">
        <w:rPr>
          <w:rFonts w:ascii="Arial" w:hAnsi="Arial" w:cs="Arial"/>
        </w:rPr>
        <w:t>RQ3: How do organizations practice increasing employee engagement in hybrid working environments?</w:t>
      </w:r>
    </w:p>
    <w:p w:rsidR="000D386D" w:rsidP="00DF6488" w:rsidRDefault="000D386D" w14:paraId="55EFCB23" w14:textId="58D7D5B1">
      <w:pPr>
        <w:pStyle w:val="Heading1"/>
      </w:pPr>
      <w:bookmarkStart w:name="_Toc227016993" w:id="415682789"/>
      <w:r w:rsidR="77D340A9">
        <w:rPr/>
        <w:t>3.</w:t>
      </w:r>
      <w:r w:rsidR="577CC86D">
        <w:rPr/>
        <w:t>Literature Review</w:t>
      </w:r>
      <w:bookmarkEnd w:id="415682789"/>
    </w:p>
    <w:p w:rsidR="00F813AD" w:rsidP="6194F335" w:rsidRDefault="00F813AD" w14:paraId="10458041" w14:textId="1DCC1B3C">
      <w:pPr>
        <w:spacing w:line="360" w:lineRule="auto"/>
        <w:jc w:val="both"/>
        <w:rPr>
          <w:rFonts w:ascii="Arial" w:hAnsi="Arial" w:cs="Arial"/>
        </w:rPr>
      </w:pPr>
      <w:r w:rsidRPr="6194F335" w:rsidR="371D755E">
        <w:rPr>
          <w:rFonts w:ascii="Arial" w:hAnsi="Arial" w:cs="Arial"/>
        </w:rPr>
        <w:t xml:space="preserve">The adoption of hybrid working by organisations across the UK has increased at a rapid rate over the last year, with hybrid working becoming the long-term way of working, where employees can go to a variety of different locations to work as well as going to the organisation’s headquarters at times to suit, (Allen, Golden and Shockley, 2021). Initially put in place as an emergency measure during the COVID-19 pandemic to try and stop the spread of the virus and to keep employees safe, hybrid work has proven to be so beneficial that employees value the ability to work from a number of different locations, as it enables them to have a better work-life balance, saves time travelling to and from work and gives them greater autonomy at work, (Barrero, Bloom and Davis, 2023). </w:t>
      </w:r>
    </w:p>
    <w:p w:rsidR="00F813AD" w:rsidP="006771A1" w:rsidRDefault="00F813AD" w14:paraId="0F0DE70E" w14:textId="71D9692E">
      <w:pPr>
        <w:spacing w:line="360" w:lineRule="auto"/>
        <w:jc w:val="both"/>
        <w:rPr>
          <w:rFonts w:ascii="Arial" w:hAnsi="Arial" w:cs="Arial"/>
        </w:rPr>
      </w:pPr>
      <w:r w:rsidRPr="563A5469" w:rsidR="371D755E">
        <w:rPr>
          <w:rFonts w:ascii="Arial" w:hAnsi="Arial" w:cs="Arial"/>
        </w:rPr>
        <w:t xml:space="preserve">Work engagement is a positive psychological state of vitality, dedication, and absorption (Schaufeli et al., 2002). </w:t>
      </w:r>
      <w:r w:rsidRPr="563A5469" w:rsidR="3A4596DD">
        <w:rPr>
          <w:rFonts w:ascii="Arial" w:hAnsi="Arial" w:cs="Arial"/>
        </w:rPr>
        <w:t>The engaged employee is motivated, committed to the job, and brings energy to work to make sure that the organization is successful and that they are doing the best job they can with the discretionary effort that they bring to work. As organizations around the world have moved to hybrid ways of working, there are many benefits to employee motivation and satisfying jobs, with several key factors including autonomy. As Choudhury, Foroughi and Larson (2021) found, location flexibility can increase commitment from employees as it allows working practices to be designed that take account of employees’ best work times as well as other personal factors</w:t>
      </w:r>
      <w:r w:rsidRPr="563A5469" w:rsidR="72175089">
        <w:rPr>
          <w:rFonts w:ascii="Arial" w:hAnsi="Arial" w:cs="Arial"/>
        </w:rPr>
        <w:t>.</w:t>
      </w:r>
    </w:p>
    <w:p w:rsidR="00F813AD" w:rsidP="006771A1" w:rsidRDefault="00F813AD" w14:paraId="63CE6C20" w14:textId="058EF124">
      <w:pPr>
        <w:spacing w:line="360" w:lineRule="auto"/>
        <w:jc w:val="both"/>
        <w:rPr>
          <w:rFonts w:ascii="Arial" w:hAnsi="Arial" w:cs="Arial"/>
        </w:rPr>
      </w:pPr>
      <w:r w:rsidRPr="6194F335" w:rsidR="3A4596DD">
        <w:rPr>
          <w:rFonts w:ascii="Arial" w:hAnsi="Arial" w:cs="Arial"/>
        </w:rPr>
        <w:t xml:space="preserve">While much of the organizational work on hybrid work is positioned to enhance employee engagement by enabling employees to work in the way that is most effective, the evidence to date is patchier. There are a few studies that highlight the way in which hybrid workers are unable to engage in on an ongoing basis face-to-face with their colleagues and as a result experience </w:t>
      </w:r>
      <w:r w:rsidRPr="6194F335" w:rsidR="646B8EC4">
        <w:rPr>
          <w:rFonts w:ascii="Arial" w:hAnsi="Arial" w:cs="Arial"/>
        </w:rPr>
        <w:t>a few</w:t>
      </w:r>
      <w:r w:rsidRPr="6194F335" w:rsidR="3A4596DD">
        <w:rPr>
          <w:rFonts w:ascii="Arial" w:hAnsi="Arial" w:cs="Arial"/>
        </w:rPr>
        <w:t xml:space="preserve"> detriments including social isolation, communication problems and lack of access to informal support</w:t>
      </w:r>
      <w:r w:rsidRPr="6194F335" w:rsidR="646B8EC4">
        <w:rPr>
          <w:rFonts w:ascii="Arial" w:hAnsi="Arial" w:cs="Arial"/>
        </w:rPr>
        <w:t xml:space="preserve"> </w:t>
      </w:r>
      <w:r w:rsidRPr="6194F335" w:rsidR="646B8EC4">
        <w:rPr>
          <w:rFonts w:ascii="Arial" w:hAnsi="Arial" w:cs="Arial"/>
        </w:rPr>
        <w:t>(</w:t>
      </w:r>
      <w:r w:rsidRPr="6194F335" w:rsidR="646B8EC4">
        <w:rPr>
          <w:rFonts w:ascii="Arial" w:hAnsi="Arial" w:cs="Arial"/>
        </w:rPr>
        <w:t>Wang et al.</w:t>
      </w:r>
      <w:r w:rsidRPr="6194F335" w:rsidR="646B8EC4">
        <w:rPr>
          <w:rFonts w:ascii="Arial" w:hAnsi="Arial" w:cs="Arial"/>
        </w:rPr>
        <w:t xml:space="preserve">, </w:t>
      </w:r>
      <w:r w:rsidRPr="6194F335" w:rsidR="646B8EC4">
        <w:rPr>
          <w:rFonts w:ascii="Arial" w:hAnsi="Arial" w:cs="Arial"/>
        </w:rPr>
        <w:t>2021)</w:t>
      </w:r>
      <w:r w:rsidRPr="6194F335" w:rsidR="3A4596DD">
        <w:rPr>
          <w:rFonts w:ascii="Arial" w:hAnsi="Arial" w:cs="Arial"/>
        </w:rPr>
        <w:t xml:space="preserve">. These in turn have the potential to impact on </w:t>
      </w:r>
      <w:r w:rsidRPr="6194F335" w:rsidR="646B8EC4">
        <w:rPr>
          <w:rFonts w:ascii="Arial" w:hAnsi="Arial" w:cs="Arial"/>
        </w:rPr>
        <w:t>several</w:t>
      </w:r>
      <w:r w:rsidRPr="6194F335" w:rsidR="3A4596DD">
        <w:rPr>
          <w:rFonts w:ascii="Arial" w:hAnsi="Arial" w:cs="Arial"/>
        </w:rPr>
        <w:t xml:space="preserve"> dimensions, including collaboration, organizational identification and workplace relationships and hence negatively impact on employee engagement</w:t>
      </w:r>
      <w:r w:rsidRPr="6194F335" w:rsidR="646B8EC4">
        <w:rPr>
          <w:rFonts w:ascii="Arial" w:hAnsi="Arial" w:cs="Arial"/>
        </w:rPr>
        <w:t xml:space="preserve"> (</w:t>
      </w:r>
      <w:proofErr w:type="spellStart"/>
      <w:r w:rsidRPr="6194F335" w:rsidR="646B8EC4">
        <w:rPr>
          <w:rFonts w:ascii="Arial" w:hAnsi="Arial" w:cs="Arial"/>
        </w:rPr>
        <w:t>Waizenegger</w:t>
      </w:r>
      <w:proofErr w:type="spellEnd"/>
      <w:r w:rsidRPr="6194F335" w:rsidR="646B8EC4">
        <w:rPr>
          <w:rFonts w:ascii="Arial" w:hAnsi="Arial" w:cs="Arial"/>
        </w:rPr>
        <w:t xml:space="preserve"> et al.</w:t>
      </w:r>
      <w:r w:rsidRPr="6194F335" w:rsidR="646B8EC4">
        <w:rPr>
          <w:rFonts w:ascii="Arial" w:hAnsi="Arial" w:cs="Arial"/>
        </w:rPr>
        <w:t xml:space="preserve">, </w:t>
      </w:r>
      <w:r w:rsidRPr="6194F335" w:rsidR="646B8EC4">
        <w:rPr>
          <w:rFonts w:ascii="Arial" w:hAnsi="Arial" w:cs="Arial"/>
        </w:rPr>
        <w:t>2020)</w:t>
      </w:r>
      <w:r w:rsidRPr="6194F335" w:rsidR="3A4596DD">
        <w:rPr>
          <w:rFonts w:ascii="Arial" w:hAnsi="Arial" w:cs="Arial"/>
        </w:rPr>
        <w:t>. However, as with any organizational policy or practice, the impact on employee engagement will depend on the organization managing the benefits and drawbacks to develop an optimal hybrid work environment.</w:t>
      </w:r>
    </w:p>
    <w:p w:rsidR="124BFF30" w:rsidP="6194F335" w:rsidRDefault="124BFF30" w14:paraId="13C574A8" w14:textId="1502A775">
      <w:pPr>
        <w:spacing w:line="360" w:lineRule="auto"/>
        <w:jc w:val="both"/>
        <w:rPr>
          <w:rFonts w:ascii="Arial" w:hAnsi="Arial" w:cs="Arial"/>
        </w:rPr>
      </w:pPr>
      <w:r w:rsidRPr="563A5469" w:rsidR="124BFF30">
        <w:rPr>
          <w:rFonts w:ascii="Arial" w:hAnsi="Arial" w:cs="Arial"/>
        </w:rPr>
        <w:t xml:space="preserve">From a theoretical perspective, the differences between this study and other studies can be explained </w:t>
      </w:r>
      <w:r w:rsidRPr="563A5469" w:rsidR="124BFF30">
        <w:rPr>
          <w:rFonts w:ascii="Arial" w:hAnsi="Arial" w:cs="Arial"/>
        </w:rPr>
        <w:t>by means of</w:t>
      </w:r>
      <w:r w:rsidRPr="563A5469" w:rsidR="124BFF30">
        <w:rPr>
          <w:rFonts w:ascii="Arial" w:hAnsi="Arial" w:cs="Arial"/>
        </w:rPr>
        <w:t xml:space="preserve"> the </w:t>
      </w:r>
      <w:r w:rsidRPr="563A5469" w:rsidR="124BFF30">
        <w:rPr>
          <w:rFonts w:ascii="Arial" w:hAnsi="Arial" w:cs="Arial"/>
          <w:b w:val="1"/>
          <w:bCs w:val="1"/>
        </w:rPr>
        <w:t>Job Demands-Resources (JD-R) Model</w:t>
      </w:r>
      <w:r w:rsidRPr="563A5469" w:rsidR="124BFF30">
        <w:rPr>
          <w:rFonts w:ascii="Arial" w:hAnsi="Arial" w:cs="Arial"/>
        </w:rPr>
        <w:t xml:space="preserve">. This model explains how the well-being of and the engagement of employees are </w:t>
      </w:r>
      <w:r w:rsidRPr="563A5469" w:rsidR="124BFF30">
        <w:rPr>
          <w:rFonts w:ascii="Arial" w:hAnsi="Arial" w:cs="Arial"/>
        </w:rPr>
        <w:t>determined</w:t>
      </w:r>
      <w:r w:rsidRPr="563A5469" w:rsidR="124BFF30">
        <w:rPr>
          <w:rFonts w:ascii="Arial" w:hAnsi="Arial" w:cs="Arial"/>
        </w:rPr>
        <w:t xml:space="preserve"> by the balance between job demands and job resources</w:t>
      </w:r>
      <w:r w:rsidRPr="563A5469" w:rsidR="124BFF30">
        <w:rPr>
          <w:rFonts w:ascii="Arial" w:hAnsi="Arial" w:cs="Arial"/>
        </w:rPr>
        <w:t xml:space="preserve">. </w:t>
      </w:r>
    </w:p>
    <w:p w:rsidR="41C950BE" w:rsidP="6194F335" w:rsidRDefault="41C950BE" w14:paraId="5116235E" w14:textId="3DC1E8FE">
      <w:pPr>
        <w:spacing w:line="360" w:lineRule="auto"/>
        <w:jc w:val="both"/>
        <w:rPr>
          <w:rFonts w:ascii="Arial" w:hAnsi="Arial" w:cs="Arial"/>
        </w:rPr>
      </w:pPr>
      <w:r w:rsidRPr="563A5469" w:rsidR="41C950BE">
        <w:rPr>
          <w:rFonts w:ascii="Arial" w:hAnsi="Arial" w:cs="Arial"/>
        </w:rPr>
        <w:t xml:space="preserve">In addition to potential job demands, hybrid work can also bring many job resources. These include flexibility, autonomy, support from managers and colleagues, access to digital tools, and a good work-life balance (Bakker and Albrecht, 2018). One key job resource for employees is autonomy at work, because it enables them to work in ways that best suit them (Knight, </w:t>
      </w:r>
      <w:r w:rsidRPr="563A5469" w:rsidR="41C950BE">
        <w:rPr>
          <w:rFonts w:ascii="Arial" w:hAnsi="Arial" w:cs="Arial"/>
        </w:rPr>
        <w:t>Patterson</w:t>
      </w:r>
      <w:r w:rsidRPr="563A5469" w:rsidR="41C950BE">
        <w:rPr>
          <w:rFonts w:ascii="Arial" w:hAnsi="Arial" w:cs="Arial"/>
        </w:rPr>
        <w:t xml:space="preserve"> and Dawson, 2019). </w:t>
      </w:r>
      <w:r w:rsidRPr="563A5469" w:rsidR="31FA1F67">
        <w:rPr>
          <w:rFonts w:ascii="Arial" w:hAnsi="Arial" w:cs="Arial"/>
        </w:rPr>
        <w:t>Another</w:t>
      </w:r>
      <w:r w:rsidRPr="563A5469" w:rsidR="31FA1F67">
        <w:rPr>
          <w:rFonts w:ascii="Arial" w:hAnsi="Arial" w:cs="Arial"/>
        </w:rPr>
        <w:t xml:space="preserve"> </w:t>
      </w:r>
      <w:r w:rsidRPr="563A5469" w:rsidR="41C950BE">
        <w:rPr>
          <w:rFonts w:ascii="Arial" w:hAnsi="Arial" w:cs="Arial"/>
        </w:rPr>
        <w:t xml:space="preserve">example, employees may experience social isolation and communication problems, struggle to ‘switch off’ from work, and have an increased reliance on technology (Wang et al., Wang, 2021). </w:t>
      </w:r>
    </w:p>
    <w:p w:rsidR="120ABCD3" w:rsidP="6194F335" w:rsidRDefault="120ABCD3" w14:paraId="2A0A0930" w14:textId="0E494152">
      <w:pPr>
        <w:spacing w:line="360" w:lineRule="auto"/>
        <w:jc w:val="both"/>
        <w:rPr>
          <w:rFonts w:ascii="Arial" w:hAnsi="Arial" w:cs="Arial"/>
        </w:rPr>
      </w:pPr>
      <w:r w:rsidRPr="563A5469" w:rsidR="120ABCD3">
        <w:rPr>
          <w:rFonts w:ascii="Arial" w:hAnsi="Arial" w:cs="Arial"/>
        </w:rPr>
        <w:t xml:space="preserve">Recent studies which tested the Job Demands-Resources (JD-R) model in the context of hybrid work confirmed the hypotheses. Employees’ engagement at work increases when they have autonomy at work and when they perceive organizational support. Conversely, engagement at work decreases when there is technostress and when there is </w:t>
      </w:r>
      <w:r w:rsidRPr="563A5469" w:rsidR="120ABCD3">
        <w:rPr>
          <w:rFonts w:ascii="Arial" w:hAnsi="Arial" w:cs="Arial"/>
        </w:rPr>
        <w:t>a high level</w:t>
      </w:r>
      <w:r w:rsidRPr="563A5469" w:rsidR="120ABCD3">
        <w:rPr>
          <w:rFonts w:ascii="Arial" w:hAnsi="Arial" w:cs="Arial"/>
        </w:rPr>
        <w:t xml:space="preserve"> of workload at work (Molino et al., 2020). As for digital tools at work, they can support or undermine engagement at work, depending on the way in which this is managed. In fact, while </w:t>
      </w:r>
      <w:r w:rsidRPr="563A5469" w:rsidR="120ABCD3">
        <w:rPr>
          <w:rFonts w:ascii="Arial" w:hAnsi="Arial" w:cs="Arial"/>
        </w:rPr>
        <w:t>good communication</w:t>
      </w:r>
      <w:r w:rsidRPr="563A5469" w:rsidR="120ABCD3">
        <w:rPr>
          <w:rFonts w:ascii="Arial" w:hAnsi="Arial" w:cs="Arial"/>
        </w:rPr>
        <w:t xml:space="preserve"> can prevent strain caused by digital tools, bad communication can increase the sense of strain (Van </w:t>
      </w:r>
      <w:r w:rsidRPr="563A5469" w:rsidR="120ABCD3">
        <w:rPr>
          <w:rFonts w:ascii="Arial" w:hAnsi="Arial" w:cs="Arial"/>
        </w:rPr>
        <w:t>Zoonen</w:t>
      </w:r>
      <w:r w:rsidRPr="563A5469" w:rsidR="120ABCD3">
        <w:rPr>
          <w:rFonts w:ascii="Arial" w:hAnsi="Arial" w:cs="Arial"/>
        </w:rPr>
        <w:t xml:space="preserve"> and </w:t>
      </w:r>
      <w:r w:rsidRPr="563A5469" w:rsidR="120ABCD3">
        <w:rPr>
          <w:rFonts w:ascii="Arial" w:hAnsi="Arial" w:cs="Arial"/>
        </w:rPr>
        <w:t>Sivunen</w:t>
      </w:r>
      <w:r w:rsidRPr="563A5469" w:rsidR="120ABCD3">
        <w:rPr>
          <w:rFonts w:ascii="Arial" w:hAnsi="Arial" w:cs="Arial"/>
        </w:rPr>
        <w:t>, 2022).</w:t>
      </w:r>
    </w:p>
    <w:p w:rsidR="1A31A3FA" w:rsidP="6194F335" w:rsidRDefault="1A31A3FA" w14:paraId="6A3D57D8" w14:textId="729C374D">
      <w:pPr>
        <w:spacing w:line="360" w:lineRule="auto"/>
        <w:jc w:val="both"/>
        <w:rPr>
          <w:rFonts w:ascii="Arial" w:hAnsi="Arial" w:cs="Arial"/>
        </w:rPr>
      </w:pPr>
      <w:r w:rsidRPr="563A5469" w:rsidR="1A31A3FA">
        <w:rPr>
          <w:rFonts w:ascii="Arial" w:hAnsi="Arial" w:cs="Arial"/>
        </w:rPr>
        <w:t>Most research on work and its employee outcomes is focused on the employees’ well-being and work performance while at work. There is limited research which investigates the impact that work has on employee engagement.</w:t>
      </w:r>
    </w:p>
    <w:p w:rsidR="6194F335" w:rsidP="6194F335" w:rsidRDefault="6194F335" w14:paraId="7E2FE347" w14:textId="434B62F1">
      <w:pPr>
        <w:spacing w:line="360" w:lineRule="auto"/>
        <w:jc w:val="both"/>
        <w:rPr>
          <w:rFonts w:ascii="Arial" w:hAnsi="Arial" w:cs="Arial"/>
        </w:rPr>
      </w:pPr>
    </w:p>
    <w:p w:rsidR="006771A1" w:rsidP="006771A1" w:rsidRDefault="006771A1" w14:paraId="5A9114FF" w14:textId="6E771E05">
      <w:pPr>
        <w:spacing w:line="360" w:lineRule="auto"/>
        <w:jc w:val="center"/>
        <w:rPr>
          <w:rFonts w:ascii="Arial" w:hAnsi="Arial" w:cs="Arial"/>
        </w:rPr>
      </w:pPr>
      <w:r w:rsidR="27F78FA9">
        <w:drawing>
          <wp:inline wp14:editId="3D355013" wp14:anchorId="6AC7A378">
            <wp:extent cx="5848350" cy="3824010"/>
            <wp:effectExtent l="133350" t="133350" r="152400" b="138430"/>
            <wp:docPr id="1886661520"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86661520" name=""/>
                    <pic:cNvPicPr/>
                  </pic:nvPicPr>
                  <pic:blipFill>
                    <a:blip xmlns:r="http://schemas.openxmlformats.org/officeDocument/2006/relationships" r:embed="rId12"/>
                    <a:srcRect/>
                    <a:stretch>
                      <a:fillRect/>
                    </a:stretch>
                  </pic:blipFill>
                  <pic:spPr>
                    <a:xfrm>
                      <a:off x="0" y="0"/>
                      <a:ext cx="5848350" cy="38240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Pr="006771A1" w:rsidR="006771A1" w:rsidP="006771A1" w:rsidRDefault="006771A1" w14:paraId="2E8CE4A4" w14:textId="63EF2416">
      <w:pPr>
        <w:spacing w:line="360" w:lineRule="auto"/>
        <w:jc w:val="center"/>
        <w:rPr>
          <w:rFonts w:ascii="Arial" w:hAnsi="Arial" w:cs="Arial"/>
          <w:b/>
          <w:bCs/>
        </w:rPr>
      </w:pPr>
      <w:bookmarkStart w:name="_Toc165037529" w:id="6"/>
      <w:r w:rsidRPr="006771A1">
        <w:rPr>
          <w:rFonts w:ascii="Arial" w:hAnsi="Arial" w:cs="Arial"/>
          <w:b/>
          <w:bCs/>
        </w:rPr>
        <w:t xml:space="preserve">Figure </w:t>
      </w:r>
      <w:r w:rsidRPr="006771A1">
        <w:rPr>
          <w:rFonts w:ascii="Arial" w:hAnsi="Arial" w:cs="Arial"/>
          <w:lang w:val="en-IN"/>
        </w:rPr>
        <w:fldChar w:fldCharType="begin"/>
      </w:r>
      <w:r w:rsidRPr="006771A1">
        <w:rPr>
          <w:rFonts w:ascii="Arial" w:hAnsi="Arial" w:cs="Arial"/>
          <w:b/>
          <w:bCs/>
        </w:rPr>
        <w:instrText xml:space="preserve"> SEQ Figure \* ARABIC </w:instrText>
      </w:r>
      <w:r w:rsidRPr="006771A1">
        <w:rPr>
          <w:rFonts w:ascii="Arial" w:hAnsi="Arial" w:cs="Arial"/>
          <w:lang w:val="en-IN"/>
        </w:rPr>
        <w:fldChar w:fldCharType="separate"/>
      </w:r>
      <w:r w:rsidRPr="006771A1">
        <w:rPr>
          <w:rFonts w:ascii="Arial" w:hAnsi="Arial" w:cs="Arial"/>
          <w:b/>
          <w:bCs/>
        </w:rPr>
        <w:t>1</w:t>
      </w:r>
      <w:r w:rsidRPr="006771A1">
        <w:rPr>
          <w:rFonts w:ascii="Arial" w:hAnsi="Arial" w:cs="Arial"/>
        </w:rPr>
        <w:fldChar w:fldCharType="end"/>
      </w:r>
      <w:r w:rsidRPr="006771A1">
        <w:rPr>
          <w:rFonts w:ascii="Arial" w:hAnsi="Arial" w:cs="Arial"/>
          <w:b/>
          <w:bCs/>
        </w:rPr>
        <w:t>:</w:t>
      </w:r>
      <w:r>
        <w:rPr>
          <w:rFonts w:ascii="Arial" w:hAnsi="Arial" w:cs="Arial"/>
          <w:b/>
          <w:bCs/>
        </w:rPr>
        <w:t xml:space="preserve"> Job Demands-Resources (JD-R) Theory</w:t>
      </w:r>
      <w:r w:rsidRPr="006771A1">
        <w:rPr>
          <w:rFonts w:ascii="Arial" w:hAnsi="Arial" w:cs="Arial"/>
          <w:b/>
          <w:bCs/>
        </w:rPr>
        <w:t xml:space="preserve"> </w:t>
      </w:r>
      <w:r>
        <w:rPr>
          <w:rFonts w:ascii="Arial" w:hAnsi="Arial" w:cs="Arial"/>
          <w:b/>
          <w:bCs/>
        </w:rPr>
        <w:t>F</w:t>
      </w:r>
      <w:r w:rsidRPr="006771A1">
        <w:rPr>
          <w:rFonts w:ascii="Arial" w:hAnsi="Arial" w:cs="Arial"/>
          <w:b/>
          <w:bCs/>
        </w:rPr>
        <w:t>ramework</w:t>
      </w:r>
      <w:bookmarkEnd w:id="6"/>
    </w:p>
    <w:p w:rsidR="006771A1" w:rsidP="563A5469" w:rsidRDefault="006771A1" w14:paraId="5E9A10CC" w14:textId="7658FBCB">
      <w:pPr>
        <w:spacing w:line="360" w:lineRule="auto"/>
        <w:jc w:val="center"/>
        <w:rPr>
          <w:rFonts w:ascii="Arial" w:hAnsi="Arial" w:cs="Arial"/>
          <w:b w:val="1"/>
          <w:bCs w:val="1"/>
        </w:rPr>
      </w:pPr>
      <w:r w:rsidRPr="563A5469" w:rsidR="006771A1">
        <w:rPr>
          <w:rFonts w:ascii="Arial" w:hAnsi="Arial" w:cs="Arial"/>
          <w:b w:val="1"/>
          <w:bCs w:val="1"/>
        </w:rPr>
        <w:t xml:space="preserve">(Source: </w:t>
      </w:r>
      <w:r w:rsidRPr="563A5469" w:rsidR="006771A1">
        <w:rPr>
          <w:rFonts w:ascii="Arial" w:hAnsi="Arial" w:cs="Arial"/>
          <w:b w:val="1"/>
          <w:bCs w:val="1"/>
        </w:rPr>
        <w:t>C</w:t>
      </w:r>
      <w:r w:rsidRPr="563A5469" w:rsidR="006771A1">
        <w:rPr>
          <w:rFonts w:ascii="Arial" w:hAnsi="Arial" w:cs="Arial"/>
          <w:b w:val="1"/>
          <w:bCs w:val="1"/>
        </w:rPr>
        <w:t xml:space="preserve">reated by author) </w:t>
      </w:r>
    </w:p>
    <w:p w:rsidR="563A5469" w:rsidP="563A5469" w:rsidRDefault="563A5469" w14:paraId="1F6954FF" w14:textId="6753CA2A">
      <w:pPr>
        <w:spacing w:line="360" w:lineRule="auto"/>
        <w:jc w:val="center"/>
        <w:rPr>
          <w:rFonts w:ascii="Arial" w:hAnsi="Arial" w:cs="Arial"/>
          <w:b w:val="1"/>
          <w:bCs w:val="1"/>
        </w:rPr>
      </w:pPr>
    </w:p>
    <w:p w:rsidR="007A7B06" w:rsidP="00DF6488" w:rsidRDefault="002E217C" w14:paraId="0EFA0D2B" w14:textId="77777777">
      <w:pPr>
        <w:pStyle w:val="Heading1"/>
      </w:pPr>
      <w:bookmarkStart w:name="_Toc934146375" w:id="1567820899"/>
      <w:r w:rsidR="577CC86D">
        <w:rPr/>
        <w:t xml:space="preserve">4. </w:t>
      </w:r>
      <w:r w:rsidR="0938AD54">
        <w:rPr/>
        <w:t>Research Methodology</w:t>
      </w:r>
      <w:bookmarkEnd w:id="1567820899"/>
    </w:p>
    <w:p w:rsidRPr="00EA2EE9" w:rsidR="00EA2EE9" w:rsidP="00EA2EE9" w:rsidRDefault="00EA2EE9" w14:paraId="60241519" w14:textId="72CD63FC">
      <w:pPr>
        <w:spacing w:line="360" w:lineRule="auto"/>
        <w:rPr>
          <w:rFonts w:ascii="Arial" w:hAnsi="Arial" w:cs="Arial"/>
        </w:rPr>
      </w:pPr>
      <w:r w:rsidRPr="00EA2EE9">
        <w:rPr>
          <w:rFonts w:ascii="Arial" w:hAnsi="Arial" w:cs="Arial"/>
        </w:rPr>
        <w:t>This research shall employ qualitative methodology to examine the effects of hybrid working on employee engagement within UK organizations. Given the research’s objective to uncover employees’ experiences, perceptions, and behaviours whilst working in a hybrid working environment, the qualitative approach shall be most appropriate (Saunders, Lewis and Thornhill, 2019).</w:t>
      </w:r>
    </w:p>
    <w:p w:rsidRPr="00EA2EE9" w:rsidR="00EA2EE9" w:rsidP="00EA2EE9" w:rsidRDefault="00EA2EE9" w14:paraId="634A4229" w14:textId="0DCF8799">
      <w:pPr>
        <w:spacing w:line="360" w:lineRule="auto"/>
        <w:rPr>
          <w:rFonts w:ascii="Arial" w:hAnsi="Arial" w:cs="Arial"/>
        </w:rPr>
      </w:pPr>
      <w:r w:rsidRPr="6194F335" w:rsidR="0152526E">
        <w:rPr>
          <w:rFonts w:ascii="Arial" w:hAnsi="Arial" w:cs="Arial"/>
        </w:rPr>
        <w:t>Mark Saunders’ Research Onion was used to guide this research.</w:t>
      </w:r>
      <w:r w:rsidRPr="6194F335" w:rsidR="6D3DF245">
        <w:rPr>
          <w:rFonts w:ascii="Arial" w:hAnsi="Arial" w:cs="Arial"/>
        </w:rPr>
        <w:t xml:space="preserve"> T</w:t>
      </w:r>
      <w:r w:rsidRPr="6194F335" w:rsidR="0152526E">
        <w:rPr>
          <w:rFonts w:ascii="Arial" w:hAnsi="Arial" w:cs="Arial"/>
        </w:rPr>
        <w:t>he research employed an interpretivist philosophy and an inductive approach. As stated earlier, the organizational context as well as individual experiences of employees, affect complex concepts such as hybrid working and employee engagement, and these can be studied better with an inductive approach (Saunders, Lewis and Thornhill, 2019).</w:t>
      </w:r>
    </w:p>
    <w:p w:rsidRPr="00EA2EE9" w:rsidR="00EA2EE9" w:rsidP="00EA2EE9" w:rsidRDefault="00EA2EE9" w14:paraId="4D34C325" w14:textId="28536496">
      <w:pPr>
        <w:spacing w:line="360" w:lineRule="auto"/>
        <w:rPr>
          <w:rFonts w:ascii="Arial" w:hAnsi="Arial" w:cs="Arial"/>
        </w:rPr>
      </w:pPr>
      <w:r w:rsidRPr="00EA2EE9">
        <w:rPr>
          <w:rFonts w:ascii="Arial" w:hAnsi="Arial" w:cs="Arial"/>
        </w:rPr>
        <w:t>The data collected from secondary sources will be analysed using the thematic analysis approach (Braun and Clarke, 2006). The six stages of thematic analysis will be used to identify the themes developed from the articles studied. The stages are familiarization, coding, themes generation, themes review, themes definition and reporting. Using these stages, recurrent themes of job demand, job resources and employee engagement will be identified in the context of hybrid work environments.</w:t>
      </w:r>
    </w:p>
    <w:p w:rsidRPr="00EA2EE9" w:rsidR="00EA2EE9" w:rsidP="00EA2EE9" w:rsidRDefault="00EA2EE9" w14:paraId="1865E41E" w14:textId="0E38A39B">
      <w:pPr>
        <w:spacing w:line="360" w:lineRule="auto"/>
        <w:rPr>
          <w:rFonts w:ascii="Arial" w:hAnsi="Arial" w:cs="Arial"/>
        </w:rPr>
      </w:pPr>
      <w:r w:rsidRPr="00EA2EE9">
        <w:rPr>
          <w:rFonts w:ascii="Arial" w:hAnsi="Arial" w:cs="Arial"/>
        </w:rPr>
        <w:t>The findings from this research will be presented using the framework of the Job Demands (JD-R) of work, in terms of the demands that are placed upon employees and the resources that are available to them to complete their jobs (Bakker and Demerouti, 2007). The main challenges and opportunities that have been presented by hybrid working in terms of employee engagement at work will be discussed.</w:t>
      </w:r>
    </w:p>
    <w:p w:rsidR="002260FD" w:rsidP="009017C0" w:rsidRDefault="002260FD" w14:paraId="1D74F047" w14:textId="0F652EDF">
      <w:pPr>
        <w:spacing w:line="360" w:lineRule="auto"/>
        <w:rPr>
          <w:rFonts w:ascii="Arial" w:hAnsi="Arial" w:cs="Arial"/>
        </w:rPr>
      </w:pPr>
      <w:r>
        <w:rPr>
          <w:noProof/>
        </w:rPr>
        <w:drawing>
          <wp:inline distT="0" distB="0" distL="0" distR="0" wp14:anchorId="03045F5F" wp14:editId="54BD6BC0">
            <wp:extent cx="5740400" cy="2914650"/>
            <wp:effectExtent l="133350" t="114300" r="146050" b="171450"/>
            <wp:docPr id="2" name="Picture 1" descr="Guide to Understanding the Research Onion | 15 Writers"/>
            <wp:cNvGraphicFramePr/>
            <a:graphic xmlns:a="http://schemas.openxmlformats.org/drawingml/2006/main">
              <a:graphicData uri="http://schemas.openxmlformats.org/drawingml/2006/picture">
                <pic:pic xmlns:pic="http://schemas.openxmlformats.org/drawingml/2006/picture">
                  <pic:nvPicPr>
                    <pic:cNvPr id="2" name="Picture 2" descr="Guide to Understanding the Research Onion | 15 Writers"/>
                    <pic:cNvPicPr/>
                  </pic:nvPicPr>
                  <pic:blipFill>
                    <a:blip r:embed="rId13">
                      <a:extLst>
                        <a:ext uri="{28A0092B-C50C-407E-A947-70E740481C1C}">
                          <a14:useLocalDpi xmlns:a14="http://schemas.microsoft.com/office/drawing/2010/main" val="0"/>
                        </a:ext>
                      </a:extLst>
                    </a:blip>
                    <a:stretch>
                      <a:fillRect/>
                    </a:stretch>
                  </pic:blipFill>
                  <pic:spPr bwMode="auto">
                    <a:xfrm>
                      <a:off x="0" y="0"/>
                      <a:ext cx="5740400" cy="29146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Pr="00146B76" w:rsidR="00146B76" w:rsidP="006771A1" w:rsidRDefault="00146B76" w14:paraId="2C63EF02" w14:textId="5FC2F602">
      <w:pPr>
        <w:spacing w:line="360" w:lineRule="auto"/>
        <w:jc w:val="center"/>
        <w:rPr>
          <w:rFonts w:ascii="Arial" w:hAnsi="Arial" w:cs="Arial"/>
          <w:b/>
          <w:bCs/>
        </w:rPr>
      </w:pPr>
      <w:bookmarkStart w:name="_Toc165037530" w:id="8"/>
      <w:r w:rsidRPr="00146B76">
        <w:rPr>
          <w:rFonts w:ascii="Arial" w:hAnsi="Arial" w:cs="Arial"/>
          <w:b/>
          <w:bCs/>
        </w:rPr>
        <w:t xml:space="preserve">Figure </w:t>
      </w:r>
      <w:r w:rsidRPr="00146B76">
        <w:rPr>
          <w:rFonts w:ascii="Arial" w:hAnsi="Arial" w:cs="Arial"/>
          <w:lang w:val="en-IN"/>
        </w:rPr>
        <w:fldChar w:fldCharType="begin"/>
      </w:r>
      <w:r w:rsidRPr="00146B76">
        <w:rPr>
          <w:rFonts w:ascii="Arial" w:hAnsi="Arial" w:cs="Arial"/>
          <w:b/>
          <w:bCs/>
        </w:rPr>
        <w:instrText xml:space="preserve"> SEQ Figure \* ARABIC </w:instrText>
      </w:r>
      <w:r w:rsidRPr="00146B76">
        <w:rPr>
          <w:rFonts w:ascii="Arial" w:hAnsi="Arial" w:cs="Arial"/>
          <w:lang w:val="en-IN"/>
        </w:rPr>
        <w:fldChar w:fldCharType="separate"/>
      </w:r>
      <w:r w:rsidRPr="00146B76">
        <w:rPr>
          <w:rFonts w:ascii="Arial" w:hAnsi="Arial" w:cs="Arial"/>
          <w:b/>
          <w:bCs/>
        </w:rPr>
        <w:t>2</w:t>
      </w:r>
      <w:r w:rsidRPr="00146B76">
        <w:rPr>
          <w:rFonts w:ascii="Arial" w:hAnsi="Arial" w:cs="Arial"/>
        </w:rPr>
        <w:fldChar w:fldCharType="end"/>
      </w:r>
      <w:r w:rsidRPr="00146B76">
        <w:rPr>
          <w:rFonts w:ascii="Arial" w:hAnsi="Arial" w:cs="Arial"/>
          <w:b/>
          <w:bCs/>
        </w:rPr>
        <w:t>:</w:t>
      </w:r>
      <w:r>
        <w:rPr>
          <w:rFonts w:ascii="Arial" w:hAnsi="Arial" w:cs="Arial"/>
          <w:b/>
          <w:bCs/>
        </w:rPr>
        <w:t xml:space="preserve"> </w:t>
      </w:r>
      <w:r w:rsidRPr="00146B76">
        <w:rPr>
          <w:rFonts w:ascii="Arial" w:hAnsi="Arial" w:cs="Arial"/>
          <w:b/>
          <w:bCs/>
        </w:rPr>
        <w:t xml:space="preserve">Research </w:t>
      </w:r>
      <w:r>
        <w:rPr>
          <w:rFonts w:ascii="Arial" w:hAnsi="Arial" w:cs="Arial"/>
          <w:b/>
          <w:bCs/>
        </w:rPr>
        <w:t>O</w:t>
      </w:r>
      <w:r w:rsidRPr="00146B76">
        <w:rPr>
          <w:rFonts w:ascii="Arial" w:hAnsi="Arial" w:cs="Arial"/>
          <w:b/>
          <w:bCs/>
        </w:rPr>
        <w:t>nion</w:t>
      </w:r>
      <w:bookmarkEnd w:id="8"/>
    </w:p>
    <w:p w:rsidRPr="00D45D85" w:rsidR="007A7B06" w:rsidP="00D45D85" w:rsidRDefault="00146B76" w14:paraId="71D89125" w14:textId="455FB05A">
      <w:pPr>
        <w:spacing w:line="360" w:lineRule="auto"/>
        <w:jc w:val="center"/>
        <w:rPr>
          <w:rFonts w:ascii="Arial" w:hAnsi="Arial" w:cs="Arial"/>
          <w:b/>
          <w:bCs/>
        </w:rPr>
      </w:pPr>
      <w:r w:rsidRPr="563A5469" w:rsidR="00146B76">
        <w:rPr>
          <w:rFonts w:ascii="Arial" w:hAnsi="Arial" w:cs="Arial"/>
          <w:b w:val="1"/>
          <w:bCs w:val="1"/>
        </w:rPr>
        <w:t>(Source: Saunders et al., 20</w:t>
      </w:r>
      <w:r w:rsidRPr="563A5469" w:rsidR="005369E8">
        <w:rPr>
          <w:rFonts w:ascii="Arial" w:hAnsi="Arial" w:cs="Arial"/>
          <w:b w:val="1"/>
          <w:bCs w:val="1"/>
        </w:rPr>
        <w:t>1</w:t>
      </w:r>
      <w:r w:rsidRPr="563A5469" w:rsidR="00146B76">
        <w:rPr>
          <w:rFonts w:ascii="Arial" w:hAnsi="Arial" w:cs="Arial"/>
          <w:b w:val="1"/>
          <w:bCs w:val="1"/>
        </w:rPr>
        <w:t>9)</w:t>
      </w:r>
    </w:p>
    <w:p w:rsidR="563A5469" w:rsidP="563A5469" w:rsidRDefault="563A5469" w14:paraId="6122F941" w14:textId="4519B9E4">
      <w:pPr>
        <w:spacing w:line="360" w:lineRule="auto"/>
        <w:jc w:val="center"/>
        <w:rPr>
          <w:rFonts w:ascii="Arial" w:hAnsi="Arial" w:cs="Arial"/>
          <w:b w:val="1"/>
          <w:bCs w:val="1"/>
        </w:rPr>
      </w:pPr>
    </w:p>
    <w:p w:rsidRPr="002A31F8" w:rsidR="002E217C" w:rsidP="00DF6488" w:rsidRDefault="002E217C" w14:paraId="4E25EC6E" w14:textId="317B40AE">
      <w:pPr>
        <w:pStyle w:val="Heading1"/>
      </w:pPr>
      <w:bookmarkStart w:name="_Toc1414111325" w:id="483305028"/>
      <w:r w:rsidR="577CC86D">
        <w:rPr/>
        <w:t>5. Potential Implications</w:t>
      </w:r>
      <w:bookmarkEnd w:id="483305028"/>
    </w:p>
    <w:p w:rsidRPr="002A31F8" w:rsidR="00DE7C09" w:rsidP="6194F335" w:rsidRDefault="00CD3170" w14:paraId="6FD4B85D" w14:textId="2E8AA06E">
      <w:pPr>
        <w:spacing w:line="360" w:lineRule="auto"/>
        <w:jc w:val="both"/>
        <w:rPr>
          <w:rFonts w:ascii="Arial" w:hAnsi="Arial" w:cs="Arial"/>
        </w:rPr>
      </w:pPr>
      <w:r w:rsidRPr="6194F335" w:rsidR="740FED49">
        <w:rPr>
          <w:rFonts w:ascii="Arial" w:hAnsi="Arial" w:cs="Arial"/>
        </w:rPr>
        <w:t xml:space="preserve">Research into work aspects of employee engagement is underdeveloped when compared to a wealth of studies in relation to work wellbeing and work performance. Much of the research relating to employee engagement in hybrid work environments is currently increasing and the findings are mixed and may not be relevant to practice within individual UK organizations. The purpose of this research is to critically evaluate most </w:t>
      </w:r>
      <w:r w:rsidRPr="6194F335" w:rsidR="519ABDAE">
        <w:rPr>
          <w:rFonts w:ascii="Arial" w:hAnsi="Arial" w:cs="Arial"/>
        </w:rPr>
        <w:t>current studies</w:t>
      </w:r>
      <w:r w:rsidRPr="6194F335" w:rsidR="740FED49">
        <w:rPr>
          <w:rFonts w:ascii="Arial" w:hAnsi="Arial" w:cs="Arial"/>
        </w:rPr>
        <w:t xml:space="preserve"> and provide practice relating to increasing employee engagement within hybrid work environments. </w:t>
      </w:r>
    </w:p>
    <w:p w:rsidRPr="002A31F8" w:rsidR="00DE7C09" w:rsidP="00CD3170" w:rsidRDefault="00CD3170" w14:paraId="40C6E1AC" w14:textId="7389580E">
      <w:pPr>
        <w:spacing w:line="360" w:lineRule="auto"/>
        <w:jc w:val="both"/>
        <w:rPr>
          <w:rFonts w:ascii="Arial" w:hAnsi="Arial" w:cs="Arial"/>
        </w:rPr>
      </w:pPr>
      <w:r w:rsidRPr="563A5469" w:rsidR="37E95605">
        <w:rPr>
          <w:rFonts w:ascii="Arial" w:hAnsi="Arial" w:cs="Arial"/>
        </w:rPr>
        <w:t xml:space="preserve">The research addresses the current knowledge gap within existing academic literature, in relation to hybrid working and Employee Engagement within organizational contexts, set within the UK. The research will </w:t>
      </w:r>
      <w:r w:rsidRPr="563A5469" w:rsidR="37E95605">
        <w:rPr>
          <w:rFonts w:ascii="Arial" w:hAnsi="Arial" w:cs="Arial"/>
        </w:rPr>
        <w:t>benefit</w:t>
      </w:r>
      <w:r w:rsidRPr="563A5469" w:rsidR="37E95605">
        <w:rPr>
          <w:rFonts w:ascii="Arial" w:hAnsi="Arial" w:cs="Arial"/>
        </w:rPr>
        <w:t xml:space="preserve"> managers and HR professionals within organizations that currently </w:t>
      </w:r>
      <w:r w:rsidRPr="563A5469" w:rsidR="37E95605">
        <w:rPr>
          <w:rFonts w:ascii="Arial" w:hAnsi="Arial" w:cs="Arial"/>
        </w:rPr>
        <w:t>operate</w:t>
      </w:r>
      <w:r w:rsidRPr="563A5469" w:rsidR="37E95605">
        <w:rPr>
          <w:rFonts w:ascii="Arial" w:hAnsi="Arial" w:cs="Arial"/>
        </w:rPr>
        <w:t xml:space="preserve"> or are planning to adopt hybrid working. The research will aid these organizations in designing effective working practices that increase Employee Well-being and organizational performance. The research could also inform future workplace policies from government and other policy makers, with the aim of supporting flexible working whilst ensuring Employee Engagement, Productivity and mental wellbeing are protected. In the long-term, the research aims to aid sustainable working practices within organizations that are beneficial to Employees, </w:t>
      </w:r>
      <w:r w:rsidRPr="563A5469" w:rsidR="37E95605">
        <w:rPr>
          <w:rFonts w:ascii="Arial" w:hAnsi="Arial" w:cs="Arial"/>
        </w:rPr>
        <w:t>Organizations</w:t>
      </w:r>
      <w:r w:rsidRPr="563A5469" w:rsidR="37E95605">
        <w:rPr>
          <w:rFonts w:ascii="Arial" w:hAnsi="Arial" w:cs="Arial"/>
        </w:rPr>
        <w:t xml:space="preserve"> and wider society.</w:t>
      </w:r>
    </w:p>
    <w:p w:rsidR="563A5469" w:rsidP="563A5469" w:rsidRDefault="563A5469" w14:paraId="7DD27759" w14:textId="50CE0437">
      <w:pPr>
        <w:spacing w:line="360" w:lineRule="auto"/>
        <w:jc w:val="both"/>
        <w:rPr>
          <w:rFonts w:ascii="Arial" w:hAnsi="Arial" w:cs="Arial"/>
        </w:rPr>
      </w:pPr>
    </w:p>
    <w:p w:rsidR="002E217C" w:rsidP="00DF6488" w:rsidRDefault="002E217C" w14:paraId="1C4AA7A0" w14:textId="249A62C2">
      <w:pPr>
        <w:pStyle w:val="Heading1"/>
      </w:pPr>
      <w:bookmarkStart w:name="_Toc455301598" w:id="168478793"/>
      <w:r w:rsidR="577CC86D">
        <w:rPr/>
        <w:t>6. Conclusion</w:t>
      </w:r>
      <w:bookmarkEnd w:id="168478793"/>
    </w:p>
    <w:p w:rsidR="00CD3170" w:rsidP="6194F335" w:rsidRDefault="00CD3170" w14:paraId="5560FA49" w14:textId="46975B4B">
      <w:pPr>
        <w:spacing w:line="360" w:lineRule="auto"/>
        <w:jc w:val="both"/>
        <w:rPr>
          <w:rFonts w:ascii="Arial" w:hAnsi="Arial" w:cs="Arial"/>
        </w:rPr>
      </w:pPr>
      <w:r w:rsidRPr="6194F335" w:rsidR="36293039">
        <w:rPr>
          <w:rFonts w:ascii="Arial" w:hAnsi="Arial" w:cs="Arial"/>
        </w:rPr>
        <w:t>This research proposal aims to explore the impact of hybrid working on employee engagement in UK organizations with a focus on both the advantages and disadvantages of hybrid working for employee engagement in the post-pandemic environment. A mixed of findings from previous studies were identified regarding the impact of hybrid working arrangements on employee engagement.</w:t>
      </w:r>
      <w:r w:rsidRPr="6194F335" w:rsidR="381A5290">
        <w:rPr>
          <w:rFonts w:ascii="Arial" w:hAnsi="Arial" w:cs="Arial"/>
        </w:rPr>
        <w:t xml:space="preserve"> To</w:t>
      </w:r>
      <w:r w:rsidRPr="6194F335" w:rsidR="36293039">
        <w:rPr>
          <w:rFonts w:ascii="Arial" w:hAnsi="Arial" w:cs="Arial"/>
        </w:rPr>
        <w:t xml:space="preserve"> gain more insight in the impact of working conditions on employee engagement, the Job Demands-Resources (JD-R) model will be used in this research.</w:t>
      </w:r>
    </w:p>
    <w:p w:rsidR="00CD3170" w:rsidP="6194F335" w:rsidRDefault="00CD3170" w14:paraId="34A64521" w14:textId="62C75382">
      <w:pPr>
        <w:pStyle w:val="Normal"/>
        <w:spacing w:line="360" w:lineRule="auto"/>
        <w:jc w:val="both"/>
      </w:pPr>
      <w:r w:rsidRPr="6194F335" w:rsidR="36293039">
        <w:rPr>
          <w:rFonts w:ascii="Arial" w:hAnsi="Arial" w:cs="Arial"/>
        </w:rPr>
        <w:t xml:space="preserve">The analysis of the data collected in this research will be of a qualitative nature. Secondary data analysis and thematic analysis will be used to arrive at an in-depth exploration of the themes that </w:t>
      </w:r>
      <w:r w:rsidRPr="6194F335" w:rsidR="36293039">
        <w:rPr>
          <w:rFonts w:ascii="Arial" w:hAnsi="Arial" w:cs="Arial"/>
        </w:rPr>
        <w:t>emerge</w:t>
      </w:r>
      <w:r w:rsidRPr="6194F335" w:rsidR="36293039">
        <w:rPr>
          <w:rFonts w:ascii="Arial" w:hAnsi="Arial" w:cs="Arial"/>
        </w:rPr>
        <w:t xml:space="preserve"> from the analysis of the data collected in this research. A Gantt chart has been produced to manage the overall research. This chart will also be used to plan and organize the time </w:t>
      </w:r>
      <w:r w:rsidRPr="6194F335" w:rsidR="36293039">
        <w:rPr>
          <w:rFonts w:ascii="Arial" w:hAnsi="Arial" w:cs="Arial"/>
        </w:rPr>
        <w:t>required</w:t>
      </w:r>
      <w:r w:rsidRPr="6194F335" w:rsidR="36293039">
        <w:rPr>
          <w:rFonts w:ascii="Arial" w:hAnsi="Arial" w:cs="Arial"/>
        </w:rPr>
        <w:t xml:space="preserve"> to complete each aspect of the research. When completing the final</w:t>
      </w:r>
      <w:r w:rsidRPr="6194F335" w:rsidR="275490F2">
        <w:rPr>
          <w:rFonts w:ascii="Arial" w:hAnsi="Arial" w:cs="Arial"/>
        </w:rPr>
        <w:t xml:space="preserve"> work dissertation, </w:t>
      </w:r>
      <w:r w:rsidRPr="6194F335" w:rsidR="36293039">
        <w:rPr>
          <w:rFonts w:ascii="Arial" w:hAnsi="Arial" w:cs="Arial"/>
        </w:rPr>
        <w:t>the literature will be selected using the PRISMA framework in a transparent and systematic way.</w:t>
      </w:r>
    </w:p>
    <w:p w:rsidR="00CD3170" w:rsidP="6194F335" w:rsidRDefault="00CD3170" w14:paraId="42E18351" w14:textId="7BBAAFD6">
      <w:pPr>
        <w:pStyle w:val="Normal"/>
        <w:spacing w:line="360" w:lineRule="auto"/>
        <w:jc w:val="both"/>
      </w:pPr>
      <w:r w:rsidRPr="563A5469" w:rsidR="36293039">
        <w:rPr>
          <w:rFonts w:ascii="Arial" w:hAnsi="Arial" w:cs="Arial"/>
        </w:rPr>
        <w:t>The findings from this research will contribute to current knowledge on employee engagement in the workplace and offer organizations from across the UK practical ideas on how to increase levels of employee engagement in Hybrid work environments.</w:t>
      </w:r>
    </w:p>
    <w:p w:rsidR="563A5469" w:rsidP="563A5469" w:rsidRDefault="563A5469" w14:paraId="74AF4030" w14:textId="67965023">
      <w:pPr>
        <w:pStyle w:val="Normal"/>
        <w:spacing w:line="360" w:lineRule="auto"/>
        <w:jc w:val="both"/>
        <w:rPr>
          <w:rFonts w:ascii="Arial" w:hAnsi="Arial" w:cs="Arial"/>
        </w:rPr>
      </w:pPr>
    </w:p>
    <w:p w:rsidR="002E217C" w:rsidP="6194F335" w:rsidRDefault="7A50569E" w14:paraId="6DAFFAE4" w14:textId="64F2DDEC">
      <w:pPr>
        <w:pStyle w:val="Normal"/>
        <w:spacing w:line="360" w:lineRule="auto"/>
        <w:jc w:val="center"/>
      </w:pPr>
      <w:r w:rsidR="366B6193">
        <w:drawing>
          <wp:inline wp14:editId="513F527A" wp14:anchorId="2BA7BFF9">
            <wp:extent cx="5724525" cy="3364134"/>
            <wp:effectExtent l="114300" t="114300" r="123825" b="141605"/>
            <wp:docPr id="4769788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76978886" name="Picture 476978886"/>
                    <pic:cNvPicPr/>
                  </pic:nvPicPr>
                  <pic:blipFill>
                    <a:blip xmlns:r="http://schemas.openxmlformats.org/officeDocument/2006/relationships" r:embed="rId204516463">
                      <a:extLst>
                        <a:ext uri="{28A0092B-C50C-407E-A947-70E740481C1C}">
                          <a14:useLocalDpi xmlns:a14="http://schemas.microsoft.com/office/drawing/2010/main"/>
                        </a:ext>
                      </a:extLst>
                    </a:blip>
                    <a:srcRect/>
                    <a:stretch>
                      <a:fillRect/>
                    </a:stretch>
                  </pic:blipFill>
                  <pic:spPr>
                    <a:xfrm>
                      <a:off x="0" y="0"/>
                      <a:ext cx="5724525" cy="336413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Pr="00146B76" w:rsidR="00146B76" w:rsidP="006771A1" w:rsidRDefault="00146B76" w14:paraId="3273A716" w14:textId="1424EAC1">
      <w:pPr>
        <w:spacing w:line="360" w:lineRule="auto"/>
        <w:jc w:val="center"/>
        <w:rPr>
          <w:rFonts w:ascii="Arial" w:hAnsi="Arial" w:cs="Arial"/>
          <w:b/>
          <w:bCs/>
          <w:color w:val="000000" w:themeColor="text1"/>
        </w:rPr>
      </w:pPr>
      <w:r w:rsidRPr="00146B76">
        <w:rPr>
          <w:rFonts w:ascii="Arial" w:hAnsi="Arial" w:cs="Arial"/>
          <w:b/>
          <w:bCs/>
          <w:color w:val="000000" w:themeColor="text1"/>
        </w:rPr>
        <w:t xml:space="preserve">Figure </w:t>
      </w:r>
      <w:r w:rsidRPr="00146B76">
        <w:rPr>
          <w:rFonts w:ascii="Arial" w:hAnsi="Arial" w:cs="Arial"/>
          <w:b/>
          <w:bCs/>
          <w:color w:val="000000" w:themeColor="text1"/>
          <w:lang w:val="en-IN"/>
        </w:rPr>
        <w:t>3</w:t>
      </w:r>
      <w:r w:rsidRPr="00146B76">
        <w:rPr>
          <w:rFonts w:ascii="Arial" w:hAnsi="Arial" w:cs="Arial"/>
          <w:b/>
          <w:bCs/>
          <w:color w:val="000000" w:themeColor="text1"/>
        </w:rPr>
        <w:t>: Gantt Chart</w:t>
      </w:r>
    </w:p>
    <w:p w:rsidRPr="00146B76" w:rsidR="00146B76" w:rsidP="006771A1" w:rsidRDefault="00146B76" w14:paraId="19DDD0FC" w14:textId="4F3F7748">
      <w:pPr>
        <w:spacing w:line="360" w:lineRule="auto"/>
        <w:jc w:val="center"/>
        <w:rPr>
          <w:rFonts w:ascii="Arial" w:hAnsi="Arial" w:cs="Arial"/>
          <w:b/>
          <w:bCs/>
          <w:color w:val="000000" w:themeColor="text1"/>
        </w:rPr>
      </w:pPr>
      <w:r w:rsidRPr="00146B76">
        <w:rPr>
          <w:rFonts w:ascii="Arial" w:hAnsi="Arial" w:cs="Arial"/>
          <w:b/>
          <w:bCs/>
          <w:color w:val="000000" w:themeColor="text1"/>
        </w:rPr>
        <w:t>(Source: Created by author)</w:t>
      </w:r>
    </w:p>
    <w:p w:rsidR="563A5469" w:rsidP="563A5469" w:rsidRDefault="563A5469" w14:paraId="69D77851" w14:textId="4F209212">
      <w:pPr>
        <w:pStyle w:val="Normal"/>
        <w:spacing w:line="360" w:lineRule="auto"/>
        <w:jc w:val="both"/>
        <w:rPr>
          <w:rFonts w:ascii="Arial" w:hAnsi="Arial" w:cs="Arial"/>
          <w:b w:val="1"/>
          <w:bCs w:val="1"/>
          <w:color w:val="EE0000"/>
        </w:rPr>
      </w:pPr>
    </w:p>
    <w:p w:rsidR="563A5469" w:rsidP="563A5469" w:rsidRDefault="563A5469" w14:paraId="45018B9A" w14:textId="4091D676">
      <w:pPr>
        <w:pStyle w:val="Normal"/>
        <w:spacing w:line="360" w:lineRule="auto"/>
        <w:jc w:val="both"/>
        <w:rPr>
          <w:rFonts w:ascii="Arial" w:hAnsi="Arial" w:cs="Arial"/>
          <w:b w:val="1"/>
          <w:bCs w:val="1"/>
          <w:color w:val="EE0000"/>
        </w:rPr>
      </w:pPr>
    </w:p>
    <w:p w:rsidRPr="002A31F8" w:rsidR="002E217C" w:rsidP="00DF6488" w:rsidRDefault="002E217C" w14:paraId="4460C6B6" w14:textId="77777777">
      <w:pPr>
        <w:pStyle w:val="Heading1"/>
      </w:pPr>
      <w:bookmarkStart w:name="_Toc1759050739" w:id="82715229"/>
      <w:r w:rsidR="577CC86D">
        <w:rPr/>
        <w:t>References</w:t>
      </w:r>
      <w:bookmarkEnd w:id="82715229"/>
    </w:p>
    <w:p w:rsidRPr="007A7B06" w:rsidR="00DF6488" w:rsidP="006771A1" w:rsidRDefault="00DF6488" w14:paraId="6A36742B" w14:textId="77777777">
      <w:pPr>
        <w:spacing w:line="360" w:lineRule="auto"/>
        <w:jc w:val="both"/>
        <w:rPr>
          <w:rFonts w:ascii="Arial" w:hAnsi="Arial" w:cs="Arial"/>
        </w:rPr>
      </w:pPr>
      <w:r w:rsidRPr="6194F335" w:rsidR="08A51FA4">
        <w:rPr>
          <w:rFonts w:ascii="Arial" w:hAnsi="Arial" w:cs="Arial"/>
        </w:rPr>
        <w:t>Allen, T.D., Golden, T.D. and Shockley, K.M. (2021) ‘</w:t>
      </w:r>
      <w:r w:rsidRPr="6194F335" w:rsidR="08A51FA4">
        <w:rPr>
          <w:rFonts w:ascii="Arial" w:hAnsi="Arial" w:cs="Arial"/>
          <w:i w:val="1"/>
          <w:iCs w:val="1"/>
        </w:rPr>
        <w:t xml:space="preserve">How effective is telecommuting? Assessing the status of our scientific findings’, </w:t>
      </w:r>
      <w:r w:rsidRPr="6194F335" w:rsidR="08A51FA4">
        <w:rPr>
          <w:rFonts w:ascii="Arial" w:hAnsi="Arial" w:cs="Arial"/>
          <w:i w:val="1"/>
          <w:iCs w:val="1"/>
        </w:rPr>
        <w:t>Psychological Science in the Public Interest</w:t>
      </w:r>
      <w:r w:rsidRPr="6194F335" w:rsidR="08A51FA4">
        <w:rPr>
          <w:rFonts w:ascii="Arial" w:hAnsi="Arial" w:cs="Arial"/>
          <w:i w:val="1"/>
          <w:iCs w:val="1"/>
        </w:rPr>
        <w:t>,</w:t>
      </w:r>
      <w:r w:rsidRPr="6194F335" w:rsidR="08A51FA4">
        <w:rPr>
          <w:rFonts w:ascii="Arial" w:hAnsi="Arial" w:cs="Arial"/>
        </w:rPr>
        <w:t xml:space="preserve"> 22(3), pp. 40–68.</w:t>
      </w:r>
    </w:p>
    <w:p w:rsidRPr="007A7B06" w:rsidR="00DF6488" w:rsidP="006771A1" w:rsidRDefault="00DF6488" w14:paraId="46137F92" w14:textId="77777777">
      <w:pPr>
        <w:spacing w:line="360" w:lineRule="auto"/>
        <w:jc w:val="both"/>
        <w:rPr>
          <w:rFonts w:ascii="Arial" w:hAnsi="Arial" w:cs="Arial"/>
        </w:rPr>
      </w:pPr>
      <w:r w:rsidRPr="6194F335" w:rsidR="08A51FA4">
        <w:rPr>
          <w:rFonts w:ascii="Arial" w:hAnsi="Arial" w:cs="Arial"/>
        </w:rPr>
        <w:t xml:space="preserve">Bakker, A.B. and Albrecht, S.L. (2018) </w:t>
      </w:r>
      <w:r w:rsidRPr="6194F335" w:rsidR="08A51FA4">
        <w:rPr>
          <w:rFonts w:ascii="Arial" w:hAnsi="Arial" w:cs="Arial"/>
          <w:i w:val="1"/>
          <w:iCs w:val="1"/>
        </w:rPr>
        <w:t>‘Work engagement: Current trends</w:t>
      </w:r>
      <w:r w:rsidRPr="6194F335" w:rsidR="08A51FA4">
        <w:rPr>
          <w:rFonts w:ascii="Arial" w:hAnsi="Arial" w:cs="Arial"/>
        </w:rPr>
        <w:t xml:space="preserve">’, </w:t>
      </w:r>
      <w:r w:rsidRPr="6194F335" w:rsidR="08A51FA4">
        <w:rPr>
          <w:rFonts w:ascii="Arial" w:hAnsi="Arial" w:cs="Arial"/>
          <w:i w:val="1"/>
          <w:iCs w:val="1"/>
        </w:rPr>
        <w:t>Career Development International</w:t>
      </w:r>
      <w:r w:rsidRPr="6194F335" w:rsidR="08A51FA4">
        <w:rPr>
          <w:rFonts w:ascii="Arial" w:hAnsi="Arial" w:cs="Arial"/>
        </w:rPr>
        <w:t>, 23(1), pp. 4–11.</w:t>
      </w:r>
    </w:p>
    <w:p w:rsidRPr="007A7B06" w:rsidR="00DF6488" w:rsidP="006771A1" w:rsidRDefault="00DF6488" w14:paraId="7511D7BB" w14:textId="77777777">
      <w:pPr>
        <w:spacing w:line="360" w:lineRule="auto"/>
        <w:jc w:val="both"/>
        <w:rPr>
          <w:rFonts w:ascii="Arial" w:hAnsi="Arial" w:cs="Arial"/>
        </w:rPr>
      </w:pPr>
      <w:r w:rsidRPr="6194F335" w:rsidR="08A51FA4">
        <w:rPr>
          <w:rFonts w:ascii="Arial" w:hAnsi="Arial" w:cs="Arial"/>
        </w:rPr>
        <w:t>Bakker, A.B. and Demerouti, E. (2007) ‘</w:t>
      </w:r>
      <w:r w:rsidRPr="6194F335" w:rsidR="08A51FA4">
        <w:rPr>
          <w:rFonts w:ascii="Arial" w:hAnsi="Arial" w:cs="Arial"/>
          <w:i w:val="1"/>
          <w:iCs w:val="1"/>
        </w:rPr>
        <w:t xml:space="preserve">The Job Demands–Resources model: State of the art’, </w:t>
      </w:r>
      <w:r w:rsidRPr="6194F335" w:rsidR="08A51FA4">
        <w:rPr>
          <w:rFonts w:ascii="Arial" w:hAnsi="Arial" w:cs="Arial"/>
          <w:i w:val="1"/>
          <w:iCs w:val="1"/>
        </w:rPr>
        <w:t>Journal of Managerial Psychology</w:t>
      </w:r>
      <w:r w:rsidRPr="6194F335" w:rsidR="08A51FA4">
        <w:rPr>
          <w:rFonts w:ascii="Arial" w:hAnsi="Arial" w:cs="Arial"/>
          <w:i w:val="1"/>
          <w:iCs w:val="1"/>
        </w:rPr>
        <w:t>,</w:t>
      </w:r>
      <w:r w:rsidRPr="6194F335" w:rsidR="08A51FA4">
        <w:rPr>
          <w:rFonts w:ascii="Arial" w:hAnsi="Arial" w:cs="Arial"/>
        </w:rPr>
        <w:t xml:space="preserve"> 22(3), pp. 309–328.</w:t>
      </w:r>
    </w:p>
    <w:p w:rsidRPr="007A7B06" w:rsidR="00DF6488" w:rsidP="006771A1" w:rsidRDefault="00DF6488" w14:paraId="488E1D04" w14:textId="77777777">
      <w:pPr>
        <w:spacing w:line="360" w:lineRule="auto"/>
        <w:jc w:val="both"/>
        <w:rPr>
          <w:rFonts w:ascii="Arial" w:hAnsi="Arial" w:cs="Arial"/>
        </w:rPr>
      </w:pPr>
      <w:r w:rsidRPr="6194F335" w:rsidR="08A51FA4">
        <w:rPr>
          <w:rFonts w:ascii="Arial" w:hAnsi="Arial" w:cs="Arial"/>
        </w:rPr>
        <w:t>Barrero, J.M., Bloom, N. and Davis, S.J. (2023) ‘</w:t>
      </w:r>
      <w:r w:rsidRPr="6194F335" w:rsidR="08A51FA4">
        <w:rPr>
          <w:rFonts w:ascii="Arial" w:hAnsi="Arial" w:cs="Arial"/>
          <w:i w:val="1"/>
          <w:iCs w:val="1"/>
        </w:rPr>
        <w:t>The evolution of work from home’</w:t>
      </w:r>
      <w:r w:rsidRPr="6194F335" w:rsidR="08A51FA4">
        <w:rPr>
          <w:rFonts w:ascii="Arial" w:hAnsi="Arial" w:cs="Arial"/>
        </w:rPr>
        <w:t xml:space="preserve">, </w:t>
      </w:r>
      <w:r w:rsidRPr="6194F335" w:rsidR="08A51FA4">
        <w:rPr>
          <w:rFonts w:ascii="Arial" w:hAnsi="Arial" w:cs="Arial"/>
          <w:i w:val="1"/>
          <w:iCs w:val="1"/>
        </w:rPr>
        <w:t>Journal of Economic Perspectives</w:t>
      </w:r>
      <w:r w:rsidRPr="6194F335" w:rsidR="08A51FA4">
        <w:rPr>
          <w:rFonts w:ascii="Arial" w:hAnsi="Arial" w:cs="Arial"/>
        </w:rPr>
        <w:t>, 37(4), pp. 23–50.</w:t>
      </w:r>
    </w:p>
    <w:p w:rsidRPr="007A7B06" w:rsidR="00DF6488" w:rsidP="006771A1" w:rsidRDefault="00DF6488" w14:paraId="0EFBF481" w14:textId="77777777">
      <w:pPr>
        <w:spacing w:line="360" w:lineRule="auto"/>
        <w:jc w:val="both"/>
        <w:rPr>
          <w:rFonts w:ascii="Arial" w:hAnsi="Arial" w:cs="Arial"/>
        </w:rPr>
      </w:pPr>
      <w:r w:rsidRPr="6194F335" w:rsidR="08A51FA4">
        <w:rPr>
          <w:rFonts w:ascii="Arial" w:hAnsi="Arial" w:cs="Arial"/>
        </w:rPr>
        <w:t>Braun, V. and Clarke, V. (2006) ‘</w:t>
      </w:r>
      <w:r w:rsidRPr="6194F335" w:rsidR="08A51FA4">
        <w:rPr>
          <w:rFonts w:ascii="Arial" w:hAnsi="Arial" w:cs="Arial"/>
          <w:i w:val="1"/>
          <w:iCs w:val="1"/>
        </w:rPr>
        <w:t>Using thematic analysis in psychology’</w:t>
      </w:r>
      <w:r w:rsidRPr="6194F335" w:rsidR="08A51FA4">
        <w:rPr>
          <w:rFonts w:ascii="Arial" w:hAnsi="Arial" w:cs="Arial"/>
        </w:rPr>
        <w:t xml:space="preserve">, </w:t>
      </w:r>
      <w:r w:rsidRPr="6194F335" w:rsidR="08A51FA4">
        <w:rPr>
          <w:rFonts w:ascii="Arial" w:hAnsi="Arial" w:cs="Arial"/>
          <w:i w:val="1"/>
          <w:iCs w:val="1"/>
        </w:rPr>
        <w:t>Qualitative Research in Psychology</w:t>
      </w:r>
      <w:r w:rsidRPr="6194F335" w:rsidR="08A51FA4">
        <w:rPr>
          <w:rFonts w:ascii="Arial" w:hAnsi="Arial" w:cs="Arial"/>
        </w:rPr>
        <w:t xml:space="preserve">, 3(2), pp. 77–101. </w:t>
      </w:r>
    </w:p>
    <w:p w:rsidRPr="007A7B06" w:rsidR="00DF6488" w:rsidP="006771A1" w:rsidRDefault="00DF6488" w14:paraId="72DFA85D" w14:textId="77777777">
      <w:pPr>
        <w:spacing w:line="360" w:lineRule="auto"/>
        <w:jc w:val="both"/>
        <w:rPr>
          <w:rFonts w:ascii="Arial" w:hAnsi="Arial" w:cs="Arial"/>
        </w:rPr>
      </w:pPr>
      <w:r w:rsidRPr="6194F335" w:rsidR="08A51FA4">
        <w:rPr>
          <w:rFonts w:ascii="Arial" w:hAnsi="Arial" w:cs="Arial"/>
        </w:rPr>
        <w:t>Choudhury, P., Foroughi, C. and Larson, B. (2021) ‘</w:t>
      </w:r>
      <w:r w:rsidRPr="6194F335" w:rsidR="08A51FA4">
        <w:rPr>
          <w:rFonts w:ascii="Arial" w:hAnsi="Arial" w:cs="Arial"/>
          <w:i w:val="1"/>
          <w:iCs w:val="1"/>
        </w:rPr>
        <w:t>Work-from-anywhere: The productivity effects of geographic flexibility’,</w:t>
      </w:r>
      <w:r w:rsidRPr="6194F335" w:rsidR="08A51FA4">
        <w:rPr>
          <w:rFonts w:ascii="Arial" w:hAnsi="Arial" w:cs="Arial"/>
        </w:rPr>
        <w:t xml:space="preserve"> </w:t>
      </w:r>
      <w:r w:rsidRPr="6194F335" w:rsidR="08A51FA4">
        <w:rPr>
          <w:rFonts w:ascii="Arial" w:hAnsi="Arial" w:cs="Arial"/>
          <w:i w:val="1"/>
          <w:iCs w:val="1"/>
        </w:rPr>
        <w:t>Strategic Management Journal</w:t>
      </w:r>
      <w:r w:rsidRPr="6194F335" w:rsidR="08A51FA4">
        <w:rPr>
          <w:rFonts w:ascii="Arial" w:hAnsi="Arial" w:cs="Arial"/>
        </w:rPr>
        <w:t>, 42(4), pp. 655–683.</w:t>
      </w:r>
    </w:p>
    <w:p w:rsidRPr="007A7B06" w:rsidR="00DF6488" w:rsidP="006771A1" w:rsidRDefault="00DF6488" w14:paraId="094AFE23" w14:textId="77777777">
      <w:pPr>
        <w:spacing w:line="360" w:lineRule="auto"/>
        <w:jc w:val="both"/>
        <w:rPr>
          <w:rFonts w:ascii="Arial" w:hAnsi="Arial" w:cs="Arial"/>
        </w:rPr>
      </w:pPr>
      <w:r w:rsidRPr="6194F335" w:rsidR="08A51FA4">
        <w:rPr>
          <w:rFonts w:ascii="Arial" w:hAnsi="Arial" w:cs="Arial"/>
        </w:rPr>
        <w:t xml:space="preserve">Galanti, T., Guidetti, G., Mazzei, E., </w:t>
      </w:r>
      <w:r w:rsidRPr="6194F335" w:rsidR="08A51FA4">
        <w:rPr>
          <w:rFonts w:ascii="Arial" w:hAnsi="Arial" w:cs="Arial"/>
        </w:rPr>
        <w:t>Zappalà</w:t>
      </w:r>
      <w:r w:rsidRPr="6194F335" w:rsidR="08A51FA4">
        <w:rPr>
          <w:rFonts w:ascii="Arial" w:hAnsi="Arial" w:cs="Arial"/>
        </w:rPr>
        <w:t>, S. and Toscano, F. (2021) ‘</w:t>
      </w:r>
      <w:r w:rsidRPr="6194F335" w:rsidR="08A51FA4">
        <w:rPr>
          <w:rFonts w:ascii="Arial" w:hAnsi="Arial" w:cs="Arial"/>
          <w:i w:val="1"/>
          <w:iCs w:val="1"/>
        </w:rPr>
        <w:t>Work from home during the COVID-19 outbreak: The impact on employees’ remote work productivity, engagement and stress’,</w:t>
      </w:r>
      <w:r w:rsidRPr="6194F335" w:rsidR="08A51FA4">
        <w:rPr>
          <w:rFonts w:ascii="Arial" w:hAnsi="Arial" w:cs="Arial"/>
        </w:rPr>
        <w:t xml:space="preserve"> </w:t>
      </w:r>
      <w:r w:rsidRPr="6194F335" w:rsidR="08A51FA4">
        <w:rPr>
          <w:rFonts w:ascii="Arial" w:hAnsi="Arial" w:cs="Arial"/>
          <w:i w:val="1"/>
          <w:iCs w:val="1"/>
        </w:rPr>
        <w:t>Journal of Occupational and Environmental Medicine</w:t>
      </w:r>
      <w:r w:rsidRPr="6194F335" w:rsidR="08A51FA4">
        <w:rPr>
          <w:rFonts w:ascii="Arial" w:hAnsi="Arial" w:cs="Arial"/>
        </w:rPr>
        <w:t>, 63(7), pp. e426–e432.</w:t>
      </w:r>
    </w:p>
    <w:p w:rsidRPr="007A7B06" w:rsidR="00DF6488" w:rsidP="006771A1" w:rsidRDefault="00DF6488" w14:paraId="1D042C0E" w14:textId="77777777">
      <w:pPr>
        <w:spacing w:line="360" w:lineRule="auto"/>
        <w:jc w:val="both"/>
        <w:rPr>
          <w:rFonts w:ascii="Arial" w:hAnsi="Arial" w:cs="Arial"/>
        </w:rPr>
      </w:pPr>
      <w:r w:rsidRPr="6194F335" w:rsidR="08A51FA4">
        <w:rPr>
          <w:rFonts w:ascii="Arial" w:hAnsi="Arial" w:cs="Arial"/>
        </w:rPr>
        <w:t>Knight, C., Patterson, M. and Dawson, J. (2019) ‘</w:t>
      </w:r>
      <w:r w:rsidRPr="6194F335" w:rsidR="08A51FA4">
        <w:rPr>
          <w:rFonts w:ascii="Arial" w:hAnsi="Arial" w:cs="Arial"/>
          <w:i w:val="1"/>
          <w:iCs w:val="1"/>
        </w:rPr>
        <w:t>Work engagement interventions can be effective: A systematic review’</w:t>
      </w:r>
      <w:r w:rsidRPr="6194F335" w:rsidR="08A51FA4">
        <w:rPr>
          <w:rFonts w:ascii="Arial" w:hAnsi="Arial" w:cs="Arial"/>
        </w:rPr>
        <w:t xml:space="preserve">, </w:t>
      </w:r>
      <w:r w:rsidRPr="6194F335" w:rsidR="08A51FA4">
        <w:rPr>
          <w:rFonts w:ascii="Arial" w:hAnsi="Arial" w:cs="Arial"/>
          <w:i w:val="1"/>
          <w:iCs w:val="1"/>
        </w:rPr>
        <w:t>European Journal of Work and Organizational Psychology</w:t>
      </w:r>
      <w:r w:rsidRPr="6194F335" w:rsidR="08A51FA4">
        <w:rPr>
          <w:rFonts w:ascii="Arial" w:hAnsi="Arial" w:cs="Arial"/>
        </w:rPr>
        <w:t>, 28(3), pp. 348–372.</w:t>
      </w:r>
    </w:p>
    <w:p w:rsidRPr="007A7B06" w:rsidR="00DF6488" w:rsidP="006771A1" w:rsidRDefault="00DF6488" w14:paraId="441AD66C" w14:textId="77777777">
      <w:pPr>
        <w:spacing w:line="360" w:lineRule="auto"/>
        <w:jc w:val="both"/>
        <w:rPr>
          <w:rFonts w:ascii="Arial" w:hAnsi="Arial" w:cs="Arial"/>
        </w:rPr>
      </w:pPr>
      <w:r w:rsidRPr="6194F335" w:rsidR="08A51FA4">
        <w:rPr>
          <w:rFonts w:ascii="Arial" w:hAnsi="Arial" w:cs="Arial"/>
        </w:rPr>
        <w:t xml:space="preserve">Molino, M., </w:t>
      </w:r>
      <w:r w:rsidRPr="6194F335" w:rsidR="08A51FA4">
        <w:rPr>
          <w:rFonts w:ascii="Arial" w:hAnsi="Arial" w:cs="Arial"/>
        </w:rPr>
        <w:t>Ingusci</w:t>
      </w:r>
      <w:r w:rsidRPr="6194F335" w:rsidR="08A51FA4">
        <w:rPr>
          <w:rFonts w:ascii="Arial" w:hAnsi="Arial" w:cs="Arial"/>
        </w:rPr>
        <w:t xml:space="preserve">, E., </w:t>
      </w:r>
      <w:r w:rsidRPr="6194F335" w:rsidR="08A51FA4">
        <w:rPr>
          <w:rFonts w:ascii="Arial" w:hAnsi="Arial" w:cs="Arial"/>
        </w:rPr>
        <w:t>Signore</w:t>
      </w:r>
      <w:r w:rsidRPr="6194F335" w:rsidR="08A51FA4">
        <w:rPr>
          <w:rFonts w:ascii="Arial" w:hAnsi="Arial" w:cs="Arial"/>
        </w:rPr>
        <w:t xml:space="preserve">, F., </w:t>
      </w:r>
      <w:r w:rsidRPr="6194F335" w:rsidR="08A51FA4">
        <w:rPr>
          <w:rFonts w:ascii="Arial" w:hAnsi="Arial" w:cs="Arial"/>
        </w:rPr>
        <w:t>Manuti</w:t>
      </w:r>
      <w:r w:rsidRPr="6194F335" w:rsidR="08A51FA4">
        <w:rPr>
          <w:rFonts w:ascii="Arial" w:hAnsi="Arial" w:cs="Arial"/>
        </w:rPr>
        <w:t>, A., Giancaspro, M.L., Russo, V., Zito, M. and Cortese, C.G. (2020) ‘</w:t>
      </w:r>
      <w:r w:rsidRPr="6194F335" w:rsidR="08A51FA4">
        <w:rPr>
          <w:rFonts w:ascii="Arial" w:hAnsi="Arial" w:cs="Arial"/>
          <w:i w:val="1"/>
          <w:iCs w:val="1"/>
        </w:rPr>
        <w:t xml:space="preserve">Wellbeing costs of technology use during COVID-19 remote working’, </w:t>
      </w:r>
      <w:r w:rsidRPr="6194F335" w:rsidR="08A51FA4">
        <w:rPr>
          <w:rFonts w:ascii="Arial" w:hAnsi="Arial" w:cs="Arial"/>
          <w:i w:val="1"/>
          <w:iCs w:val="1"/>
        </w:rPr>
        <w:t>Sustainability</w:t>
      </w:r>
      <w:r w:rsidRPr="6194F335" w:rsidR="08A51FA4">
        <w:rPr>
          <w:rFonts w:ascii="Arial" w:hAnsi="Arial" w:cs="Arial"/>
          <w:i w:val="1"/>
          <w:iCs w:val="1"/>
        </w:rPr>
        <w:t>,</w:t>
      </w:r>
      <w:r w:rsidRPr="6194F335" w:rsidR="08A51FA4">
        <w:rPr>
          <w:rFonts w:ascii="Arial" w:hAnsi="Arial" w:cs="Arial"/>
        </w:rPr>
        <w:t xml:space="preserve"> 12(15), pp. 1–15.</w:t>
      </w:r>
    </w:p>
    <w:p w:rsidRPr="007A7B06" w:rsidR="00DF6488" w:rsidP="006771A1" w:rsidRDefault="00DF6488" w14:paraId="54A0D60F" w14:textId="77777777">
      <w:pPr>
        <w:spacing w:line="360" w:lineRule="auto"/>
        <w:jc w:val="both"/>
        <w:rPr>
          <w:rFonts w:ascii="Arial" w:hAnsi="Arial" w:cs="Arial"/>
        </w:rPr>
      </w:pPr>
      <w:r w:rsidRPr="007A7B06">
        <w:rPr>
          <w:rFonts w:ascii="Arial" w:hAnsi="Arial" w:cs="Arial"/>
        </w:rPr>
        <w:t xml:space="preserve">Page, M.J. et al. (2021) ‘The PRISMA 2020 statement’, </w:t>
      </w:r>
      <w:r w:rsidRPr="007A7B06">
        <w:rPr>
          <w:rFonts w:ascii="Arial" w:hAnsi="Arial" w:cs="Arial"/>
          <w:i/>
          <w:iCs/>
        </w:rPr>
        <w:t>BMJ</w:t>
      </w:r>
      <w:r w:rsidRPr="007A7B06">
        <w:rPr>
          <w:rFonts w:ascii="Arial" w:hAnsi="Arial" w:cs="Arial"/>
        </w:rPr>
        <w:t>, 372, p. n71.</w:t>
      </w:r>
    </w:p>
    <w:p w:rsidRPr="007A7B06" w:rsidR="00DF6488" w:rsidP="006771A1" w:rsidRDefault="00DF6488" w14:paraId="3940DBB6" w14:textId="77777777">
      <w:pPr>
        <w:spacing w:line="360" w:lineRule="auto"/>
        <w:jc w:val="both"/>
        <w:rPr>
          <w:rFonts w:ascii="Arial" w:hAnsi="Arial" w:cs="Arial"/>
        </w:rPr>
      </w:pPr>
      <w:r w:rsidRPr="007A7B06">
        <w:rPr>
          <w:rFonts w:ascii="Arial" w:hAnsi="Arial" w:cs="Arial"/>
        </w:rPr>
        <w:t xml:space="preserve">Saunders, M., Lewis, P. and Thornhill, A. (2019) </w:t>
      </w:r>
      <w:r w:rsidRPr="007A7B06">
        <w:rPr>
          <w:rFonts w:ascii="Arial" w:hAnsi="Arial" w:cs="Arial"/>
          <w:i/>
          <w:iCs/>
        </w:rPr>
        <w:t>Research Methods for Business Students</w:t>
      </w:r>
      <w:r w:rsidRPr="007A7B06">
        <w:rPr>
          <w:rFonts w:ascii="Arial" w:hAnsi="Arial" w:cs="Arial"/>
        </w:rPr>
        <w:t xml:space="preserve">. 8th </w:t>
      </w:r>
      <w:proofErr w:type="spellStart"/>
      <w:r w:rsidRPr="007A7B06">
        <w:rPr>
          <w:rFonts w:ascii="Arial" w:hAnsi="Arial" w:cs="Arial"/>
        </w:rPr>
        <w:t>edn</w:t>
      </w:r>
      <w:proofErr w:type="spellEnd"/>
      <w:r w:rsidRPr="007A7B06">
        <w:rPr>
          <w:rFonts w:ascii="Arial" w:hAnsi="Arial" w:cs="Arial"/>
        </w:rPr>
        <w:t xml:space="preserve">. Harlow: Pearson. </w:t>
      </w:r>
    </w:p>
    <w:p w:rsidRPr="007A7B06" w:rsidR="00DF6488" w:rsidP="006771A1" w:rsidRDefault="00DF6488" w14:paraId="08399BEE" w14:textId="77777777">
      <w:pPr>
        <w:spacing w:line="360" w:lineRule="auto"/>
        <w:jc w:val="both"/>
        <w:rPr>
          <w:rFonts w:ascii="Arial" w:hAnsi="Arial" w:cs="Arial"/>
        </w:rPr>
      </w:pPr>
      <w:r w:rsidRPr="6194F335" w:rsidR="08A51FA4">
        <w:rPr>
          <w:rFonts w:ascii="Arial" w:hAnsi="Arial" w:cs="Arial"/>
        </w:rPr>
        <w:t>Schaufeli, W.B., Salanova, M., González-</w:t>
      </w:r>
      <w:r w:rsidRPr="6194F335" w:rsidR="08A51FA4">
        <w:rPr>
          <w:rFonts w:ascii="Arial" w:hAnsi="Arial" w:cs="Arial"/>
        </w:rPr>
        <w:t>Romá</w:t>
      </w:r>
      <w:r w:rsidRPr="6194F335" w:rsidR="08A51FA4">
        <w:rPr>
          <w:rFonts w:ascii="Arial" w:hAnsi="Arial" w:cs="Arial"/>
        </w:rPr>
        <w:t>, V. and Bakker, A.B. (2002) ‘</w:t>
      </w:r>
      <w:r w:rsidRPr="6194F335" w:rsidR="08A51FA4">
        <w:rPr>
          <w:rFonts w:ascii="Arial" w:hAnsi="Arial" w:cs="Arial"/>
          <w:i w:val="1"/>
          <w:iCs w:val="1"/>
        </w:rPr>
        <w:t>The measurement of engagement and burnout’,</w:t>
      </w:r>
      <w:r w:rsidRPr="6194F335" w:rsidR="08A51FA4">
        <w:rPr>
          <w:rFonts w:ascii="Arial" w:hAnsi="Arial" w:cs="Arial"/>
        </w:rPr>
        <w:t xml:space="preserve"> </w:t>
      </w:r>
      <w:r w:rsidRPr="6194F335" w:rsidR="08A51FA4">
        <w:rPr>
          <w:rFonts w:ascii="Arial" w:hAnsi="Arial" w:cs="Arial"/>
          <w:i w:val="1"/>
          <w:iCs w:val="1"/>
        </w:rPr>
        <w:t>Journal of Happiness Studies</w:t>
      </w:r>
      <w:r w:rsidRPr="6194F335" w:rsidR="08A51FA4">
        <w:rPr>
          <w:rFonts w:ascii="Arial" w:hAnsi="Arial" w:cs="Arial"/>
        </w:rPr>
        <w:t>, 3(1), pp. 71–92.</w:t>
      </w:r>
    </w:p>
    <w:p w:rsidRPr="007A7B06" w:rsidR="00DF6488" w:rsidP="006771A1" w:rsidRDefault="00DF6488" w14:paraId="251F9F87" w14:textId="77777777">
      <w:pPr>
        <w:spacing w:line="360" w:lineRule="auto"/>
        <w:jc w:val="both"/>
        <w:rPr>
          <w:rFonts w:ascii="Arial" w:hAnsi="Arial" w:cs="Arial"/>
        </w:rPr>
      </w:pPr>
      <w:r w:rsidRPr="6194F335" w:rsidR="08A51FA4">
        <w:rPr>
          <w:rFonts w:ascii="Arial" w:hAnsi="Arial" w:cs="Arial"/>
        </w:rPr>
        <w:t xml:space="preserve">Van </w:t>
      </w:r>
      <w:r w:rsidRPr="6194F335" w:rsidR="08A51FA4">
        <w:rPr>
          <w:rFonts w:ascii="Arial" w:hAnsi="Arial" w:cs="Arial"/>
        </w:rPr>
        <w:t>Zoonen</w:t>
      </w:r>
      <w:r w:rsidRPr="6194F335" w:rsidR="08A51FA4">
        <w:rPr>
          <w:rFonts w:ascii="Arial" w:hAnsi="Arial" w:cs="Arial"/>
        </w:rPr>
        <w:t xml:space="preserve">, W. and </w:t>
      </w:r>
      <w:r w:rsidRPr="6194F335" w:rsidR="08A51FA4">
        <w:rPr>
          <w:rFonts w:ascii="Arial" w:hAnsi="Arial" w:cs="Arial"/>
        </w:rPr>
        <w:t>Sivunen</w:t>
      </w:r>
      <w:r w:rsidRPr="6194F335" w:rsidR="08A51FA4">
        <w:rPr>
          <w:rFonts w:ascii="Arial" w:hAnsi="Arial" w:cs="Arial"/>
        </w:rPr>
        <w:t>, A. (2022) ‘</w:t>
      </w:r>
      <w:r w:rsidRPr="6194F335" w:rsidR="08A51FA4">
        <w:rPr>
          <w:rFonts w:ascii="Arial" w:hAnsi="Arial" w:cs="Arial"/>
          <w:i w:val="1"/>
          <w:iCs w:val="1"/>
        </w:rPr>
        <w:t xml:space="preserve">The impact of remote work and mediated communication on employee engagement’, </w:t>
      </w:r>
      <w:r w:rsidRPr="6194F335" w:rsidR="08A51FA4">
        <w:rPr>
          <w:rFonts w:ascii="Arial" w:hAnsi="Arial" w:cs="Arial"/>
          <w:i w:val="1"/>
          <w:iCs w:val="1"/>
        </w:rPr>
        <w:t>New Technology, Work and Employment</w:t>
      </w:r>
      <w:r w:rsidRPr="6194F335" w:rsidR="08A51FA4">
        <w:rPr>
          <w:rFonts w:ascii="Arial" w:hAnsi="Arial" w:cs="Arial"/>
          <w:i w:val="1"/>
          <w:iCs w:val="1"/>
        </w:rPr>
        <w:t>,</w:t>
      </w:r>
      <w:r w:rsidRPr="6194F335" w:rsidR="08A51FA4">
        <w:rPr>
          <w:rFonts w:ascii="Arial" w:hAnsi="Arial" w:cs="Arial"/>
        </w:rPr>
        <w:t xml:space="preserve"> 37(1), pp. 44–58.</w:t>
      </w:r>
    </w:p>
    <w:p w:rsidRPr="007A7B06" w:rsidR="00DF6488" w:rsidP="006771A1" w:rsidRDefault="00DF6488" w14:paraId="4937BC02" w14:textId="77777777">
      <w:pPr>
        <w:spacing w:line="360" w:lineRule="auto"/>
        <w:jc w:val="both"/>
        <w:rPr>
          <w:rFonts w:ascii="Arial" w:hAnsi="Arial" w:cs="Arial"/>
        </w:rPr>
      </w:pPr>
      <w:r w:rsidRPr="6194F335" w:rsidR="08A51FA4">
        <w:rPr>
          <w:rFonts w:ascii="Arial" w:hAnsi="Arial" w:cs="Arial"/>
        </w:rPr>
        <w:t>Waizenegger</w:t>
      </w:r>
      <w:r w:rsidRPr="6194F335" w:rsidR="08A51FA4">
        <w:rPr>
          <w:rFonts w:ascii="Arial" w:hAnsi="Arial" w:cs="Arial"/>
        </w:rPr>
        <w:t>, L., McKenna, B., Cai, W. and Bendz, T. (2020)</w:t>
      </w:r>
      <w:r w:rsidRPr="6194F335" w:rsidR="08A51FA4">
        <w:rPr>
          <w:rFonts w:ascii="Arial" w:hAnsi="Arial" w:cs="Arial"/>
          <w:i w:val="1"/>
          <w:iCs w:val="1"/>
        </w:rPr>
        <w:t xml:space="preserve"> ‘An affordance perspective of team collaboration and enforced working from home during COVID-19’, </w:t>
      </w:r>
      <w:r w:rsidRPr="6194F335" w:rsidR="08A51FA4">
        <w:rPr>
          <w:rFonts w:ascii="Arial" w:hAnsi="Arial" w:cs="Arial"/>
          <w:i w:val="1"/>
          <w:iCs w:val="1"/>
        </w:rPr>
        <w:t>European Journal of Information Systems</w:t>
      </w:r>
      <w:r w:rsidRPr="6194F335" w:rsidR="08A51FA4">
        <w:rPr>
          <w:rFonts w:ascii="Arial" w:hAnsi="Arial" w:cs="Arial"/>
        </w:rPr>
        <w:t>, 29(4), pp. 429–442.</w:t>
      </w:r>
    </w:p>
    <w:p w:rsidRPr="007A7B06" w:rsidR="00DF6488" w:rsidP="006771A1" w:rsidRDefault="00DF6488" w14:paraId="7A347AE1" w14:textId="77777777">
      <w:pPr>
        <w:spacing w:line="360" w:lineRule="auto"/>
        <w:jc w:val="both"/>
        <w:rPr>
          <w:rFonts w:ascii="Arial" w:hAnsi="Arial" w:cs="Arial"/>
        </w:rPr>
      </w:pPr>
      <w:r w:rsidRPr="6194F335" w:rsidR="08A51FA4">
        <w:rPr>
          <w:rFonts w:ascii="Arial" w:hAnsi="Arial" w:cs="Arial"/>
        </w:rPr>
        <w:t>Wang, B., Liu, Y., Qian, J. and Parker, S.K. (2021) ‘</w:t>
      </w:r>
      <w:r w:rsidRPr="6194F335" w:rsidR="08A51FA4">
        <w:rPr>
          <w:rFonts w:ascii="Arial" w:hAnsi="Arial" w:cs="Arial"/>
          <w:i w:val="1"/>
          <w:iCs w:val="1"/>
        </w:rPr>
        <w:t xml:space="preserve">Achieving effective remote working during the COVID-19 pandemic: A work design perspective’, </w:t>
      </w:r>
      <w:r w:rsidRPr="6194F335" w:rsidR="08A51FA4">
        <w:rPr>
          <w:rFonts w:ascii="Arial" w:hAnsi="Arial" w:cs="Arial"/>
          <w:i w:val="1"/>
          <w:iCs w:val="1"/>
        </w:rPr>
        <w:t>Applied Psychology</w:t>
      </w:r>
      <w:r w:rsidRPr="6194F335" w:rsidR="08A51FA4">
        <w:rPr>
          <w:rFonts w:ascii="Arial" w:hAnsi="Arial" w:cs="Arial"/>
        </w:rPr>
        <w:t>, 70(1), pp. 16–59.</w:t>
      </w:r>
    </w:p>
    <w:p w:rsidRPr="002E217C" w:rsidR="002E217C" w:rsidP="006771A1" w:rsidRDefault="002E217C" w14:paraId="6CEC9F22" w14:textId="77777777">
      <w:pPr>
        <w:spacing w:line="360" w:lineRule="auto"/>
        <w:jc w:val="both"/>
        <w:rPr>
          <w:b/>
          <w:bCs/>
        </w:rPr>
      </w:pPr>
    </w:p>
    <w:p w:rsidR="002E217C" w:rsidP="006771A1" w:rsidRDefault="002E217C" w14:paraId="5D7369EB" w14:textId="77777777">
      <w:pPr>
        <w:spacing w:line="360" w:lineRule="auto"/>
        <w:jc w:val="both"/>
        <w:rPr>
          <w:b/>
          <w:bCs/>
        </w:rPr>
      </w:pPr>
    </w:p>
    <w:p w:rsidRPr="002E217C" w:rsidR="002E217C" w:rsidP="006771A1" w:rsidRDefault="002E217C" w14:paraId="07B79E66" w14:textId="77777777">
      <w:pPr>
        <w:spacing w:line="360" w:lineRule="auto"/>
        <w:jc w:val="both"/>
        <w:rPr>
          <w:b/>
          <w:bCs/>
        </w:rPr>
      </w:pPr>
    </w:p>
    <w:p w:rsidR="002E217C" w:rsidP="006771A1" w:rsidRDefault="002E217C" w14:paraId="475D119F" w14:textId="77777777">
      <w:pPr>
        <w:spacing w:line="360" w:lineRule="auto"/>
        <w:jc w:val="both"/>
        <w:rPr>
          <w:b/>
          <w:bCs/>
        </w:rPr>
      </w:pPr>
    </w:p>
    <w:p w:rsidR="002E217C" w:rsidP="006771A1" w:rsidRDefault="002E217C" w14:paraId="6BCC7657" w14:textId="77777777">
      <w:pPr>
        <w:spacing w:line="360" w:lineRule="auto"/>
        <w:jc w:val="both"/>
        <w:rPr>
          <w:b/>
          <w:bCs/>
        </w:rPr>
      </w:pPr>
    </w:p>
    <w:p w:rsidR="002E217C" w:rsidP="006771A1" w:rsidRDefault="002E217C" w14:paraId="779DCB84" w14:textId="77777777">
      <w:pPr>
        <w:spacing w:line="360" w:lineRule="auto"/>
        <w:jc w:val="both"/>
        <w:rPr>
          <w:b/>
          <w:bCs/>
        </w:rPr>
      </w:pPr>
    </w:p>
    <w:p w:rsidRPr="002E217C" w:rsidR="002E217C" w:rsidP="006771A1" w:rsidRDefault="002E217C" w14:paraId="31216A48" w14:textId="77777777">
      <w:pPr>
        <w:spacing w:line="360" w:lineRule="auto"/>
        <w:jc w:val="both"/>
        <w:rPr>
          <w:b/>
          <w:bCs/>
        </w:rPr>
      </w:pPr>
    </w:p>
    <w:p w:rsidR="002E217C" w:rsidP="006771A1" w:rsidRDefault="002E217C" w14:paraId="7DBF3BE5" w14:textId="77777777">
      <w:pPr>
        <w:spacing w:line="360" w:lineRule="auto"/>
        <w:jc w:val="both"/>
        <w:rPr>
          <w:b/>
          <w:bCs/>
        </w:rPr>
      </w:pPr>
    </w:p>
    <w:p w:rsidRPr="002E217C" w:rsidR="002E217C" w:rsidP="006771A1" w:rsidRDefault="002E217C" w14:paraId="51D41169" w14:textId="77777777">
      <w:pPr>
        <w:spacing w:line="360" w:lineRule="auto"/>
        <w:jc w:val="both"/>
        <w:rPr>
          <w:b/>
          <w:bCs/>
        </w:rPr>
      </w:pPr>
    </w:p>
    <w:p w:rsidR="00C94198" w:rsidP="006771A1" w:rsidRDefault="00C94198" w14:paraId="4C290E1E" w14:textId="77777777">
      <w:pPr>
        <w:spacing w:line="360" w:lineRule="auto"/>
        <w:jc w:val="both"/>
        <w:rPr>
          <w:b/>
          <w:bCs/>
        </w:rPr>
      </w:pPr>
    </w:p>
    <w:p w:rsidRPr="00C94198" w:rsidR="002E217C" w:rsidP="006771A1" w:rsidRDefault="002E217C" w14:paraId="3B8F9009" w14:textId="77777777">
      <w:pPr>
        <w:spacing w:line="360" w:lineRule="auto"/>
        <w:jc w:val="both"/>
        <w:rPr>
          <w:b/>
          <w:bCs/>
        </w:rPr>
      </w:pPr>
    </w:p>
    <w:p w:rsidR="00C94198" w:rsidP="006771A1" w:rsidRDefault="00C94198" w14:paraId="0722F0F0" w14:textId="77777777">
      <w:pPr>
        <w:spacing w:line="360" w:lineRule="auto"/>
        <w:jc w:val="both"/>
      </w:pPr>
    </w:p>
    <w:sectPr w:rsidR="00C9419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851E4" w:rsidP="00DF6488" w:rsidRDefault="001851E4" w14:paraId="2E76644F" w14:textId="77777777">
      <w:pPr>
        <w:spacing w:after="0" w:line="240" w:lineRule="auto"/>
      </w:pPr>
      <w:r>
        <w:separator/>
      </w:r>
    </w:p>
  </w:endnote>
  <w:endnote w:type="continuationSeparator" w:id="0">
    <w:p w:rsidR="001851E4" w:rsidP="00DF6488" w:rsidRDefault="001851E4" w14:paraId="1CBCCB6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851E4" w:rsidP="00DF6488" w:rsidRDefault="001851E4" w14:paraId="4FAF1D81" w14:textId="77777777">
      <w:pPr>
        <w:spacing w:after="0" w:line="240" w:lineRule="auto"/>
      </w:pPr>
      <w:r>
        <w:separator/>
      </w:r>
    </w:p>
  </w:footnote>
  <w:footnote w:type="continuationSeparator" w:id="0">
    <w:p w:rsidR="001851E4" w:rsidP="00DF6488" w:rsidRDefault="001851E4" w14:paraId="36ECB91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A6247"/>
    <w:multiLevelType w:val="multilevel"/>
    <w:tmpl w:val="2968E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EC21CB"/>
    <w:multiLevelType w:val="hybridMultilevel"/>
    <w:tmpl w:val="5B56822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3451920">
    <w:abstractNumId w:val="0"/>
  </w:num>
  <w:num w:numId="2" w16cid:durableId="380398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7D6"/>
    <w:rsid w:val="00016715"/>
    <w:rsid w:val="000953C6"/>
    <w:rsid w:val="000D386D"/>
    <w:rsid w:val="00146B76"/>
    <w:rsid w:val="001851E4"/>
    <w:rsid w:val="001C450D"/>
    <w:rsid w:val="002260FD"/>
    <w:rsid w:val="00271639"/>
    <w:rsid w:val="002A31F8"/>
    <w:rsid w:val="002E217C"/>
    <w:rsid w:val="003004F1"/>
    <w:rsid w:val="00491262"/>
    <w:rsid w:val="00516B5F"/>
    <w:rsid w:val="005257D6"/>
    <w:rsid w:val="005369E8"/>
    <w:rsid w:val="00555250"/>
    <w:rsid w:val="0065286D"/>
    <w:rsid w:val="006771A1"/>
    <w:rsid w:val="0079681B"/>
    <w:rsid w:val="007A2C7A"/>
    <w:rsid w:val="007A7B06"/>
    <w:rsid w:val="00886C2E"/>
    <w:rsid w:val="008C3CB5"/>
    <w:rsid w:val="009017C0"/>
    <w:rsid w:val="00927E4C"/>
    <w:rsid w:val="00950D25"/>
    <w:rsid w:val="00960D8B"/>
    <w:rsid w:val="00A11BE7"/>
    <w:rsid w:val="00A75858"/>
    <w:rsid w:val="00A84379"/>
    <w:rsid w:val="00A90CAB"/>
    <w:rsid w:val="00AC4340"/>
    <w:rsid w:val="00AF7C29"/>
    <w:rsid w:val="00B20534"/>
    <w:rsid w:val="00BC7819"/>
    <w:rsid w:val="00BD048E"/>
    <w:rsid w:val="00C94198"/>
    <w:rsid w:val="00CD3170"/>
    <w:rsid w:val="00D45D85"/>
    <w:rsid w:val="00D54CC3"/>
    <w:rsid w:val="00DE7C09"/>
    <w:rsid w:val="00DF1C92"/>
    <w:rsid w:val="00DF6488"/>
    <w:rsid w:val="00E136F3"/>
    <w:rsid w:val="00EA2EE9"/>
    <w:rsid w:val="00EA566F"/>
    <w:rsid w:val="00F0588F"/>
    <w:rsid w:val="00F14AB0"/>
    <w:rsid w:val="00F42EA5"/>
    <w:rsid w:val="00F813AD"/>
    <w:rsid w:val="00FD4B99"/>
    <w:rsid w:val="00FE1668"/>
    <w:rsid w:val="0152526E"/>
    <w:rsid w:val="026D85DC"/>
    <w:rsid w:val="02ACED08"/>
    <w:rsid w:val="045F1E54"/>
    <w:rsid w:val="08A51FA4"/>
    <w:rsid w:val="0938AD54"/>
    <w:rsid w:val="113A16DD"/>
    <w:rsid w:val="120ABCD3"/>
    <w:rsid w:val="124BFF30"/>
    <w:rsid w:val="13392F65"/>
    <w:rsid w:val="1A31A3FA"/>
    <w:rsid w:val="1A5B3C7C"/>
    <w:rsid w:val="275490F2"/>
    <w:rsid w:val="27F78FA9"/>
    <w:rsid w:val="2C3ADD4D"/>
    <w:rsid w:val="2C5CDF2B"/>
    <w:rsid w:val="2CDCC527"/>
    <w:rsid w:val="2D0056C1"/>
    <w:rsid w:val="2E597F84"/>
    <w:rsid w:val="2FFFA0BF"/>
    <w:rsid w:val="31FA1F67"/>
    <w:rsid w:val="32804E6B"/>
    <w:rsid w:val="34257221"/>
    <w:rsid w:val="34DA2E45"/>
    <w:rsid w:val="35BD5238"/>
    <w:rsid w:val="36293039"/>
    <w:rsid w:val="366B6193"/>
    <w:rsid w:val="371D755E"/>
    <w:rsid w:val="37E95605"/>
    <w:rsid w:val="381A5290"/>
    <w:rsid w:val="39409EBB"/>
    <w:rsid w:val="39FA1EF6"/>
    <w:rsid w:val="3A4596DD"/>
    <w:rsid w:val="3A80F362"/>
    <w:rsid w:val="3BF88435"/>
    <w:rsid w:val="40836EB0"/>
    <w:rsid w:val="41C950BE"/>
    <w:rsid w:val="4208149F"/>
    <w:rsid w:val="478B8C92"/>
    <w:rsid w:val="4990A0C3"/>
    <w:rsid w:val="4A6625A7"/>
    <w:rsid w:val="4CCEC026"/>
    <w:rsid w:val="4CE53D49"/>
    <w:rsid w:val="4D1011CF"/>
    <w:rsid w:val="4FB6C9C3"/>
    <w:rsid w:val="4FC1CEC8"/>
    <w:rsid w:val="4FD9144C"/>
    <w:rsid w:val="519ABDAE"/>
    <w:rsid w:val="51DAAB6A"/>
    <w:rsid w:val="54530A14"/>
    <w:rsid w:val="55FB5FF8"/>
    <w:rsid w:val="563A5469"/>
    <w:rsid w:val="57387F58"/>
    <w:rsid w:val="577CC86D"/>
    <w:rsid w:val="5B29177E"/>
    <w:rsid w:val="5BD0B035"/>
    <w:rsid w:val="5C848168"/>
    <w:rsid w:val="5D2B60BA"/>
    <w:rsid w:val="5F8FE67A"/>
    <w:rsid w:val="6194F335"/>
    <w:rsid w:val="639958A6"/>
    <w:rsid w:val="646B8EC4"/>
    <w:rsid w:val="651AC3AC"/>
    <w:rsid w:val="6688012E"/>
    <w:rsid w:val="66BFA1C7"/>
    <w:rsid w:val="66D4EDDC"/>
    <w:rsid w:val="6836E723"/>
    <w:rsid w:val="6861EF4F"/>
    <w:rsid w:val="6BE4CCFB"/>
    <w:rsid w:val="6D3DF245"/>
    <w:rsid w:val="6FD6A697"/>
    <w:rsid w:val="72175089"/>
    <w:rsid w:val="725C9D12"/>
    <w:rsid w:val="727059B9"/>
    <w:rsid w:val="732711E4"/>
    <w:rsid w:val="740FED49"/>
    <w:rsid w:val="77D340A9"/>
    <w:rsid w:val="78D4CB0E"/>
    <w:rsid w:val="797E1B40"/>
    <w:rsid w:val="7A50569E"/>
    <w:rsid w:val="7B93D3FC"/>
    <w:rsid w:val="7C3E2C5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EAF67D"/>
  <w15:chartTrackingRefBased/>
  <w15:docId w15:val="{ABA1BFC2-799A-44FA-8646-A589599DA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257D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257D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57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57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57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57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57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57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57D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257D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5257D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257D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257D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257D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257D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257D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257D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257D6"/>
    <w:rPr>
      <w:rFonts w:eastAsiaTheme="majorEastAsia" w:cstheme="majorBidi"/>
      <w:color w:val="272727" w:themeColor="text1" w:themeTint="D8"/>
    </w:rPr>
  </w:style>
  <w:style w:type="paragraph" w:styleId="Title">
    <w:name w:val="Title"/>
    <w:basedOn w:val="Normal"/>
    <w:next w:val="Normal"/>
    <w:link w:val="TitleChar"/>
    <w:uiPriority w:val="10"/>
    <w:qFormat/>
    <w:rsid w:val="005257D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257D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257D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257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57D6"/>
    <w:pPr>
      <w:spacing w:before="160"/>
      <w:jc w:val="center"/>
    </w:pPr>
    <w:rPr>
      <w:i/>
      <w:iCs/>
      <w:color w:val="404040" w:themeColor="text1" w:themeTint="BF"/>
    </w:rPr>
  </w:style>
  <w:style w:type="character" w:styleId="QuoteChar" w:customStyle="1">
    <w:name w:val="Quote Char"/>
    <w:basedOn w:val="DefaultParagraphFont"/>
    <w:link w:val="Quote"/>
    <w:uiPriority w:val="29"/>
    <w:rsid w:val="005257D6"/>
    <w:rPr>
      <w:i/>
      <w:iCs/>
      <w:color w:val="404040" w:themeColor="text1" w:themeTint="BF"/>
    </w:rPr>
  </w:style>
  <w:style w:type="paragraph" w:styleId="ListParagraph">
    <w:name w:val="List Paragraph"/>
    <w:basedOn w:val="Normal"/>
    <w:uiPriority w:val="34"/>
    <w:qFormat/>
    <w:rsid w:val="005257D6"/>
    <w:pPr>
      <w:ind w:left="720"/>
      <w:contextualSpacing/>
    </w:pPr>
  </w:style>
  <w:style w:type="character" w:styleId="IntenseEmphasis">
    <w:name w:val="Intense Emphasis"/>
    <w:basedOn w:val="DefaultParagraphFont"/>
    <w:uiPriority w:val="21"/>
    <w:qFormat/>
    <w:rsid w:val="005257D6"/>
    <w:rPr>
      <w:i/>
      <w:iCs/>
      <w:color w:val="0F4761" w:themeColor="accent1" w:themeShade="BF"/>
    </w:rPr>
  </w:style>
  <w:style w:type="paragraph" w:styleId="IntenseQuote">
    <w:name w:val="Intense Quote"/>
    <w:basedOn w:val="Normal"/>
    <w:next w:val="Normal"/>
    <w:link w:val="IntenseQuoteChar"/>
    <w:uiPriority w:val="30"/>
    <w:qFormat/>
    <w:rsid w:val="005257D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257D6"/>
    <w:rPr>
      <w:i/>
      <w:iCs/>
      <w:color w:val="0F4761" w:themeColor="accent1" w:themeShade="BF"/>
    </w:rPr>
  </w:style>
  <w:style w:type="character" w:styleId="IntenseReference">
    <w:name w:val="Intense Reference"/>
    <w:basedOn w:val="DefaultParagraphFont"/>
    <w:uiPriority w:val="32"/>
    <w:qFormat/>
    <w:rsid w:val="005257D6"/>
    <w:rPr>
      <w:b/>
      <w:bCs/>
      <w:smallCaps/>
      <w:color w:val="0F4761" w:themeColor="accent1" w:themeShade="BF"/>
      <w:spacing w:val="5"/>
    </w:rPr>
  </w:style>
  <w:style w:type="paragraph" w:styleId="TOCHeading">
    <w:name w:val="TOC Heading"/>
    <w:basedOn w:val="Heading1"/>
    <w:next w:val="Normal"/>
    <w:uiPriority w:val="39"/>
    <w:unhideWhenUsed/>
    <w:qFormat/>
    <w:rsid w:val="00DF6488"/>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DF6488"/>
    <w:pPr>
      <w:spacing w:after="100"/>
    </w:pPr>
  </w:style>
  <w:style w:type="paragraph" w:styleId="TOC2">
    <w:name w:val="toc 2"/>
    <w:basedOn w:val="Normal"/>
    <w:next w:val="Normal"/>
    <w:autoRedefine/>
    <w:uiPriority w:val="39"/>
    <w:unhideWhenUsed/>
    <w:rsid w:val="00DF6488"/>
    <w:pPr>
      <w:spacing w:after="100"/>
      <w:ind w:left="220"/>
    </w:pPr>
  </w:style>
  <w:style w:type="character" w:styleId="Hyperlink">
    <w:name w:val="Hyperlink"/>
    <w:basedOn w:val="DefaultParagraphFont"/>
    <w:uiPriority w:val="99"/>
    <w:unhideWhenUsed/>
    <w:rsid w:val="00DF6488"/>
    <w:rPr>
      <w:color w:val="467886" w:themeColor="hyperlink"/>
      <w:u w:val="single"/>
    </w:rPr>
  </w:style>
  <w:style w:type="paragraph" w:styleId="Header">
    <w:name w:val="header"/>
    <w:basedOn w:val="Normal"/>
    <w:link w:val="HeaderChar"/>
    <w:uiPriority w:val="99"/>
    <w:unhideWhenUsed/>
    <w:rsid w:val="00DF6488"/>
    <w:pPr>
      <w:tabs>
        <w:tab w:val="center" w:pos="4513"/>
        <w:tab w:val="right" w:pos="9026"/>
      </w:tabs>
      <w:spacing w:after="0" w:line="240" w:lineRule="auto"/>
    </w:pPr>
  </w:style>
  <w:style w:type="character" w:styleId="HeaderChar" w:customStyle="1">
    <w:name w:val="Header Char"/>
    <w:basedOn w:val="DefaultParagraphFont"/>
    <w:link w:val="Header"/>
    <w:uiPriority w:val="99"/>
    <w:rsid w:val="00DF6488"/>
  </w:style>
  <w:style w:type="paragraph" w:styleId="Footer">
    <w:name w:val="footer"/>
    <w:basedOn w:val="Normal"/>
    <w:link w:val="FooterChar"/>
    <w:uiPriority w:val="99"/>
    <w:unhideWhenUsed/>
    <w:rsid w:val="00DF6488"/>
    <w:pPr>
      <w:tabs>
        <w:tab w:val="center" w:pos="4513"/>
        <w:tab w:val="right" w:pos="9026"/>
      </w:tabs>
      <w:spacing w:after="0" w:line="240" w:lineRule="auto"/>
    </w:pPr>
  </w:style>
  <w:style w:type="character" w:styleId="FooterChar" w:customStyle="1">
    <w:name w:val="Footer Char"/>
    <w:basedOn w:val="DefaultParagraphFont"/>
    <w:link w:val="Footer"/>
    <w:uiPriority w:val="99"/>
    <w:rsid w:val="00DF64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5.png" Id="rId20451646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3" ma:contentTypeDescription="Create a new document." ma:contentTypeScope="" ma:versionID="e53aa8e8ac2ed923f3be0ceecbc365f8">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c54ab80bd1758fd5d70b686270a560ae"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26FF2A-B961-4604-9D36-FCB278320A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C7A255-18E6-46F1-ABE7-1D13A3E0B747}">
  <ds:schemaRefs>
    <ds:schemaRef ds:uri="http://schemas.openxmlformats.org/officeDocument/2006/bibliography"/>
  </ds:schemaRefs>
</ds:datastoreItem>
</file>

<file path=customXml/itemProps3.xml><?xml version="1.0" encoding="utf-8"?>
<ds:datastoreItem xmlns:ds="http://schemas.openxmlformats.org/officeDocument/2006/customXml" ds:itemID="{AE5D93BF-6724-4D55-8EA0-B78EA75B943E}">
  <ds:schemaRefs>
    <ds:schemaRef ds:uri="http://schemas.microsoft.com/office/2006/metadata/properties"/>
    <ds:schemaRef ds:uri="http://schemas.microsoft.com/office/infopath/2007/PartnerControls"/>
    <ds:schemaRef ds:uri="a450a3cc-050d-4aca-8a4e-543025a63de0"/>
  </ds:schemaRefs>
</ds:datastoreItem>
</file>

<file path=customXml/itemProps4.xml><?xml version="1.0" encoding="utf-8"?>
<ds:datastoreItem xmlns:ds="http://schemas.openxmlformats.org/officeDocument/2006/customXml" ds:itemID="{606CA7F6-40AF-4F47-BCB0-1EFB4CDBA6D9}">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Corina Seni (2217836)</dc:creator>
  <keywords/>
  <dc:description/>
  <lastModifiedBy>Corina Seni (2217836)</lastModifiedBy>
  <revision>6</revision>
  <dcterms:created xsi:type="dcterms:W3CDTF">2026-06-20T23:01:00.0000000Z</dcterms:created>
  <dcterms:modified xsi:type="dcterms:W3CDTF">2026-06-21T10:33:44.1300362Z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