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5A5910" w:rsidRDefault="005A5910" w14:paraId="06E0AFCD" w14:textId="77777777">
      <w:pPr>
        <w:spacing w:before="2400"/>
      </w:pPr>
    </w:p>
    <w:p w:rsidR="005A5910" w:rsidP="2DB22A6B" w:rsidRDefault="00BC275C" w14:paraId="74C508E9" w14:textId="25E66ED2">
      <w:pPr>
        <w:spacing w:after="600"/>
        <w:jc w:val="center"/>
        <w:rPr>
          <w:b w:val="1"/>
          <w:bCs w:val="1"/>
          <w:sz w:val="32"/>
          <w:szCs w:val="32"/>
        </w:rPr>
      </w:pPr>
    </w:p>
    <w:p w:rsidR="005A5910" w:rsidRDefault="00161AB8" w14:paraId="45F3D0C0" w14:textId="3A963A44">
      <w:pPr>
        <w:spacing w:after="200"/>
        <w:jc w:val="center"/>
      </w:pPr>
      <w:r w:rsidR="00161AB8">
        <w:rPr/>
        <w:t xml:space="preserve">Name: </w:t>
      </w:r>
      <w:r w:rsidR="741EF010">
        <w:rPr/>
        <w:t>Noreen Akhtar</w:t>
      </w:r>
    </w:p>
    <w:p w:rsidR="005A5910" w:rsidRDefault="00BC275C" w14:paraId="359C2433" w14:textId="21DB39EA">
      <w:pPr>
        <w:spacing w:after="200"/>
        <w:jc w:val="center"/>
      </w:pPr>
      <w:r w:rsidR="00BC275C">
        <w:rPr/>
        <w:t>Student</w:t>
      </w:r>
      <w:r w:rsidR="00161AB8">
        <w:rPr/>
        <w:t xml:space="preserve"> number: </w:t>
      </w:r>
      <w:r w:rsidR="2A121981">
        <w:rPr/>
        <w:t>2439740</w:t>
      </w:r>
    </w:p>
    <w:p w:rsidR="005A5910" w:rsidRDefault="00BC275C" w14:paraId="4225992F" w14:textId="71A9D401">
      <w:pPr>
        <w:spacing w:after="200"/>
        <w:jc w:val="center"/>
      </w:pPr>
      <w:r w:rsidR="00BC275C">
        <w:rPr/>
        <w:t>Module code</w:t>
      </w:r>
      <w:r w:rsidR="679FDD24">
        <w:rPr/>
        <w:t>: BMHP5023</w:t>
      </w:r>
    </w:p>
    <w:p w:rsidR="0286F431" w:rsidP="217961DF" w:rsidRDefault="0286F431" w14:paraId="08E86A6A" w14:textId="71028682">
      <w:pPr>
        <w:spacing w:after="200"/>
        <w:jc w:val="center"/>
      </w:pPr>
      <w:r w:rsidR="0286F431">
        <w:rPr/>
        <w:t>Lecturer; Robert Nartowski</w:t>
      </w:r>
    </w:p>
    <w:p w:rsidR="005A5910" w:rsidRDefault="00BC275C" w14:paraId="3772860D" w14:textId="77777777">
      <w:pPr>
        <w:spacing w:after="200"/>
        <w:jc w:val="center"/>
      </w:pPr>
      <w:r>
        <w:t>Assignment title: Case Study 1 – Diabetes Report</w:t>
      </w:r>
    </w:p>
    <w:p w:rsidR="005A5910" w:rsidRDefault="00BC275C" w14:paraId="3F8D82BB" w14:textId="77777777">
      <w:r>
        <w:br w:type="page"/>
      </w:r>
    </w:p>
    <w:p w:rsidR="005A5910" w:rsidRDefault="00161AB8" w14:paraId="32DD09E4" w14:textId="77777777">
      <w:pPr>
        <w:pStyle w:val="Heading1"/>
        <w:keepNext/>
        <w:spacing w:before="240" w:after="120" w:line="360" w:lineRule="auto"/>
      </w:pPr>
      <w:r>
        <w:lastRenderedPageBreak/>
        <w:t>1. Introduction</w:t>
      </w:r>
    </w:p>
    <w:p w:rsidRPr="00CF60E2" w:rsidR="00CF60E2" w:rsidP="00161AB8" w:rsidRDefault="00CF60E2" w14:paraId="64D12E04" w14:textId="44148606">
      <w:pPr>
        <w:pStyle w:val="Heading1"/>
        <w:keepNext w:val="1"/>
        <w:spacing w:before="240" w:after="120" w:line="360" w:lineRule="auto"/>
        <w:ind w:firstLine="720"/>
        <w:rPr>
          <w:b w:val="0"/>
          <w:bCs w:val="0"/>
          <w:color w:val="auto"/>
          <w:sz w:val="22"/>
          <w:szCs w:val="22"/>
        </w:rPr>
      </w:pPr>
      <w:r w:rsidRPr="2DB22A6B" w:rsidR="00CF60E2">
        <w:rPr>
          <w:b w:val="0"/>
          <w:bCs w:val="0"/>
          <w:color w:val="auto"/>
          <w:sz w:val="22"/>
          <w:szCs w:val="22"/>
        </w:rPr>
        <w:t>Diabetes mellitus is a chronic metabolic disorder where the level of glucose in the blood is abnormally high (</w:t>
      </w:r>
      <w:r w:rsidRPr="2DB22A6B" w:rsidR="00CF60E2">
        <w:rPr>
          <w:b w:val="0"/>
          <w:bCs w:val="0"/>
          <w:color w:val="auto"/>
          <w:sz w:val="22"/>
          <w:szCs w:val="22"/>
        </w:rPr>
        <w:t>hyperglycaemia</w:t>
      </w:r>
      <w:r w:rsidRPr="2DB22A6B" w:rsidR="00CF60E2">
        <w:rPr>
          <w:b w:val="0"/>
          <w:bCs w:val="0"/>
          <w:color w:val="auto"/>
          <w:sz w:val="22"/>
          <w:szCs w:val="22"/>
        </w:rPr>
        <w:t xml:space="preserve">) due to inadequate levels of insulin </w:t>
      </w:r>
      <w:r w:rsidRPr="2DB22A6B" w:rsidR="4E323BAE">
        <w:rPr>
          <w:b w:val="0"/>
          <w:bCs w:val="0"/>
          <w:color w:val="auto"/>
          <w:sz w:val="22"/>
          <w:szCs w:val="22"/>
        </w:rPr>
        <w:t>or</w:t>
      </w:r>
      <w:r w:rsidRPr="2DB22A6B" w:rsidR="00CF60E2">
        <w:rPr>
          <w:b w:val="0"/>
          <w:bCs w:val="0"/>
          <w:color w:val="auto"/>
          <w:sz w:val="22"/>
          <w:szCs w:val="22"/>
        </w:rPr>
        <w:t xml:space="preserve"> poor insulin action, or a combination of the two. In Type 1 diabetes, the absolute insulin deficiency is due to autoimmune destruction of the pancreatic beta cells. This report concentrates on type 2 diabetes, in which two issues are at play: insufficient insulin is secreted by the beta cells and insulin-sensitive tissues are less responsive to it (Galicia-Garcia et al., 2020). In the United Kingdom (UK), more than 4.7 million people have been diagnosed with diabetes, with approximately 90% of these having Type 2 diabetes and an estimated 1.3 million undiagnosed, with a further estimated 6.9 million people at increased risk of developing Type 2 diabetes (Diabetes UK, 2025). This is a diagnosis that is becoming more common in our </w:t>
      </w:r>
      <w:r w:rsidRPr="2DB22A6B" w:rsidR="00CF60E2">
        <w:rPr>
          <w:b w:val="0"/>
          <w:bCs w:val="0"/>
          <w:color w:val="auto"/>
          <w:sz w:val="22"/>
          <w:szCs w:val="22"/>
        </w:rPr>
        <w:t>practice</w:t>
      </w:r>
      <w:r w:rsidRPr="2DB22A6B" w:rsidR="00CF60E2">
        <w:rPr>
          <w:b w:val="0"/>
          <w:bCs w:val="0"/>
          <w:color w:val="auto"/>
          <w:sz w:val="22"/>
          <w:szCs w:val="22"/>
        </w:rPr>
        <w:t xml:space="preserve"> and this report is designed to provide the patient with knowledge of the diagnosis to </w:t>
      </w:r>
      <w:r w:rsidRPr="2DB22A6B" w:rsidR="00CF60E2">
        <w:rPr>
          <w:b w:val="0"/>
          <w:bCs w:val="0"/>
          <w:color w:val="auto"/>
          <w:sz w:val="22"/>
          <w:szCs w:val="22"/>
        </w:rPr>
        <w:t>participate</w:t>
      </w:r>
      <w:r w:rsidRPr="2DB22A6B" w:rsidR="00CF60E2">
        <w:rPr>
          <w:b w:val="0"/>
          <w:bCs w:val="0"/>
          <w:color w:val="auto"/>
          <w:sz w:val="22"/>
          <w:szCs w:val="22"/>
        </w:rPr>
        <w:t xml:space="preserve"> in care plans.</w:t>
      </w:r>
    </w:p>
    <w:p w:rsidR="00CF60E2" w:rsidP="00161AB8" w:rsidRDefault="00CF60E2" w14:paraId="47DF4684" w14:textId="30C79121">
      <w:pPr>
        <w:pStyle w:val="Heading1"/>
        <w:keepNext w:val="1"/>
        <w:spacing w:before="240" w:after="120" w:line="360" w:lineRule="auto"/>
        <w:ind w:firstLine="720"/>
        <w:rPr>
          <w:b w:val="0"/>
          <w:bCs w:val="0"/>
          <w:color w:val="auto"/>
          <w:sz w:val="22"/>
          <w:szCs w:val="22"/>
        </w:rPr>
      </w:pPr>
      <w:r w:rsidRPr="2DB22A6B" w:rsidR="00CF60E2">
        <w:rPr>
          <w:b w:val="0"/>
          <w:bCs w:val="0"/>
          <w:color w:val="auto"/>
          <w:sz w:val="22"/>
          <w:szCs w:val="22"/>
        </w:rPr>
        <w:t xml:space="preserve">There are two types of risk factors: non-modifiable and modifiable. Some factors that you can't control increase the risk of developing diabetes – these include having a family history of diabetes, ethnicity – people from South Asian, Chinese, Black African and Black Caribbean ethnicities are two to four times more likely to develop diabetes than people from a White ethnic background, even if they are at the same body weight (Diabetes UK, 2025). Risk factors which can be </w:t>
      </w:r>
      <w:r w:rsidRPr="2DB22A6B" w:rsidR="00CF60E2">
        <w:rPr>
          <w:b w:val="0"/>
          <w:bCs w:val="0"/>
          <w:color w:val="auto"/>
          <w:sz w:val="22"/>
          <w:szCs w:val="22"/>
        </w:rPr>
        <w:t>modified</w:t>
      </w:r>
      <w:r w:rsidRPr="2DB22A6B" w:rsidR="00CF60E2">
        <w:rPr>
          <w:b w:val="0"/>
          <w:bCs w:val="0"/>
          <w:color w:val="auto"/>
          <w:sz w:val="22"/>
          <w:szCs w:val="22"/>
        </w:rPr>
        <w:t xml:space="preserve"> are overweight and obesity, physical inactivity, poor sleep, hypertension, </w:t>
      </w:r>
      <w:r w:rsidRPr="2DB22A6B" w:rsidR="00CF60E2">
        <w:rPr>
          <w:b w:val="0"/>
          <w:bCs w:val="0"/>
          <w:color w:val="auto"/>
          <w:sz w:val="22"/>
          <w:szCs w:val="22"/>
        </w:rPr>
        <w:t>dyslipidaemia</w:t>
      </w:r>
      <w:r w:rsidRPr="2DB22A6B" w:rsidR="00CF60E2">
        <w:rPr>
          <w:b w:val="0"/>
          <w:bCs w:val="0"/>
          <w:color w:val="auto"/>
          <w:sz w:val="22"/>
          <w:szCs w:val="22"/>
        </w:rPr>
        <w:t xml:space="preserve"> and smoking (Ismail, </w:t>
      </w:r>
      <w:r w:rsidRPr="2DB22A6B" w:rsidR="00CF60E2">
        <w:rPr>
          <w:b w:val="0"/>
          <w:bCs w:val="0"/>
          <w:color w:val="auto"/>
          <w:sz w:val="22"/>
          <w:szCs w:val="22"/>
        </w:rPr>
        <w:t>Materwala</w:t>
      </w:r>
      <w:r w:rsidRPr="2DB22A6B" w:rsidR="00CF60E2">
        <w:rPr>
          <w:b w:val="0"/>
          <w:bCs w:val="0"/>
          <w:color w:val="auto"/>
          <w:sz w:val="22"/>
          <w:szCs w:val="22"/>
        </w:rPr>
        <w:t xml:space="preserve"> and Al </w:t>
      </w:r>
      <w:r w:rsidRPr="2DB22A6B" w:rsidR="00CF60E2">
        <w:rPr>
          <w:b w:val="0"/>
          <w:bCs w:val="0"/>
          <w:color w:val="auto"/>
          <w:sz w:val="22"/>
          <w:szCs w:val="22"/>
        </w:rPr>
        <w:t>Kaabi</w:t>
      </w:r>
      <w:r w:rsidRPr="2DB22A6B" w:rsidR="00CF60E2">
        <w:rPr>
          <w:b w:val="0"/>
          <w:bCs w:val="0"/>
          <w:color w:val="auto"/>
          <w:sz w:val="22"/>
          <w:szCs w:val="22"/>
        </w:rPr>
        <w:t xml:space="preserve">, 2021). Long-standing </w:t>
      </w:r>
      <w:r w:rsidRPr="2DB22A6B" w:rsidR="00CF60E2">
        <w:rPr>
          <w:b w:val="0"/>
          <w:bCs w:val="0"/>
          <w:color w:val="auto"/>
          <w:sz w:val="22"/>
          <w:szCs w:val="22"/>
        </w:rPr>
        <w:t>hyperglycaemia</w:t>
      </w:r>
      <w:r w:rsidRPr="2DB22A6B" w:rsidR="00CF60E2">
        <w:rPr>
          <w:b w:val="0"/>
          <w:bCs w:val="0"/>
          <w:color w:val="auto"/>
          <w:sz w:val="22"/>
          <w:szCs w:val="22"/>
        </w:rPr>
        <w:t xml:space="preserve"> negatively affects blood vessels and is associated with increased atherosclerosis and cardiovascular disease (Galicia-Garcia</w:t>
      </w:r>
      <w:r w:rsidRPr="2DB22A6B" w:rsidR="00161AB8">
        <w:rPr>
          <w:b w:val="0"/>
          <w:bCs w:val="0"/>
          <w:color w:val="auto"/>
          <w:sz w:val="22"/>
          <w:szCs w:val="22"/>
        </w:rPr>
        <w:t xml:space="preserve"> et al., 2020).</w:t>
      </w:r>
      <w:r w:rsidRPr="2DB22A6B" w:rsidR="00CF60E2">
        <w:rPr>
          <w:b w:val="0"/>
          <w:bCs w:val="0"/>
          <w:color w:val="auto"/>
          <w:sz w:val="22"/>
          <w:szCs w:val="22"/>
        </w:rPr>
        <w:t xml:space="preserve"> The sections below describe the normal regulation of blood glucose, the use of blood glucose by cells, the importance of </w:t>
      </w:r>
      <w:r w:rsidRPr="2DB22A6B" w:rsidR="00CF60E2">
        <w:rPr>
          <w:b w:val="0"/>
          <w:bCs w:val="0"/>
          <w:color w:val="auto"/>
          <w:sz w:val="22"/>
          <w:szCs w:val="22"/>
        </w:rPr>
        <w:t>monit</w:t>
      </w:r>
      <w:r w:rsidRPr="2DB22A6B" w:rsidR="00CF60E2">
        <w:rPr>
          <w:b w:val="0"/>
          <w:bCs w:val="0"/>
          <w:color w:val="auto"/>
          <w:sz w:val="22"/>
          <w:szCs w:val="22"/>
        </w:rPr>
        <w:t>oring</w:t>
      </w:r>
      <w:r w:rsidRPr="2DB22A6B" w:rsidR="25053EEE">
        <w:rPr>
          <w:b w:val="0"/>
          <w:bCs w:val="0"/>
          <w:color w:val="auto"/>
          <w:sz w:val="22"/>
          <w:szCs w:val="22"/>
        </w:rPr>
        <w:t>,</w:t>
      </w:r>
      <w:r w:rsidRPr="2DB22A6B" w:rsidR="00CF60E2">
        <w:rPr>
          <w:b w:val="0"/>
          <w:bCs w:val="0"/>
          <w:color w:val="auto"/>
          <w:sz w:val="22"/>
          <w:szCs w:val="22"/>
        </w:rPr>
        <w:t xml:space="preserve"> and the evidence-based steps for living change.</w:t>
      </w:r>
    </w:p>
    <w:p w:rsidR="005A5910" w:rsidP="00CF60E2" w:rsidRDefault="00BC275C" w14:paraId="5BA1017B" w14:textId="77777777">
      <w:pPr>
        <w:pStyle w:val="Heading1"/>
        <w:keepNext/>
        <w:spacing w:before="240" w:after="120" w:line="360" w:lineRule="auto"/>
      </w:pPr>
      <w:r>
        <w:t>2. How Blood Glucose Is Maintained at a Safe Level</w:t>
      </w:r>
    </w:p>
    <w:p w:rsidR="00CF60E2" w:rsidP="00161AB8" w:rsidRDefault="00CF60E2" w14:paraId="4AC2A91E" w14:textId="77777777">
      <w:pPr>
        <w:spacing w:after="120" w:line="360" w:lineRule="auto"/>
        <w:ind w:firstLine="720"/>
        <w:jc w:val="both"/>
      </w:pPr>
      <w:r>
        <w:t>Homeostasis is the process that maintains the blood glucose level within a narrow range of about 4-6 mmol/L when fasting, by negative feedback (Tortora and Derrickson, 2020). Other tissues can also use glucose, and the brain relies on it as its main fuel; too little glucose results in a lack of energy for cells, and too much glucose damages tissues. Two hormones from the islets of Langerhans (pancreas), namely insulin and glucagon, are the key controllers.</w:t>
      </w:r>
    </w:p>
    <w:p w:rsidR="00CF60E2" w:rsidP="00161AB8" w:rsidRDefault="00CF60E2" w14:paraId="28DED125" w14:textId="77777777">
      <w:pPr>
        <w:spacing w:after="120" w:line="360" w:lineRule="auto"/>
        <w:ind w:firstLine="720"/>
        <w:jc w:val="both"/>
      </w:pPr>
      <w:r w:rsidR="00CF60E2">
        <w:rPr/>
        <w:t xml:space="preserve">After a meal, </w:t>
      </w:r>
      <w:bookmarkStart w:name="_Int_uQqDu7r6" w:id="1546318473"/>
      <w:r w:rsidR="00CF60E2">
        <w:rPr/>
        <w:t>carbohydrate is</w:t>
      </w:r>
      <w:bookmarkEnd w:id="1546318473"/>
      <w:r w:rsidR="00CF60E2">
        <w:rPr/>
        <w:t xml:space="preserve"> digested to glucose, absorbed from the small intestine and the blood glucose level rises. This increase is sensed by the beta cells which produce insulin which binds with receptors on the muscle, fat and liver cells. Signalling through these receptors moves GLUT4 glucose transporters to the cell surface, allowing glucose to enter </w:t>
      </w:r>
      <w:r w:rsidR="00CF60E2">
        <w:rPr/>
        <w:t>(Galicia-Garcia et al., 2020). Excess glucose is stored as polysaccharide in liver cells (glycogenesis) and adipose tissue changes it into triglyceride. When blood glucose levels drop, insulin levels also decrease, thus completing the negative feedback system (Tortora and Derrickson, 2020).</w:t>
      </w:r>
    </w:p>
    <w:p w:rsidR="00CF60E2" w:rsidP="00161AB8" w:rsidRDefault="00CF60E2" w14:paraId="070A4BD7" w14:textId="77777777">
      <w:pPr>
        <w:spacing w:after="120" w:line="360" w:lineRule="auto"/>
        <w:ind w:firstLine="720"/>
        <w:jc w:val="both"/>
      </w:pPr>
      <w:r>
        <w:t>When not eating, during exercise or when fasting, blood glucose levels begin to drop. The glucagon is then secreted by alpha cells, which primarily promotes glycogen breakdown (glycogenolysis) in the liver, and also promotes the production of glucose from non-carbohydrate sources (such as amino acids) (gluconeogenesis). Blood glucose also increases in response to the action of the hormones, such as adrenaline and cortisol, which are released during stress or illness (Tortora and Derrickson, 2020).</w:t>
      </w:r>
    </w:p>
    <w:p w:rsidR="00CF60E2" w:rsidP="00161AB8" w:rsidRDefault="00CF60E2" w14:paraId="310C30F4" w14:textId="77777777">
      <w:pPr>
        <w:spacing w:after="120" w:line="360" w:lineRule="auto"/>
        <w:ind w:firstLine="720"/>
        <w:jc w:val="both"/>
      </w:pPr>
      <w:r>
        <w:t>This system is impaired gradually in type 2 diabetes. Insulin resistance refers to muscle, fat and liver cells that are not very responsive to insulin, making it difficult for the glucose to be removed from the blood and the liver to stop producing glucose when it is not needed. Initially, the increased insulin demand is overcome by an increase in the amount of insulin released by beta cells, but over time they become less effective and hyperglycaemia occurs (Galicia-Garcia et al., 2020). This is because lifestyle change can help reverse insulin resistance, which can be caused by excess body fat and low levels of physical activity.</w:t>
      </w:r>
    </w:p>
    <w:p w:rsidR="005A5910" w:rsidP="00161AB8" w:rsidRDefault="00CF60E2" w14:paraId="3BBEBCCF" w14:textId="77777777">
      <w:pPr>
        <w:spacing w:after="120" w:line="360" w:lineRule="auto"/>
        <w:ind w:firstLine="720"/>
        <w:jc w:val="both"/>
      </w:pPr>
      <w:r>
        <w:t>This regulation also provides an explanation for the dual nature of the glucose as an unsafe substance. Over time, high glucose levels can cause damage to tissues, and some types of glucose-lowering medication (including insulin and sulfonylureas) can cause glucose levels to become too low (hypoglycaemia), so glucose levels should not be lowered to the maximum extent allowed (ADA PPC, 2026b)</w:t>
      </w:r>
      <w:r w:rsidR="00BC275C">
        <w:t>.</w:t>
      </w:r>
    </w:p>
    <w:p w:rsidR="005A5910" w:rsidRDefault="00BC275C" w14:paraId="1F5E2592" w14:textId="77777777">
      <w:pPr>
        <w:pStyle w:val="Heading1"/>
        <w:keepNext/>
        <w:spacing w:before="240" w:after="120" w:line="360" w:lineRule="auto"/>
      </w:pPr>
      <w:r>
        <w:t>3. How Oxygen and Glucose Produce Energy in Cells</w:t>
      </w:r>
    </w:p>
    <w:p w:rsidRPr="00CF60E2" w:rsidR="00CF60E2" w:rsidP="00161AB8" w:rsidRDefault="00CF60E2" w14:paraId="79D419BE" w14:textId="77777777">
      <w:pPr>
        <w:pStyle w:val="Heading1"/>
        <w:keepNext/>
        <w:spacing w:before="240" w:after="120" w:line="360" w:lineRule="auto"/>
        <w:ind w:firstLine="720"/>
        <w:rPr>
          <w:b w:val="0"/>
          <w:bCs w:val="0"/>
          <w:color w:val="auto"/>
          <w:sz w:val="22"/>
          <w:szCs w:val="22"/>
        </w:rPr>
      </w:pPr>
      <w:r w:rsidRPr="00CF60E2">
        <w:rPr>
          <w:b w:val="0"/>
          <w:bCs w:val="0"/>
          <w:color w:val="auto"/>
          <w:sz w:val="22"/>
          <w:szCs w:val="22"/>
        </w:rPr>
        <w:t>Adenosine triphosphate (ATP) is essential to allow the cells to energise muscle contractions, nerve activity and the manufacture of new molecules. ATP is produced mostly from aerobic cellular respiration in which glucose is being oxidized with the presence of oxygen to produce carbon dioxide, water and ATP (Tortora and Derrickson, 2020).</w:t>
      </w:r>
    </w:p>
    <w:p w:rsidRPr="00CF60E2" w:rsidR="00CF60E2" w:rsidP="00161AB8" w:rsidRDefault="00CF60E2" w14:paraId="58EC87B5" w14:textId="77777777">
      <w:pPr>
        <w:pStyle w:val="Heading1"/>
        <w:keepNext/>
        <w:spacing w:before="240" w:after="120" w:line="360" w:lineRule="auto"/>
        <w:ind w:firstLine="720"/>
        <w:rPr>
          <w:b w:val="0"/>
          <w:bCs w:val="0"/>
          <w:color w:val="auto"/>
          <w:sz w:val="22"/>
          <w:szCs w:val="22"/>
        </w:rPr>
      </w:pPr>
      <w:r w:rsidRPr="00CF60E2">
        <w:rPr>
          <w:b w:val="0"/>
          <w:bCs w:val="0"/>
          <w:color w:val="auto"/>
          <w:sz w:val="22"/>
          <w:szCs w:val="22"/>
        </w:rPr>
        <w:t xml:space="preserve">There are three stages to the process. Glycolysis takes place in the cytoplasm – one molecule of glucose splits into 2 molecules of pyruvate and produces a net gain of 2 ATP molecules – as well as 2 NADH molecules – which do not require oxygen. Secondly, under aerobic conditions, pyruvate goes into the mitochondria and is oxidized to acetyl coenzyme A, which will enter the mitochondrial matrix and continue to the Krebs cycle. 2 CO2 molecules are emitted and 2 electron carriers (NADH and FADH2) are produced. Third, these carriers bring electrons to the electron transport chain (ETC) located in the inner </w:t>
      </w:r>
      <w:r w:rsidRPr="00CF60E2">
        <w:rPr>
          <w:b w:val="0"/>
          <w:bCs w:val="0"/>
          <w:color w:val="auto"/>
          <w:sz w:val="22"/>
          <w:szCs w:val="22"/>
        </w:rPr>
        <w:lastRenderedPageBreak/>
        <w:t>mitochondrial membrane. The energy released will be used in oxidative phosphorylation as a final electron acceptor in the electron transport chain, it takes hydrogen ions to form water. In this stage, most of the ATP is generated, resulting in approximately 30-32 ATP molecules per glucose molecule (Tortora and Derrickson, 2020).</w:t>
      </w:r>
    </w:p>
    <w:p w:rsidR="00CF60E2" w:rsidP="00161AB8" w:rsidRDefault="00CF60E2" w14:paraId="051F03FF" w14:textId="77777777">
      <w:pPr>
        <w:pStyle w:val="Heading1"/>
        <w:keepNext/>
        <w:spacing w:before="240" w:after="120" w:line="360" w:lineRule="auto"/>
        <w:ind w:firstLine="720"/>
        <w:rPr>
          <w:b w:val="0"/>
          <w:bCs w:val="0"/>
          <w:color w:val="auto"/>
          <w:sz w:val="22"/>
          <w:szCs w:val="22"/>
        </w:rPr>
      </w:pPr>
      <w:r w:rsidRPr="00CF60E2">
        <w:rPr>
          <w:b w:val="0"/>
          <w:bCs w:val="0"/>
          <w:color w:val="auto"/>
          <w:sz w:val="22"/>
          <w:szCs w:val="22"/>
        </w:rPr>
        <w:t>If there is inadequate oxygen, then pyruvate will be converted into lactate and only 2 ATP can be produced from glucose. Haemoglobin is present in red blood cells and transports oxygen from the lungs and glucose is transported dissolved in plasma. Insulin resistance means that although there are high levels of glucose in the blood, the cells are not absorbing it well, so this could be why for some patients they experience some level of fatigue (Galicia-Garcia et al., 2020).</w:t>
      </w:r>
    </w:p>
    <w:p w:rsidR="005A5910" w:rsidP="00CF60E2" w:rsidRDefault="00BC275C" w14:paraId="11E90DEE" w14:textId="77777777">
      <w:pPr>
        <w:pStyle w:val="Heading1"/>
        <w:keepNext/>
        <w:spacing w:before="240" w:after="120" w:line="360" w:lineRule="auto"/>
      </w:pPr>
      <w:r>
        <w:t>4. Recording and Tracking Blood Glucose Levels</w:t>
      </w:r>
    </w:p>
    <w:p w:rsidR="00CF60E2" w:rsidP="00161AB8" w:rsidRDefault="00CF60E2" w14:paraId="34C81118" w14:textId="77777777">
      <w:pPr>
        <w:spacing w:after="120" w:line="360" w:lineRule="auto"/>
        <w:ind w:firstLine="720"/>
        <w:jc w:val="both"/>
      </w:pPr>
      <w:r>
        <w:t>Tracking is useful to provide objective data to the clinician and patient about treatment and lifestyle changes. There are two measures: Haemoglobin A1c (HbA1c) blood test, organised via the practice, is a measure of the average glucose for about the last 2-3 months. NICE (2026) recommends setting an individual target of 48 mmol/mol (6.5%) for adults managed with lifestyle (or with one medicine that's not linked to hypoglycaemia) and 53 mmol/mol (7.0%) for those taking medicines that may cause hypoglycaemia. The goal below 7% is also recommended by the American Diabetes Association Professional Practice Committee for Diabetes (ADA PPC) (2026b), except for pregnant women, and is tailored to each person's level of risk for hypoglycaemia and comorbidities.</w:t>
      </w:r>
    </w:p>
    <w:p w:rsidR="00CF60E2" w:rsidP="00161AB8" w:rsidRDefault="00CF60E2" w14:paraId="7A4490F2" w14:textId="77777777">
      <w:pPr>
        <w:spacing w:after="120" w:line="360" w:lineRule="auto"/>
        <w:ind w:firstLine="720"/>
        <w:jc w:val="both"/>
      </w:pPr>
      <w:r>
        <w:t>Capillary blood glucose testing at home is the second. However, NICE (2026) suggest that routine self-monitoring is not recommended for all people with type 2 diabetes, only in certain circumstances e.g. if people take insulin, or if the circumstances change (e.g. using insulin). This conservative stance was backed by evidence: a metaanalysis of the studies included in this review showed that HbA1C was reduced by a mean of 0.29 percentage points with structured self monitoring in the adult population who were not using insulin, but the quality of the included studies was generally low (Holmes-Truscott et al, 2023). Readings are helpful as long as they are recorded and followed.</w:t>
      </w:r>
    </w:p>
    <w:p w:rsidR="00CF60E2" w:rsidP="00161AB8" w:rsidRDefault="00CF60E2" w14:paraId="33797BD7" w14:textId="77777777">
      <w:pPr>
        <w:spacing w:after="120" w:line="360" w:lineRule="auto"/>
        <w:ind w:firstLine="720"/>
        <w:jc w:val="both"/>
      </w:pPr>
      <w:r>
        <w:t xml:space="preserve">Measurement of HbA1c occurs every 3-6 months when the level of glucose control is poor and/or when treatment is changing, and approximately every 6 months when glucose control is stable (NICE 2026). There are also tests available between these tests to help patients detect issues earlier, if they monitor at home. Hypoglycaemia is classified as level 1 (when glucose is less than 3.9, mmol/L), level 2 (less than 3.0, mmol/L) and level 3 (severe hypoglycaemia that requires help from another person). Patients who are on drugs which can </w:t>
      </w:r>
      <w:r>
        <w:lastRenderedPageBreak/>
        <w:t>induce hypoglycaemia should therefore become aware of the symptoms of hypoglycaemia and be able to treat it.</w:t>
      </w:r>
    </w:p>
    <w:p w:rsidR="00CF60E2" w:rsidP="00161AB8" w:rsidRDefault="00CF60E2" w14:paraId="5690BE8C" w14:textId="77777777">
      <w:pPr>
        <w:spacing w:after="120" w:line="360" w:lineRule="auto"/>
        <w:ind w:firstLine="720"/>
        <w:jc w:val="both"/>
      </w:pPr>
      <w:r>
        <w:t>In certain cases, continuous glucose monitoring (CGM) – a sensor that monitors glucose levels all day long – is another option. NICE (2026) recommends providing CGM for multiple daily insulin users with type 2 diabetes who have either frequent or severe hypoglycaemic episodes, impaired hypoglycaemic awareness, need to test eight or more times a day or are unable to do capillary self-testing. For the majority of people in general practice, however, the HbA1c test and (where appropriate) a structured testing record will continue to be their primary tools.</w:t>
      </w:r>
    </w:p>
    <w:p w:rsidR="005A5910" w:rsidP="00161AB8" w:rsidRDefault="00CF60E2" w14:paraId="09EAD9BA" w14:textId="77777777">
      <w:pPr>
        <w:spacing w:after="120" w:line="360" w:lineRule="auto"/>
        <w:ind w:firstLine="720"/>
        <w:jc w:val="both"/>
      </w:pPr>
      <w:r>
        <w:t>If a patient has been prescribed to take the test, there are a number of advantages to taking the readings, timing, noting what they eat, their activities, when they take their medication and their symptoms. Lifestyle changes will be apparent, e.g., a high reading following a particular meal or a low reading following a walk – this will reveal the impact of lifestyle and offer motivation to make changes. There is however a possibility of recognising low readings (typically below 4 mmol/L) or persistently high readings early, allowing patients to know when to take treatment and/or seek advice (ADA PPC 2026b). Last but not least, data from an accurate record can be used to evaluate treatment without having to rely on memory by the nurse or doctor, thereby aiding in shared decision-making.</w:t>
      </w:r>
    </w:p>
    <w:p w:rsidR="005A5910" w:rsidRDefault="00BC275C" w14:paraId="11AF7862" w14:textId="77777777">
      <w:pPr>
        <w:pStyle w:val="Heading1"/>
        <w:keepNext/>
        <w:spacing w:before="240" w:after="120" w:line="360" w:lineRule="auto"/>
      </w:pPr>
      <w:r>
        <w:t>5. Evidence-Based Lifestyle Recommendations</w:t>
      </w:r>
    </w:p>
    <w:p w:rsidR="005A5910" w:rsidRDefault="00BC275C" w14:paraId="13AA09D7" w14:textId="77777777">
      <w:pPr>
        <w:pStyle w:val="Heading2"/>
        <w:keepNext/>
        <w:spacing w:before="160" w:after="80" w:line="360" w:lineRule="auto"/>
      </w:pPr>
      <w:r>
        <w:t>Diet and weight management</w:t>
      </w:r>
    </w:p>
    <w:p w:rsidRPr="00CF60E2" w:rsidR="00CF60E2" w:rsidP="00161AB8" w:rsidRDefault="00CF60E2" w14:paraId="7D484675" w14:textId="77777777">
      <w:pPr>
        <w:pStyle w:val="Heading2"/>
        <w:keepNext/>
        <w:spacing w:before="160" w:after="80" w:line="360" w:lineRule="auto"/>
        <w:ind w:firstLine="720"/>
        <w:rPr>
          <w:b w:val="0"/>
          <w:bCs w:val="0"/>
          <w:color w:val="auto"/>
        </w:rPr>
      </w:pPr>
      <w:r w:rsidRPr="00CF60E2">
        <w:rPr>
          <w:b w:val="0"/>
          <w:bCs w:val="0"/>
          <w:color w:val="auto"/>
        </w:rPr>
        <w:t>Significant weight reduction can have a significant effect on glucose control. The DiRECT primary-care trial used a structured programme that started with a low-energy formula diet to achieve diabetes remission in 36% of participants at two years, and those who achieved remission at two years had 26% remain for another five years, with the longer-term benefit associated with sustained weight loss (Lean et al., 2024). Not all patients will benefit from the programme but the results are evidence-based that weight loss is an effective treatment and not just a lifestyle tip.</w:t>
      </w:r>
    </w:p>
    <w:p w:rsidR="00CF60E2" w:rsidP="00161AB8" w:rsidRDefault="00CF60E2" w14:paraId="58C3F009" w14:textId="77777777">
      <w:pPr>
        <w:pStyle w:val="Heading2"/>
        <w:keepNext/>
        <w:spacing w:before="160" w:after="80" w:line="360" w:lineRule="auto"/>
        <w:ind w:firstLine="720"/>
        <w:rPr>
          <w:b w:val="0"/>
          <w:bCs w:val="0"/>
          <w:color w:val="auto"/>
        </w:rPr>
      </w:pPr>
      <w:r w:rsidRPr="00CF60E2">
        <w:rPr>
          <w:b w:val="0"/>
          <w:bCs w:val="0"/>
          <w:color w:val="auto"/>
        </w:rPr>
        <w:t xml:space="preserve">The ADA PPC (2026a) recommends that no single eating pattern works for everyone and that medical nutrition therapy takes place on an individual basis with a focus on eating more non-starchy vegetables, whole foods instead of highly processed foods, and less added sugars and refined grains. Similarly, NICE (2026) advises diet advice by professionals </w:t>
      </w:r>
      <w:r w:rsidRPr="00CF60E2">
        <w:rPr>
          <w:b w:val="0"/>
          <w:bCs w:val="0"/>
          <w:color w:val="auto"/>
        </w:rPr>
        <w:lastRenderedPageBreak/>
        <w:t>with nutritional expertise on an individual basis. In practice, portion control, eating the same time each day, water, less processed foods and less alcohol.</w:t>
      </w:r>
    </w:p>
    <w:p w:rsidR="005A5910" w:rsidP="00CF60E2" w:rsidRDefault="00BC275C" w14:paraId="6FDC7AEF" w14:textId="77777777">
      <w:pPr>
        <w:pStyle w:val="Heading2"/>
        <w:keepNext/>
        <w:spacing w:before="160" w:after="80" w:line="360" w:lineRule="auto"/>
      </w:pPr>
      <w:r>
        <w:t>Physical activity</w:t>
      </w:r>
    </w:p>
    <w:p w:rsidR="00CF60E2" w:rsidP="00161AB8" w:rsidRDefault="00CF60E2" w14:paraId="786511B7" w14:textId="77777777">
      <w:pPr>
        <w:pStyle w:val="Heading2"/>
        <w:keepNext/>
        <w:spacing w:before="160" w:after="80" w:line="360" w:lineRule="auto"/>
        <w:ind w:firstLine="720"/>
        <w:rPr>
          <w:b w:val="0"/>
          <w:bCs w:val="0"/>
          <w:color w:val="auto"/>
        </w:rPr>
      </w:pPr>
      <w:r w:rsidRPr="00CF60E2">
        <w:rPr>
          <w:b w:val="0"/>
          <w:bCs w:val="0"/>
          <w:color w:val="auto"/>
        </w:rPr>
        <w:t>Physical activity is beneficial as working muscle consumes glucose and when energy expenditure post-meal is elevated (independent of exercise intensity), glucose levels will decrease (Kanaley et al., 2022). The World Health Organization recommends 150–300 minutes of moderate intensity physical activity each week along with regular muscle-strengthening activity (Bull et al., 2020). In addition, Kanaley et al. (2022) suggest taking the time to get up and get moving, by taking more frequent breaks, and for people taking insulin or insulin secretagogues, you might need to add some more carbohydrate or insulin dose before, during, and after activities to avoid lowering your blood sugar. Importantly, the WHO guidelines support that any level of activity is better than none – so there is no need to start with anything too vigorous, and patients who are currently sedentary can start by walking for short distances and slowly increase their activity level (Bull et al., 2020). Patients should also ask for advice on any foot issues or heart symptoms prior to starting.</w:t>
      </w:r>
    </w:p>
    <w:p w:rsidR="005A5910" w:rsidRDefault="00BC275C" w14:paraId="58659317" w14:textId="77777777">
      <w:pPr>
        <w:pStyle w:val="Heading2"/>
        <w:keepNext/>
        <w:spacing w:before="160" w:after="80" w:line="360" w:lineRule="auto"/>
      </w:pPr>
      <w:r>
        <w:t>Smoking cessation</w:t>
      </w:r>
    </w:p>
    <w:p w:rsidR="00161AB8" w:rsidP="00161AB8" w:rsidRDefault="00161AB8" w14:paraId="4BC8ABB4" w14:textId="77777777">
      <w:pPr>
        <w:pStyle w:val="Heading2"/>
        <w:keepNext/>
        <w:spacing w:before="160" w:after="80" w:line="360" w:lineRule="auto"/>
        <w:ind w:firstLine="720"/>
        <w:rPr>
          <w:b w:val="0"/>
          <w:bCs w:val="0"/>
          <w:color w:val="auto"/>
        </w:rPr>
      </w:pPr>
      <w:r w:rsidRPr="00161AB8">
        <w:rPr>
          <w:b w:val="0"/>
          <w:bCs w:val="0"/>
          <w:color w:val="auto"/>
        </w:rPr>
        <w:t>Smoking is a known modifiable risk factor for type 2 diabetes (T2D) (Ismail, Materwala and Al Kaabi, 2021) and is a risk factor for cardiovascular diseases. A recent meta-analysis of cohort studies concluded that there was a 16% reduced risk of diabetes in long-term ex-smokers who did not gain weight compared with continuing smokers (HR 0.84) while that risk was increased in recent quitters, although to a lesser degree, in the short term (HR 2.20) (Yu et al., 2026). This does not contradict the idea of quitting, since it indicates that weight management and blood sugar monitoring should be implemented at the time of quitting. Both NICE (2025) and the ADA PPC (2026a) recommend behavioural support to be provided in addition to stop-smoking medicines and support for stopping tobacco and vaping as an integral part of diabetes care.</w:t>
      </w:r>
    </w:p>
    <w:p w:rsidR="005A5910" w:rsidRDefault="00BC275C" w14:paraId="6C6FE3C4" w14:textId="77777777">
      <w:pPr>
        <w:pStyle w:val="Heading2"/>
        <w:keepNext/>
        <w:spacing w:before="160" w:after="80" w:line="360" w:lineRule="auto"/>
      </w:pPr>
      <w:r>
        <w:t>Education and ongoing support</w:t>
      </w:r>
    </w:p>
    <w:p w:rsidR="00CF60E2" w:rsidP="00161AB8" w:rsidRDefault="00CF60E2" w14:paraId="1B81CC11" w14:textId="77777777">
      <w:pPr>
        <w:pStyle w:val="Heading1"/>
        <w:keepNext/>
        <w:spacing w:before="240" w:after="120" w:line="360" w:lineRule="auto"/>
        <w:ind w:firstLine="720"/>
        <w:rPr>
          <w:b w:val="0"/>
          <w:bCs w:val="0"/>
          <w:color w:val="auto"/>
          <w:sz w:val="22"/>
          <w:szCs w:val="22"/>
        </w:rPr>
      </w:pPr>
      <w:r w:rsidRPr="00CF60E2">
        <w:rPr>
          <w:b w:val="0"/>
          <w:bCs w:val="0"/>
          <w:color w:val="auto"/>
          <w:sz w:val="22"/>
          <w:szCs w:val="22"/>
        </w:rPr>
        <w:t>Structured education at diagnosis and further reinforcement is recommended by NICE (2026) and self-management education and support is recommended for all people with diabetes by the ADA PPC (2026a). As practice nurses, we can assist patients with the realistic goals, review their medical record with them at every encounter and make plans accordingly.</w:t>
      </w:r>
    </w:p>
    <w:p w:rsidR="005A5910" w:rsidRDefault="00BC275C" w14:paraId="5D7E7760" w14:textId="77777777">
      <w:pPr>
        <w:pStyle w:val="Heading1"/>
        <w:keepNext/>
        <w:spacing w:before="240" w:after="120" w:line="360" w:lineRule="auto"/>
      </w:pPr>
      <w:r>
        <w:t>6. Conclusion</w:t>
      </w:r>
    </w:p>
    <w:p w:rsidR="00CF60E2" w:rsidP="00161AB8" w:rsidRDefault="00CF60E2" w14:paraId="57B6777D" w14:textId="77777777">
      <w:pPr>
        <w:pStyle w:val="Heading1"/>
        <w:keepNext/>
        <w:pageBreakBefore/>
        <w:spacing w:after="120" w:line="360" w:lineRule="auto"/>
        <w:ind w:firstLine="720"/>
        <w:rPr>
          <w:b w:val="0"/>
          <w:bCs w:val="0"/>
          <w:color w:val="auto"/>
          <w:sz w:val="22"/>
          <w:szCs w:val="22"/>
        </w:rPr>
      </w:pPr>
      <w:r w:rsidRPr="00CF60E2">
        <w:rPr>
          <w:b w:val="0"/>
          <w:bCs w:val="0"/>
          <w:color w:val="auto"/>
          <w:sz w:val="22"/>
          <w:szCs w:val="22"/>
        </w:rPr>
        <w:lastRenderedPageBreak/>
        <w:t>In type 2 diabetes, the regulation of glucose levels (insulin and glucagon) is disturbed due to insulin resistance and reduced insulin production. Poorly controlled glucose levels (hyperglycemia) impact energy production and long-term vascular health, since cells require glucose and oxygen to produce ATP. However, if results are interpreted and acted upon, evidence for decision making can be recorded in HbA1c and (where appropriate) home glucose, and evidence can be recorded in home glucose readings. Weight loss, a healthy diet, regular exercise and quitting smoking can help control the disease and can help some people reach remission. Patients will be able to manage their condition safely and minimize risks of complications with clear information, structured education and regular review.</w:t>
      </w:r>
    </w:p>
    <w:p w:rsidR="005A5910" w:rsidRDefault="00161AB8" w14:paraId="0E12D98B" w14:textId="77777777">
      <w:pPr>
        <w:pStyle w:val="Heading1"/>
        <w:keepNext/>
        <w:pageBreakBefore/>
        <w:spacing w:after="120" w:line="360" w:lineRule="auto"/>
      </w:pPr>
      <w:r>
        <w:t>7. References</w:t>
      </w:r>
    </w:p>
    <w:p w:rsidR="005A5910" w:rsidRDefault="00BC275C" w14:paraId="043068E4" w14:textId="77777777">
      <w:pPr>
        <w:spacing w:after="120" w:line="360" w:lineRule="auto"/>
        <w:ind w:left="720" w:hanging="720"/>
        <w:jc w:val="both"/>
      </w:pPr>
      <w:r>
        <w:t xml:space="preserve">American Diabetes Association Professional Practice Committee for Diabetes (ADA PPC) (2026a) ‘5. Facilitating positive health behaviors and well-being to improve health outcomes: Standards of Care in Diabetes—2026’, </w:t>
      </w:r>
      <w:r>
        <w:rPr>
          <w:i/>
          <w:iCs/>
        </w:rPr>
        <w:t>Diabetes Care</w:t>
      </w:r>
      <w:r>
        <w:t>, 49(Suppl. 1), pp. S</w:t>
      </w:r>
      <w:r w:rsidR="00161AB8">
        <w:t xml:space="preserve">89–S131. doi: 10.2337/dc26-S005 </w:t>
      </w:r>
    </w:p>
    <w:p w:rsidR="005A5910" w:rsidRDefault="00BC275C" w14:paraId="50349991" w14:textId="77777777">
      <w:pPr>
        <w:spacing w:after="120" w:line="360" w:lineRule="auto"/>
        <w:ind w:left="720" w:hanging="720"/>
        <w:jc w:val="both"/>
      </w:pPr>
      <w:r>
        <w:t xml:space="preserve">American Diabetes Association Professional Practice Committee for Diabetes (ADA PPC) (2026b) ‘6. Glycemic goals, hypoglycemia, and hyperglycemic crises: Standards of Care in Diabetes—2026’, </w:t>
      </w:r>
      <w:r>
        <w:rPr>
          <w:i/>
          <w:iCs/>
        </w:rPr>
        <w:t>Diabetes Care</w:t>
      </w:r>
      <w:r>
        <w:t>, 49(Suppl. 1), pp. S132–S149. doi: 10.2337/dc26-S006.</w:t>
      </w:r>
      <w:r w:rsidR="00161AB8">
        <w:t xml:space="preserve"> </w:t>
      </w:r>
    </w:p>
    <w:p w:rsidR="005A5910" w:rsidRDefault="00BC275C" w14:paraId="0CF425FF" w14:textId="77777777">
      <w:pPr>
        <w:spacing w:after="120" w:line="360" w:lineRule="auto"/>
        <w:ind w:left="720" w:hanging="720"/>
        <w:jc w:val="both"/>
      </w:pPr>
      <w:r>
        <w:t xml:space="preserve">Bull, F.C. et al. (2020) ‘World Health Organization 2020 guidelines on physical activity and sedentary behaviour’, </w:t>
      </w:r>
      <w:r>
        <w:rPr>
          <w:i/>
          <w:iCs/>
        </w:rPr>
        <w:t>British Journal of Sports Medicine</w:t>
      </w:r>
      <w:r>
        <w:t>, 54(24), pp. 1451–1462. doi: 10.1136/bjsports-2020-102955.</w:t>
      </w:r>
    </w:p>
    <w:p w:rsidR="005A5910" w:rsidRDefault="00BC275C" w14:paraId="0D6264B5" w14:textId="77777777">
      <w:pPr>
        <w:spacing w:after="120" w:line="360" w:lineRule="auto"/>
        <w:ind w:left="720" w:hanging="720"/>
        <w:jc w:val="both"/>
      </w:pPr>
      <w:r>
        <w:t xml:space="preserve">Diabetes UK (2025) </w:t>
      </w:r>
      <w:r>
        <w:rPr>
          <w:i/>
          <w:iCs/>
        </w:rPr>
        <w:t>Diabetes statistics</w:t>
      </w:r>
      <w:r>
        <w:t>. Available at: https://diabetes.org.uk/about-us/about-the-charity/our-strategy/stati</w:t>
      </w:r>
      <w:r w:rsidR="00161AB8">
        <w:t>stics</w:t>
      </w:r>
    </w:p>
    <w:p w:rsidR="005A5910" w:rsidRDefault="00BC275C" w14:paraId="12BE28A8" w14:textId="77777777">
      <w:pPr>
        <w:spacing w:after="120" w:line="360" w:lineRule="auto"/>
        <w:ind w:left="720" w:hanging="720"/>
        <w:jc w:val="both"/>
      </w:pPr>
      <w:r>
        <w:t xml:space="preserve">Galicia-Garcia, U. et al. (2020) ‘Pathophysiology of type 2 diabetes mellitus’, </w:t>
      </w:r>
      <w:r>
        <w:rPr>
          <w:i/>
          <w:iCs/>
        </w:rPr>
        <w:t>International Journal of Molecular Sciences</w:t>
      </w:r>
      <w:r>
        <w:t>, 21(17), article 6275. doi: 10.3390/ijms21176275.</w:t>
      </w:r>
    </w:p>
    <w:p w:rsidR="005A5910" w:rsidRDefault="00BC275C" w14:paraId="242A71A6" w14:textId="77777777">
      <w:pPr>
        <w:spacing w:after="120" w:line="360" w:lineRule="auto"/>
        <w:ind w:left="720" w:hanging="720"/>
        <w:jc w:val="both"/>
      </w:pPr>
      <w:r>
        <w:t xml:space="preserve">Holmes-Truscott, E. et al. (2023) ‘The impact of structured self-monitoring of blood glucose on clinical, behavioral, and psychosocial outcomes among adults with non-insulin-treated type 2 diabetes: a systematic review and meta-analysis’, </w:t>
      </w:r>
      <w:r>
        <w:rPr>
          <w:i/>
          <w:iCs/>
        </w:rPr>
        <w:t>Frontiers in Clinical Diabetes and Healthcare</w:t>
      </w:r>
      <w:r>
        <w:t>, 4, article 1177030. doi: 10.3389/fcdhc.2023.1177030.</w:t>
      </w:r>
    </w:p>
    <w:p w:rsidR="005A5910" w:rsidRDefault="00BC275C" w14:paraId="0B56C520" w14:textId="77777777">
      <w:pPr>
        <w:spacing w:after="120" w:line="360" w:lineRule="auto"/>
        <w:ind w:left="720" w:hanging="720"/>
        <w:jc w:val="both"/>
      </w:pPr>
      <w:r>
        <w:t xml:space="preserve">Ismail, L., Materwala, H. and Al Kaabi, J. (2021) ‘Association of risk factors with type 2 diabetes: a systematic review’, </w:t>
      </w:r>
      <w:r>
        <w:rPr>
          <w:i/>
          <w:iCs/>
        </w:rPr>
        <w:t>Computational and Structural Biotechnology Journal</w:t>
      </w:r>
      <w:r>
        <w:t>, 19, pp. 1759–1785. doi: 10.1016/j.csbj.2021.03.003.</w:t>
      </w:r>
    </w:p>
    <w:p w:rsidR="005A5910" w:rsidRDefault="00BC275C" w14:paraId="1AD50B9C" w14:textId="77777777">
      <w:pPr>
        <w:spacing w:after="120" w:line="360" w:lineRule="auto"/>
        <w:ind w:left="720" w:hanging="720"/>
        <w:jc w:val="both"/>
      </w:pPr>
      <w:r>
        <w:t xml:space="preserve">Kanaley, J.A. et al. (2022) ‘Exercise/physical activity in individuals with type 2 diabetes: a consensus statement from the American College of Sports Medicine’, </w:t>
      </w:r>
      <w:r>
        <w:rPr>
          <w:i/>
          <w:iCs/>
        </w:rPr>
        <w:t>Medicine &amp; Science in Sports &amp; Exercise</w:t>
      </w:r>
      <w:r>
        <w:t>, 54(2), pp. 353–368. doi: 10.1249/MSS.0000000000002800.</w:t>
      </w:r>
    </w:p>
    <w:p w:rsidR="005A5910" w:rsidRDefault="00BC275C" w14:paraId="7A2B0EE0" w14:textId="77777777">
      <w:pPr>
        <w:spacing w:after="120" w:line="360" w:lineRule="auto"/>
        <w:ind w:left="720" w:hanging="720"/>
        <w:jc w:val="both"/>
      </w:pPr>
      <w:r>
        <w:t xml:space="preserve">Lean, M.E.J. et al. (2024) ‘5-year follow-up of the randomised Diabetes Remission Clinical Trial (DiRECT) of continued support for weight loss maintenance in the UK: an extension study’, </w:t>
      </w:r>
      <w:r>
        <w:rPr>
          <w:i/>
          <w:iCs/>
        </w:rPr>
        <w:t>The Lancet Diabetes &amp; Endocrinology</w:t>
      </w:r>
      <w:r>
        <w:t>, 12(4), pp. 233–246. doi: 10.1016/S2213-8587(23)00385-6.</w:t>
      </w:r>
    </w:p>
    <w:p w:rsidR="005A5910" w:rsidRDefault="00BC275C" w14:paraId="60E691D9" w14:textId="77777777">
      <w:pPr>
        <w:spacing w:after="120" w:line="360" w:lineRule="auto"/>
        <w:ind w:left="720" w:hanging="720"/>
        <w:jc w:val="both"/>
      </w:pPr>
      <w:r>
        <w:t xml:space="preserve">National Institute for Health and Care Excellence (NICE) (2025) </w:t>
      </w:r>
      <w:r>
        <w:rPr>
          <w:i/>
          <w:iCs/>
        </w:rPr>
        <w:t>Tobacco: preventing uptake, promoting quitting and treating dependence</w:t>
      </w:r>
      <w:r>
        <w:t xml:space="preserve">. NICE guideline NG209. Available at: </w:t>
      </w:r>
      <w:hyperlink w:history="1" r:id="rId7">
        <w:r w:rsidRPr="00396EAD" w:rsidR="00161AB8">
          <w:rPr>
            <w:rStyle w:val="Hyperlink"/>
          </w:rPr>
          <w:t>https://www.nice.org.uk/guidance/ng209</w:t>
        </w:r>
      </w:hyperlink>
      <w:r w:rsidR="00161AB8">
        <w:t xml:space="preserve"> </w:t>
      </w:r>
    </w:p>
    <w:p w:rsidR="005A5910" w:rsidRDefault="00BC275C" w14:paraId="08761005" w14:textId="77777777">
      <w:pPr>
        <w:spacing w:after="120" w:line="360" w:lineRule="auto"/>
        <w:ind w:left="720" w:hanging="720"/>
        <w:jc w:val="both"/>
      </w:pPr>
      <w:r>
        <w:t xml:space="preserve">National Institute for Health and Care Excellence (NICE) (2026) </w:t>
      </w:r>
      <w:r>
        <w:rPr>
          <w:i/>
          <w:iCs/>
        </w:rPr>
        <w:t>Type 2 diabetes in adults: management</w:t>
      </w:r>
      <w:r>
        <w:t xml:space="preserve">. NICE guideline NG28. Available at: </w:t>
      </w:r>
      <w:hyperlink w:history="1" r:id="rId8">
        <w:r w:rsidRPr="00396EAD" w:rsidR="00161AB8">
          <w:rPr>
            <w:rStyle w:val="Hyperlink"/>
          </w:rPr>
          <w:t>https://www.nice.org.uk/guidance/ng28</w:t>
        </w:r>
      </w:hyperlink>
      <w:r w:rsidR="00161AB8">
        <w:t xml:space="preserve"> </w:t>
      </w:r>
    </w:p>
    <w:p w:rsidR="005A5910" w:rsidRDefault="00BC275C" w14:paraId="34514FA8" w14:textId="77777777">
      <w:pPr>
        <w:spacing w:after="120" w:line="360" w:lineRule="auto"/>
        <w:ind w:left="720" w:hanging="720"/>
        <w:jc w:val="both"/>
      </w:pPr>
      <w:r>
        <w:t xml:space="preserve">Tortora, G.J. and Derrickson, B. (2020) </w:t>
      </w:r>
      <w:r>
        <w:rPr>
          <w:i/>
          <w:iCs/>
        </w:rPr>
        <w:t>Principles of anatomy and physiology</w:t>
      </w:r>
      <w:r>
        <w:t>. 16th edn. Hoboken, NJ: Wiley.</w:t>
      </w:r>
    </w:p>
    <w:p w:rsidR="005A5910" w:rsidRDefault="00BC275C" w14:paraId="2E69B095" w14:textId="77777777">
      <w:pPr>
        <w:spacing w:after="120" w:line="360" w:lineRule="auto"/>
        <w:ind w:left="720" w:hanging="720"/>
        <w:jc w:val="both"/>
      </w:pPr>
      <w:r>
        <w:t xml:space="preserve">Yu, Y. et al. (2026) ‘Association between smoking cessation and risk for type 2 diabetes, stratified by post-cessation weight change: a systematic review and meta-analysis’, </w:t>
      </w:r>
      <w:r>
        <w:rPr>
          <w:i/>
          <w:iCs/>
        </w:rPr>
        <w:t>Preventive Medicine</w:t>
      </w:r>
      <w:r>
        <w:t>, 202, article 108429. doi: 1</w:t>
      </w:r>
      <w:r w:rsidR="00161AB8">
        <w:t xml:space="preserve">0.1016/j.ypmed.2025.108429 </w:t>
      </w:r>
    </w:p>
    <w:sectPr w:rsidR="005A5910">
      <w:footerReference w:type="default" r:id="rId9"/>
      <w:headerReference w:type="first" r:id="rId10"/>
      <w:pgSz w:w="11906" w:h="16838" w:orient="portrait"/>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BC275C" w:rsidRDefault="00BC275C" w14:paraId="41F94BDF" w14:textId="77777777">
      <w:r>
        <w:separator/>
      </w:r>
    </w:p>
  </w:endnote>
  <w:endnote w:type="continuationSeparator" w:id="0">
    <w:p w:rsidR="00BC275C" w:rsidRDefault="00BC275C" w14:paraId="25E482B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A5910" w:rsidRDefault="00BC275C" w14:paraId="09F8178B" w14:textId="77777777">
    <w:pPr>
      <w:jc w:val="center"/>
    </w:pPr>
    <w:r>
      <w:rPr>
        <w:sz w:val="20"/>
        <w:szCs w:val="20"/>
      </w:rPr>
      <w:fldChar w:fldCharType="begin"/>
    </w:r>
    <w:r>
      <w:rPr>
        <w:sz w:val="20"/>
        <w:szCs w:val="20"/>
      </w:rPr>
      <w:instrText>PAGE</w:instrText>
    </w:r>
    <w:r>
      <w:rPr>
        <w:sz w:val="20"/>
        <w:szCs w:val="20"/>
      </w:rPr>
      <w:fldChar w:fldCharType="separate"/>
    </w:r>
    <w:r w:rsidR="00161AB8">
      <w:rPr>
        <w:noProof/>
        <w:sz w:val="20"/>
        <w:szCs w:val="20"/>
      </w:rPr>
      <w:t>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BC275C" w:rsidRDefault="00BC275C" w14:paraId="7356D585" w14:textId="77777777">
      <w:r>
        <w:separator/>
      </w:r>
    </w:p>
  </w:footnote>
  <w:footnote w:type="continuationSeparator" w:id="0">
    <w:p w:rsidR="00BC275C" w:rsidRDefault="00BC275C" w14:paraId="6BE5750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61AB8" w:rsidRDefault="00161AB8" w14:paraId="17460F96" w14:textId="77777777">
    <w:pPr>
      <w:pStyle w:val="Header"/>
      <w:jc w:val="right"/>
    </w:pPr>
    <w:r>
      <w:t>CASE STUDY: DIABETES</w:t>
    </w:r>
    <w:r>
      <w:tab/>
    </w:r>
    <w:r>
      <w:tab/>
    </w:r>
    <w:sdt>
      <w:sdtPr>
        <w:id w:val="-43867725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rsidR="00161AB8" w:rsidRDefault="00161AB8" w14:paraId="75D0B6C5" w14:textId="77777777">
    <w:pPr>
      <w:pStyle w:val="Header"/>
    </w:pPr>
  </w:p>
</w:hdr>
</file>

<file path=word/intelligence2.xml><?xml version="1.0" encoding="utf-8"?>
<int2:intelligence xmlns:int2="http://schemas.microsoft.com/office/intelligence/2020/intelligence">
  <int2:observations>
    <int2:textHash int2:hashCode="gNEMd2B4SIgBWQ" int2:id="8qktVFnc">
      <int2:state int2:type="spell" int2:value="Rejected"/>
    </int2:textHash>
    <int2:textHash int2:hashCode="wZ67MIMbYC6VN8" int2:id="jbfDe2vf">
      <int2:state int2:type="spell" int2:value="Rejected"/>
    </int2:textHash>
    <int2:bookmark int2:bookmarkName="_Int_uQqDu7r6" int2:invalidationBookmarkName="" int2:hashCode="MsMuwg34yPEjAK" int2:id="cSpoB0HH">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E8C245F"/>
    <w:multiLevelType w:val="hybridMultilevel"/>
    <w:tmpl w:val="EF484E82"/>
    <w:lvl w:ilvl="0" w:tplc="1F52F472">
      <w:start w:val="1"/>
      <w:numFmt w:val="bullet"/>
      <w:lvlText w:val="●"/>
      <w:lvlJc w:val="left"/>
      <w:pPr>
        <w:ind w:left="720" w:hanging="360"/>
      </w:pPr>
    </w:lvl>
    <w:lvl w:ilvl="1" w:tplc="39A844C2">
      <w:start w:val="1"/>
      <w:numFmt w:val="bullet"/>
      <w:lvlText w:val="○"/>
      <w:lvlJc w:val="left"/>
      <w:pPr>
        <w:ind w:left="1440" w:hanging="360"/>
      </w:pPr>
    </w:lvl>
    <w:lvl w:ilvl="2" w:tplc="2F7E6AB8">
      <w:start w:val="1"/>
      <w:numFmt w:val="bullet"/>
      <w:lvlText w:val="■"/>
      <w:lvlJc w:val="left"/>
      <w:pPr>
        <w:ind w:left="2160" w:hanging="360"/>
      </w:pPr>
    </w:lvl>
    <w:lvl w:ilvl="3" w:tplc="83B8D32A">
      <w:start w:val="1"/>
      <w:numFmt w:val="bullet"/>
      <w:lvlText w:val="●"/>
      <w:lvlJc w:val="left"/>
      <w:pPr>
        <w:ind w:left="2880" w:hanging="360"/>
      </w:pPr>
    </w:lvl>
    <w:lvl w:ilvl="4" w:tplc="68A4D9A0">
      <w:start w:val="1"/>
      <w:numFmt w:val="bullet"/>
      <w:lvlText w:val="○"/>
      <w:lvlJc w:val="left"/>
      <w:pPr>
        <w:ind w:left="3600" w:hanging="360"/>
      </w:pPr>
    </w:lvl>
    <w:lvl w:ilvl="5" w:tplc="48BA82FC">
      <w:start w:val="1"/>
      <w:numFmt w:val="bullet"/>
      <w:lvlText w:val="■"/>
      <w:lvlJc w:val="left"/>
      <w:pPr>
        <w:ind w:left="4320" w:hanging="360"/>
      </w:pPr>
    </w:lvl>
    <w:lvl w:ilvl="6" w:tplc="601EC1A6">
      <w:start w:val="1"/>
      <w:numFmt w:val="bullet"/>
      <w:lvlText w:val="●"/>
      <w:lvlJc w:val="left"/>
      <w:pPr>
        <w:ind w:left="5040" w:hanging="360"/>
      </w:pPr>
    </w:lvl>
    <w:lvl w:ilvl="7" w:tplc="76005196">
      <w:start w:val="1"/>
      <w:numFmt w:val="bullet"/>
      <w:lvlText w:val="●"/>
      <w:lvlJc w:val="left"/>
      <w:pPr>
        <w:ind w:left="5760" w:hanging="360"/>
      </w:pPr>
    </w:lvl>
    <w:lvl w:ilvl="8" w:tplc="7B3A035E">
      <w:start w:val="1"/>
      <w:numFmt w:val="bullet"/>
      <w:lvlText w:val="●"/>
      <w:lvlJc w:val="left"/>
      <w:pPr>
        <w:ind w:left="6480" w:hanging="360"/>
      </w:pPr>
    </w:lvl>
  </w:abstractNum>
  <w:num w:numId="1" w16cid:durableId="212325560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910"/>
    <w:rsid w:val="00161AB8"/>
    <w:rsid w:val="00574037"/>
    <w:rsid w:val="005A5910"/>
    <w:rsid w:val="008A3E92"/>
    <w:rsid w:val="00BC275C"/>
    <w:rsid w:val="00BD030B"/>
    <w:rsid w:val="00CF60E2"/>
    <w:rsid w:val="00E44A6A"/>
    <w:rsid w:val="0286F431"/>
    <w:rsid w:val="04D5AAD1"/>
    <w:rsid w:val="0763902C"/>
    <w:rsid w:val="217961DF"/>
    <w:rsid w:val="25053EEE"/>
    <w:rsid w:val="2A121981"/>
    <w:rsid w:val="2DB22A6B"/>
    <w:rsid w:val="3F7FEFC9"/>
    <w:rsid w:val="4E323BAE"/>
    <w:rsid w:val="679FDD24"/>
    <w:rsid w:val="6F60767B"/>
    <w:rsid w:val="7231C248"/>
    <w:rsid w:val="741EF010"/>
    <w:rsid w:val="7C491A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B84C7"/>
  <w15:docId w15:val="{C2679EE8-D5C4-4D76-AB71-195747843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hAnsi="Arial" w:eastAsia="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qFormat/>
    <w:pPr>
      <w:outlineLvl w:val="0"/>
    </w:pPr>
    <w:rPr>
      <w:b/>
      <w:bCs/>
      <w:color w:val="000000"/>
      <w:sz w:val="26"/>
      <w:szCs w:val="26"/>
    </w:rPr>
  </w:style>
  <w:style w:type="paragraph" w:styleId="Heading2">
    <w:name w:val="heading 2"/>
    <w:qFormat/>
    <w:pPr>
      <w:outlineLvl w:val="1"/>
    </w:pPr>
    <w:rPr>
      <w:b/>
      <w:bCs/>
      <w:color w:val="000000"/>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61AB8"/>
    <w:pPr>
      <w:tabs>
        <w:tab w:val="center" w:pos="4680"/>
        <w:tab w:val="right" w:pos="9360"/>
      </w:tabs>
    </w:pPr>
  </w:style>
  <w:style w:type="character" w:styleId="HeaderChar" w:customStyle="1">
    <w:name w:val="Header Char"/>
    <w:basedOn w:val="DefaultParagraphFont"/>
    <w:link w:val="Header"/>
    <w:uiPriority w:val="99"/>
    <w:rsid w:val="00161AB8"/>
  </w:style>
  <w:style w:type="paragraph" w:styleId="Footer">
    <w:name w:val="footer"/>
    <w:basedOn w:val="Normal"/>
    <w:link w:val="FooterChar"/>
    <w:uiPriority w:val="99"/>
    <w:unhideWhenUsed/>
    <w:rsid w:val="00161AB8"/>
    <w:pPr>
      <w:tabs>
        <w:tab w:val="center" w:pos="4680"/>
        <w:tab w:val="right" w:pos="9360"/>
      </w:tabs>
    </w:pPr>
  </w:style>
  <w:style w:type="character" w:styleId="FooterChar" w:customStyle="1">
    <w:name w:val="Footer Char"/>
    <w:basedOn w:val="DefaultParagraphFont"/>
    <w:link w:val="Footer"/>
    <w:uiPriority w:val="99"/>
    <w:rsid w:val="00161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nice.org.uk/guidance/ng28" TargetMode="External" Id="rId8" /><Relationship Type="http://schemas.openxmlformats.org/officeDocument/2006/relationships/settings" Target="settings.xml" Id="rId3" /><Relationship Type="http://schemas.openxmlformats.org/officeDocument/2006/relationships/hyperlink" Target="https://www.nice.org.uk/guidance/ng209"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687e15e63b504ec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Noreen Akhtar (2439740)</lastModifiedBy>
  <revision>4</revision>
  <dcterms:created xsi:type="dcterms:W3CDTF">2026-10-24T18:35:00.0000000Z</dcterms:created>
  <dcterms:modified xsi:type="dcterms:W3CDTF">2026-10-25T22:49:48.5412733Z</dcterms:modified>
</coreProperties>
</file>