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46CA1469" w:rsidR="000264A1" w:rsidRDefault="006A131D" w:rsidP="000264A1">
      <w:r>
        <w:rPr>
          <w:noProof/>
          <w:lang w:val="en-US"/>
        </w:rPr>
        <w:drawing>
          <wp:inline distT="0" distB="0" distL="0" distR="0" wp14:anchorId="162C44FC" wp14:editId="277101A0">
            <wp:extent cx="2995930" cy="1460467"/>
            <wp:effectExtent l="0" t="0" r="0" b="6985"/>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9588" cy="1559747"/>
                    </a:xfrm>
                    <a:prstGeom prst="rect">
                      <a:avLst/>
                    </a:prstGeom>
                    <a:noFill/>
                    <a:ln>
                      <a:noFill/>
                    </a:ln>
                  </pic:spPr>
                </pic:pic>
              </a:graphicData>
            </a:graphic>
          </wp:inline>
        </w:drawing>
      </w:r>
      <w:r w:rsidR="000264A1">
        <w:fldChar w:fldCharType="begin"/>
      </w:r>
      <w:r w:rsidR="00CC2B3C">
        <w:instrText xml:space="preserve"> INCLUDEPICTURE "C:\\Users\\biancasanfilippo\\Library\\Group Containers\\UBF8T346G9.ms\\WebArchiveCopyPasteTempFiles\\com.microsoft.Word\\UWTSD-Logo.jpg" \* MERGEFORMAT </w:instrText>
      </w:r>
      <w:r w:rsidR="000264A1">
        <w:fldChar w:fldCharType="separate"/>
      </w:r>
      <w:r w:rsidR="000264A1">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3DB89340" w14:textId="17563D35"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6A131D">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6A131D">
        <w:rPr>
          <w:rStyle w:val="Strong"/>
          <w:rFonts w:ascii="Arial" w:hAnsi="Arial" w:cs="Arial"/>
          <w:color w:val="1D2125"/>
          <w:sz w:val="32"/>
          <w:szCs w:val="32"/>
        </w:rPr>
        <w:t>Mary O Leigh</w:t>
      </w:r>
    </w:p>
    <w:p w14:paraId="0E99EF7B" w14:textId="77777777" w:rsidR="00E941A2" w:rsidRPr="000264A1" w:rsidRDefault="000264A1" w:rsidP="00E941A2">
      <w:pPr>
        <w:rPr>
          <w:rStyle w:val="Strong"/>
          <w:rFonts w:ascii="Arial" w:hAnsi="Arial" w:cs="Arial"/>
          <w:color w:val="1D2125"/>
          <w:sz w:val="36"/>
          <w:szCs w:val="36"/>
        </w:rPr>
      </w:pPr>
      <w:r w:rsidRPr="000264A1">
        <w:rPr>
          <w:rStyle w:val="Strong"/>
          <w:rFonts w:ascii="Arial" w:hAnsi="Arial" w:cs="Arial"/>
          <w:color w:val="1D2125"/>
          <w:sz w:val="32"/>
          <w:szCs w:val="32"/>
        </w:rPr>
        <w:t>Student number</w:t>
      </w:r>
      <w:r w:rsidR="006A131D">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E941A2" w:rsidRPr="00E941A2">
        <w:rPr>
          <w:rFonts w:ascii="Arial" w:hAnsi="Arial" w:cs="Arial"/>
          <w:b/>
          <w:bCs/>
          <w:color w:val="1D2125"/>
          <w:sz w:val="36"/>
          <w:szCs w:val="36"/>
        </w:rPr>
        <w:t>2327314</w:t>
      </w:r>
    </w:p>
    <w:p w14:paraId="2030840C" w14:textId="2A775E2E" w:rsidR="006A131D" w:rsidRDefault="006A131D" w:rsidP="000264A1">
      <w:pPr>
        <w:rPr>
          <w:rStyle w:val="Strong"/>
          <w:rFonts w:ascii="Arial" w:hAnsi="Arial" w:cs="Arial"/>
          <w:color w:val="1D2125"/>
          <w:sz w:val="32"/>
          <w:szCs w:val="32"/>
        </w:rPr>
      </w:pPr>
      <w:r>
        <w:rPr>
          <w:rStyle w:val="Strong"/>
          <w:rFonts w:ascii="Arial" w:hAnsi="Arial" w:cs="Arial"/>
          <w:color w:val="1D2125"/>
          <w:sz w:val="32"/>
          <w:szCs w:val="32"/>
        </w:rPr>
        <w:t>Module Name:</w:t>
      </w:r>
      <w:r w:rsidRPr="006A131D">
        <w:rPr>
          <w:rStyle w:val="Strong"/>
          <w:rFonts w:ascii="Arial" w:hAnsi="Arial" w:cs="Arial"/>
          <w:color w:val="1D2125"/>
          <w:sz w:val="36"/>
          <w:szCs w:val="36"/>
        </w:rPr>
        <w:t xml:space="preserve"> </w:t>
      </w:r>
      <w:r w:rsidRPr="000264A1">
        <w:rPr>
          <w:rStyle w:val="Strong"/>
          <w:rFonts w:ascii="Arial" w:hAnsi="Arial" w:cs="Arial"/>
          <w:color w:val="1D2125"/>
          <w:sz w:val="36"/>
          <w:szCs w:val="36"/>
        </w:rPr>
        <w:t>Psychopathological Classifications and Provisions</w:t>
      </w:r>
    </w:p>
    <w:p w14:paraId="1BCA50F0" w14:textId="4064DAA9" w:rsidR="006A131D" w:rsidRDefault="006A131D" w:rsidP="006A131D">
      <w:pPr>
        <w:rPr>
          <w:rStyle w:val="Strong"/>
          <w:rFonts w:ascii="Arial" w:hAnsi="Arial" w:cs="Arial"/>
          <w:color w:val="1D2125"/>
          <w:sz w:val="36"/>
          <w:szCs w:val="36"/>
        </w:rPr>
      </w:pPr>
      <w:r>
        <w:rPr>
          <w:rStyle w:val="Strong"/>
          <w:rFonts w:ascii="Arial" w:hAnsi="Arial" w:cs="Arial"/>
          <w:color w:val="1D2125"/>
          <w:sz w:val="32"/>
          <w:szCs w:val="32"/>
        </w:rPr>
        <w:t>Module Code:</w:t>
      </w:r>
      <w:r w:rsidRPr="006A131D">
        <w:rPr>
          <w:rStyle w:val="Strong"/>
          <w:rFonts w:ascii="Arial" w:hAnsi="Arial" w:cs="Arial"/>
          <w:color w:val="1D2125"/>
          <w:sz w:val="36"/>
          <w:szCs w:val="36"/>
        </w:rPr>
        <w:t xml:space="preserve"> </w:t>
      </w:r>
      <w:r w:rsidRPr="000264A1">
        <w:rPr>
          <w:rStyle w:val="Strong"/>
          <w:rFonts w:ascii="Arial" w:hAnsi="Arial" w:cs="Arial"/>
          <w:color w:val="1D2125"/>
          <w:sz w:val="36"/>
          <w:szCs w:val="36"/>
        </w:rPr>
        <w:t>BMHP6029</w:t>
      </w:r>
      <w:r w:rsidRPr="006A131D">
        <w:rPr>
          <w:rStyle w:val="Strong"/>
          <w:rFonts w:ascii="Arial" w:hAnsi="Arial" w:cs="Arial"/>
          <w:color w:val="1D2125"/>
          <w:sz w:val="36"/>
          <w:szCs w:val="36"/>
        </w:rPr>
        <w:t xml:space="preserve"> </w:t>
      </w:r>
    </w:p>
    <w:p w14:paraId="42810ACF" w14:textId="23992461" w:rsidR="008C6A72" w:rsidRPr="000264A1" w:rsidRDefault="008C6A72" w:rsidP="006A131D">
      <w:pPr>
        <w:rPr>
          <w:rStyle w:val="Strong"/>
          <w:rFonts w:ascii="Arial" w:hAnsi="Arial" w:cs="Arial"/>
          <w:color w:val="1D2125"/>
          <w:sz w:val="36"/>
          <w:szCs w:val="36"/>
        </w:rPr>
      </w:pPr>
      <w:r>
        <w:rPr>
          <w:rStyle w:val="Strong"/>
          <w:rFonts w:ascii="Arial" w:hAnsi="Arial" w:cs="Arial"/>
          <w:color w:val="1D2125"/>
          <w:sz w:val="36"/>
          <w:szCs w:val="36"/>
        </w:rPr>
        <w:t>Lecture Name:</w:t>
      </w:r>
      <w:r w:rsidR="00E941A2">
        <w:rPr>
          <w:rStyle w:val="Strong"/>
          <w:rFonts w:ascii="Arial" w:hAnsi="Arial" w:cs="Arial"/>
          <w:color w:val="1D2125"/>
          <w:sz w:val="36"/>
          <w:szCs w:val="36"/>
        </w:rPr>
        <w:t xml:space="preserve"> Dr Farah W</w:t>
      </w:r>
      <w:r w:rsidR="00E941A2" w:rsidRPr="00E941A2">
        <w:rPr>
          <w:rFonts w:ascii="Arial" w:hAnsi="Arial" w:cs="Arial"/>
          <w:b/>
          <w:bCs/>
          <w:color w:val="1D2125"/>
          <w:sz w:val="36"/>
          <w:szCs w:val="36"/>
        </w:rPr>
        <w:t>iita</w:t>
      </w:r>
      <w:r w:rsidR="00E941A2" w:rsidRPr="00E941A2">
        <w:rPr>
          <w:rFonts w:ascii="Arial" w:hAnsi="Arial" w:cs="Arial"/>
          <w:b/>
          <w:bCs/>
          <w:color w:val="1D2125"/>
          <w:sz w:val="36"/>
          <w:szCs w:val="36"/>
        </w:rPr>
        <w:t> </w:t>
      </w:r>
    </w:p>
    <w:p w14:paraId="46940796" w14:textId="77777777" w:rsidR="006A131D" w:rsidRPr="000264A1" w:rsidRDefault="006A131D" w:rsidP="006A131D">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1461B5FA" w14:textId="77777777" w:rsidR="005C1DCD" w:rsidRDefault="005C1DCD" w:rsidP="000264A1">
      <w:pPr>
        <w:rPr>
          <w:rFonts w:ascii="Arial" w:hAnsi="Arial" w:cs="Arial"/>
          <w:b/>
          <w:bCs/>
          <w:sz w:val="36"/>
          <w:szCs w:val="36"/>
        </w:rPr>
      </w:pPr>
    </w:p>
    <w:p w14:paraId="4F5FBEC9" w14:textId="77777777" w:rsidR="000264A1" w:rsidRPr="005C1DCD"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5EAF23AD" w14:textId="77777777" w:rsidR="00E941A2" w:rsidRDefault="00E941A2" w:rsidP="005C1DCD">
      <w:pPr>
        <w:pStyle w:val="NormalWeb"/>
        <w:spacing w:line="360" w:lineRule="auto"/>
        <w:rPr>
          <w:rFonts w:ascii="Arial" w:hAnsi="Arial" w:cs="Arial"/>
          <w:b/>
          <w:bCs/>
          <w:color w:val="000000"/>
          <w:sz w:val="22"/>
        </w:rPr>
      </w:pPr>
    </w:p>
    <w:p w14:paraId="7CA12798" w14:textId="77777777" w:rsidR="00E941A2" w:rsidRDefault="00E941A2" w:rsidP="005C1DCD">
      <w:pPr>
        <w:pStyle w:val="NormalWeb"/>
        <w:spacing w:line="360" w:lineRule="auto"/>
        <w:rPr>
          <w:rFonts w:ascii="Arial" w:hAnsi="Arial" w:cs="Arial"/>
          <w:b/>
          <w:bCs/>
          <w:color w:val="000000"/>
          <w:sz w:val="22"/>
        </w:rPr>
      </w:pPr>
    </w:p>
    <w:p w14:paraId="27D68B26" w14:textId="7FF888B3" w:rsidR="003C11F5" w:rsidRPr="003C11F5" w:rsidRDefault="003C11F5" w:rsidP="005C1DCD">
      <w:pPr>
        <w:pStyle w:val="NormalWeb"/>
        <w:spacing w:line="360" w:lineRule="auto"/>
        <w:rPr>
          <w:rFonts w:ascii="Arial" w:hAnsi="Arial" w:cs="Arial"/>
          <w:b/>
          <w:bCs/>
          <w:color w:val="000000"/>
          <w:sz w:val="22"/>
        </w:rPr>
      </w:pPr>
      <w:r w:rsidRPr="003C11F5">
        <w:rPr>
          <w:rFonts w:ascii="Arial" w:hAnsi="Arial" w:cs="Arial"/>
          <w:b/>
          <w:bCs/>
          <w:color w:val="000000"/>
          <w:sz w:val="22"/>
        </w:rPr>
        <w:lastRenderedPageBreak/>
        <w:t>Table of Contents</w:t>
      </w:r>
    </w:p>
    <w:p w14:paraId="1155DCAF" w14:textId="77777777" w:rsidR="006A131D" w:rsidRDefault="006A131D" w:rsidP="003A28AB">
      <w:pPr>
        <w:pStyle w:val="NormalWeb"/>
        <w:spacing w:line="360" w:lineRule="auto"/>
        <w:jc w:val="both"/>
        <w:rPr>
          <w:rFonts w:ascii="Arial" w:hAnsi="Arial" w:cs="Arial"/>
          <w:bCs/>
          <w:color w:val="000000"/>
          <w:sz w:val="22"/>
        </w:rPr>
      </w:pPr>
    </w:p>
    <w:p w14:paraId="5B11E9AF" w14:textId="3558237A" w:rsidR="00957134" w:rsidRPr="00957134" w:rsidRDefault="00957134" w:rsidP="003A28AB">
      <w:pPr>
        <w:pStyle w:val="NormalWeb"/>
        <w:spacing w:line="360" w:lineRule="auto"/>
        <w:jc w:val="both"/>
        <w:rPr>
          <w:rFonts w:ascii="Arial" w:hAnsi="Arial" w:cs="Arial"/>
          <w:b/>
          <w:bCs/>
          <w:color w:val="000000"/>
          <w:sz w:val="22"/>
        </w:rPr>
      </w:pPr>
      <w:r>
        <w:rPr>
          <w:rFonts w:ascii="Arial" w:hAnsi="Arial" w:cs="Arial"/>
          <w:bCs/>
          <w:color w:val="000000"/>
          <w:sz w:val="22"/>
        </w:rPr>
        <w:t xml:space="preserve">Introduction </w:t>
      </w:r>
      <w:r>
        <w:rPr>
          <w:rFonts w:ascii="Arial" w:hAnsi="Arial" w:cs="Arial"/>
          <w:b/>
          <w:bCs/>
          <w:color w:val="000000"/>
          <w:sz w:val="22"/>
        </w:rPr>
        <w:t>……………………………………………………………………………………...3</w:t>
      </w:r>
    </w:p>
    <w:p w14:paraId="6CA5089E" w14:textId="00DC817E" w:rsidR="003C11F5" w:rsidRPr="00957134" w:rsidRDefault="00957134" w:rsidP="003A28AB">
      <w:pPr>
        <w:pStyle w:val="NormalWeb"/>
        <w:spacing w:line="360" w:lineRule="auto"/>
        <w:jc w:val="both"/>
        <w:rPr>
          <w:rFonts w:ascii="Arial" w:hAnsi="Arial" w:cs="Arial"/>
          <w:b/>
          <w:bCs/>
          <w:color w:val="000000"/>
          <w:sz w:val="22"/>
        </w:rPr>
      </w:pPr>
      <w:r w:rsidRPr="00957134">
        <w:rPr>
          <w:rFonts w:ascii="Arial" w:hAnsi="Arial" w:cs="Arial"/>
          <w:bCs/>
          <w:color w:val="000000"/>
          <w:sz w:val="22"/>
        </w:rPr>
        <w:t>Classification and Diagnosis</w:t>
      </w:r>
      <w:r>
        <w:rPr>
          <w:rFonts w:ascii="Arial" w:hAnsi="Arial" w:cs="Arial"/>
          <w:bCs/>
          <w:color w:val="000000"/>
          <w:sz w:val="22"/>
        </w:rPr>
        <w:t xml:space="preserve"> </w:t>
      </w:r>
      <w:r>
        <w:rPr>
          <w:rFonts w:ascii="Arial" w:hAnsi="Arial" w:cs="Arial"/>
          <w:b/>
          <w:bCs/>
          <w:color w:val="000000"/>
          <w:sz w:val="22"/>
        </w:rPr>
        <w:t>…………………………………………………………………..3</w:t>
      </w:r>
    </w:p>
    <w:p w14:paraId="77F4FA11" w14:textId="26606510" w:rsidR="00957134" w:rsidRDefault="00957134" w:rsidP="003A28AB">
      <w:pPr>
        <w:pStyle w:val="NormalWeb"/>
        <w:spacing w:line="360" w:lineRule="auto"/>
        <w:jc w:val="both"/>
        <w:rPr>
          <w:rFonts w:ascii="Arial" w:hAnsi="Arial" w:cs="Arial"/>
          <w:bCs/>
          <w:color w:val="000000"/>
          <w:sz w:val="22"/>
        </w:rPr>
      </w:pPr>
      <w:r>
        <w:rPr>
          <w:rFonts w:ascii="Arial" w:hAnsi="Arial" w:cs="Arial"/>
          <w:bCs/>
          <w:color w:val="000000"/>
          <w:sz w:val="22"/>
        </w:rPr>
        <w:t xml:space="preserve">Treatment and Rehabilitation </w:t>
      </w:r>
      <w:r>
        <w:rPr>
          <w:rFonts w:ascii="Arial" w:hAnsi="Arial" w:cs="Arial"/>
          <w:b/>
          <w:bCs/>
          <w:color w:val="000000"/>
          <w:sz w:val="22"/>
        </w:rPr>
        <w:t>………………………………………………………………….5</w:t>
      </w:r>
    </w:p>
    <w:p w14:paraId="6BB99BAB" w14:textId="1458CC34"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Curr</w:t>
      </w:r>
      <w:r>
        <w:rPr>
          <w:rFonts w:ascii="Arial" w:hAnsi="Arial" w:cs="Arial"/>
          <w:bCs/>
          <w:color w:val="000000"/>
          <w:sz w:val="22"/>
        </w:rPr>
        <w:t xml:space="preserve">ent Debates and Emerging Issues </w:t>
      </w:r>
      <w:r>
        <w:rPr>
          <w:rFonts w:ascii="Arial" w:hAnsi="Arial" w:cs="Arial"/>
          <w:b/>
          <w:bCs/>
          <w:color w:val="000000"/>
          <w:sz w:val="22"/>
        </w:rPr>
        <w:t>………………………………………………………6</w:t>
      </w:r>
    </w:p>
    <w:p w14:paraId="394074D4" w14:textId="52098ECB"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Recommendations</w:t>
      </w:r>
      <w:r>
        <w:rPr>
          <w:rFonts w:ascii="Arial" w:hAnsi="Arial" w:cs="Arial"/>
          <w:bCs/>
          <w:color w:val="000000"/>
          <w:sz w:val="22"/>
        </w:rPr>
        <w:t xml:space="preserve"> </w:t>
      </w:r>
      <w:r>
        <w:rPr>
          <w:rFonts w:ascii="Arial" w:hAnsi="Arial" w:cs="Arial"/>
          <w:b/>
          <w:bCs/>
          <w:color w:val="000000"/>
          <w:sz w:val="22"/>
        </w:rPr>
        <w:t>……………………………………………………………………………..7</w:t>
      </w:r>
    </w:p>
    <w:p w14:paraId="3C1A0A64" w14:textId="73678A99"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Conclusion</w:t>
      </w:r>
      <w:r>
        <w:rPr>
          <w:rFonts w:ascii="Arial" w:hAnsi="Arial" w:cs="Arial"/>
          <w:bCs/>
          <w:color w:val="000000"/>
          <w:sz w:val="22"/>
        </w:rPr>
        <w:t xml:space="preserve"> </w:t>
      </w:r>
      <w:r>
        <w:rPr>
          <w:rFonts w:ascii="Arial" w:hAnsi="Arial" w:cs="Arial"/>
          <w:b/>
          <w:bCs/>
          <w:color w:val="000000"/>
          <w:sz w:val="22"/>
        </w:rPr>
        <w:t>………………………………………………………………………………………7</w:t>
      </w:r>
    </w:p>
    <w:p w14:paraId="4C2040EE" w14:textId="77777777" w:rsidR="00957134" w:rsidRDefault="00957134" w:rsidP="003A28AB">
      <w:pPr>
        <w:pStyle w:val="NormalWeb"/>
        <w:spacing w:line="360" w:lineRule="auto"/>
        <w:jc w:val="both"/>
        <w:rPr>
          <w:rFonts w:ascii="Arial" w:hAnsi="Arial" w:cs="Arial"/>
          <w:bCs/>
          <w:color w:val="000000"/>
          <w:sz w:val="22"/>
        </w:rPr>
      </w:pPr>
    </w:p>
    <w:p w14:paraId="0C67C79A" w14:textId="77777777" w:rsidR="00957134" w:rsidRDefault="00957134" w:rsidP="003A28AB">
      <w:pPr>
        <w:pStyle w:val="NormalWeb"/>
        <w:spacing w:line="360" w:lineRule="auto"/>
        <w:jc w:val="both"/>
        <w:rPr>
          <w:rFonts w:ascii="Arial" w:hAnsi="Arial" w:cs="Arial"/>
          <w:bCs/>
          <w:color w:val="000000"/>
          <w:sz w:val="22"/>
        </w:rPr>
      </w:pPr>
    </w:p>
    <w:p w14:paraId="046109F5" w14:textId="77777777" w:rsidR="00957134" w:rsidRDefault="00957134" w:rsidP="003A28AB">
      <w:pPr>
        <w:pStyle w:val="NormalWeb"/>
        <w:spacing w:line="360" w:lineRule="auto"/>
        <w:jc w:val="both"/>
        <w:rPr>
          <w:rFonts w:ascii="Arial" w:hAnsi="Arial" w:cs="Arial"/>
          <w:bCs/>
          <w:color w:val="000000"/>
          <w:sz w:val="22"/>
        </w:rPr>
      </w:pPr>
    </w:p>
    <w:p w14:paraId="19C7B986" w14:textId="77777777" w:rsidR="00957134" w:rsidRDefault="00957134" w:rsidP="003A28AB">
      <w:pPr>
        <w:pStyle w:val="NormalWeb"/>
        <w:spacing w:line="360" w:lineRule="auto"/>
        <w:jc w:val="both"/>
        <w:rPr>
          <w:rFonts w:ascii="Arial" w:hAnsi="Arial" w:cs="Arial"/>
          <w:bCs/>
          <w:color w:val="000000"/>
          <w:sz w:val="22"/>
        </w:rPr>
      </w:pPr>
    </w:p>
    <w:p w14:paraId="1E250207" w14:textId="77777777" w:rsidR="00957134" w:rsidRDefault="00957134" w:rsidP="003A28AB">
      <w:pPr>
        <w:pStyle w:val="NormalWeb"/>
        <w:spacing w:line="360" w:lineRule="auto"/>
        <w:jc w:val="both"/>
        <w:rPr>
          <w:rFonts w:ascii="Arial" w:hAnsi="Arial" w:cs="Arial"/>
          <w:bCs/>
          <w:color w:val="000000"/>
          <w:sz w:val="22"/>
        </w:rPr>
      </w:pPr>
    </w:p>
    <w:p w14:paraId="0CCB90CD" w14:textId="77777777" w:rsidR="00957134" w:rsidRDefault="00957134" w:rsidP="003A28AB">
      <w:pPr>
        <w:pStyle w:val="NormalWeb"/>
        <w:spacing w:line="360" w:lineRule="auto"/>
        <w:jc w:val="both"/>
        <w:rPr>
          <w:rFonts w:ascii="Arial" w:hAnsi="Arial" w:cs="Arial"/>
          <w:bCs/>
          <w:color w:val="000000"/>
          <w:sz w:val="22"/>
        </w:rPr>
      </w:pPr>
    </w:p>
    <w:p w14:paraId="787EBC2C" w14:textId="77777777" w:rsidR="00957134" w:rsidRDefault="00957134" w:rsidP="003A28AB">
      <w:pPr>
        <w:pStyle w:val="NormalWeb"/>
        <w:spacing w:line="360" w:lineRule="auto"/>
        <w:jc w:val="both"/>
        <w:rPr>
          <w:rFonts w:ascii="Arial" w:hAnsi="Arial" w:cs="Arial"/>
          <w:bCs/>
          <w:color w:val="000000"/>
          <w:sz w:val="22"/>
        </w:rPr>
      </w:pPr>
    </w:p>
    <w:p w14:paraId="3105CA90" w14:textId="77777777" w:rsidR="00957134" w:rsidRDefault="00957134" w:rsidP="003A28AB">
      <w:pPr>
        <w:pStyle w:val="NormalWeb"/>
        <w:spacing w:line="360" w:lineRule="auto"/>
        <w:jc w:val="both"/>
        <w:rPr>
          <w:rFonts w:ascii="Arial" w:hAnsi="Arial" w:cs="Arial"/>
          <w:bCs/>
          <w:color w:val="000000"/>
          <w:sz w:val="22"/>
        </w:rPr>
      </w:pPr>
    </w:p>
    <w:p w14:paraId="4638C36A" w14:textId="77777777" w:rsidR="00957134" w:rsidRDefault="00957134" w:rsidP="003A28AB">
      <w:pPr>
        <w:pStyle w:val="NormalWeb"/>
        <w:spacing w:line="360" w:lineRule="auto"/>
        <w:jc w:val="both"/>
        <w:rPr>
          <w:rFonts w:ascii="Arial" w:hAnsi="Arial" w:cs="Arial"/>
          <w:bCs/>
          <w:color w:val="000000"/>
          <w:sz w:val="22"/>
        </w:rPr>
      </w:pPr>
    </w:p>
    <w:p w14:paraId="0AAD8FD4" w14:textId="77777777" w:rsidR="00957134" w:rsidRDefault="00957134" w:rsidP="003A28AB">
      <w:pPr>
        <w:pStyle w:val="NormalWeb"/>
        <w:spacing w:line="360" w:lineRule="auto"/>
        <w:jc w:val="both"/>
        <w:rPr>
          <w:rFonts w:ascii="Arial" w:hAnsi="Arial" w:cs="Arial"/>
          <w:bCs/>
          <w:color w:val="000000"/>
          <w:sz w:val="22"/>
        </w:rPr>
      </w:pPr>
    </w:p>
    <w:p w14:paraId="3F737515" w14:textId="77777777" w:rsidR="00957134" w:rsidRDefault="00957134" w:rsidP="003A28AB">
      <w:pPr>
        <w:pStyle w:val="NormalWeb"/>
        <w:spacing w:line="360" w:lineRule="auto"/>
        <w:jc w:val="both"/>
        <w:rPr>
          <w:rFonts w:ascii="Arial" w:hAnsi="Arial" w:cs="Arial"/>
          <w:bCs/>
          <w:color w:val="000000"/>
          <w:sz w:val="22"/>
        </w:rPr>
      </w:pPr>
    </w:p>
    <w:p w14:paraId="4B5F81E4" w14:textId="77777777" w:rsidR="00957134" w:rsidRDefault="00957134" w:rsidP="003A28AB">
      <w:pPr>
        <w:pStyle w:val="NormalWeb"/>
        <w:spacing w:line="360" w:lineRule="auto"/>
        <w:jc w:val="both"/>
        <w:rPr>
          <w:rFonts w:ascii="Arial" w:hAnsi="Arial" w:cs="Arial"/>
          <w:bCs/>
          <w:color w:val="000000"/>
          <w:sz w:val="22"/>
        </w:rPr>
      </w:pPr>
    </w:p>
    <w:p w14:paraId="2A06EACF" w14:textId="77777777" w:rsidR="00957134" w:rsidRDefault="00957134" w:rsidP="003A28AB">
      <w:pPr>
        <w:pStyle w:val="NormalWeb"/>
        <w:spacing w:line="360" w:lineRule="auto"/>
        <w:jc w:val="both"/>
        <w:rPr>
          <w:rFonts w:ascii="Arial" w:hAnsi="Arial" w:cs="Arial"/>
          <w:bCs/>
          <w:color w:val="000000"/>
          <w:sz w:val="22"/>
        </w:rPr>
      </w:pPr>
    </w:p>
    <w:p w14:paraId="1EEC74AE" w14:textId="38BD1803" w:rsidR="00957134" w:rsidRPr="00957134" w:rsidRDefault="00957134" w:rsidP="003A28AB">
      <w:pPr>
        <w:pStyle w:val="NormalWeb"/>
        <w:spacing w:line="360" w:lineRule="auto"/>
        <w:jc w:val="both"/>
        <w:rPr>
          <w:rFonts w:ascii="Arial" w:hAnsi="Arial" w:cs="Arial"/>
          <w:b/>
          <w:bCs/>
          <w:color w:val="000000"/>
        </w:rPr>
      </w:pPr>
      <w:r w:rsidRPr="00957134">
        <w:rPr>
          <w:rFonts w:ascii="Arial" w:hAnsi="Arial" w:cs="Arial"/>
          <w:b/>
          <w:bCs/>
          <w:color w:val="000000"/>
        </w:rPr>
        <w:lastRenderedPageBreak/>
        <w:t>Introduction</w:t>
      </w:r>
    </w:p>
    <w:p w14:paraId="3D5476EB" w14:textId="36B5DF17" w:rsidR="008E7EB1" w:rsidRPr="008E7EB1" w:rsidRDefault="008E7EB1" w:rsidP="003A28AB">
      <w:pPr>
        <w:pStyle w:val="NormalWeb"/>
        <w:spacing w:line="360" w:lineRule="auto"/>
        <w:jc w:val="both"/>
        <w:rPr>
          <w:rFonts w:ascii="Arial" w:hAnsi="Arial" w:cs="Arial"/>
          <w:bCs/>
          <w:color w:val="000000"/>
          <w:sz w:val="22"/>
        </w:rPr>
      </w:pPr>
      <w:r w:rsidRPr="008E7EB1">
        <w:rPr>
          <w:rFonts w:ascii="Arial" w:hAnsi="Arial" w:cs="Arial"/>
          <w:bCs/>
          <w:color w:val="000000"/>
          <w:sz w:val="22"/>
        </w:rPr>
        <w:t>Developmental Learning Disorder (DLD) is a condition classified as 6A03 in ICD, 11 and is characterized by the presence of persistent and severe learning difficulties in areas such as reading, writing, or mathematics. These problems manifest despite normal or above, average intellectual ability, sufficient educational exposure, and the absence of any factors that may influence the outcome, e.g., sensory or neurological conditions, thereby leading to significant impairment at school, work, or in daily life (World Health Organization, 2024). The prevalence of DLD among school, age children worldwide is between 5 and 15%. Most cases are identified during the early years of schooling; however, if not adequately supported, individuals may suffer the consequences of DLD, such as academic failure, low self, esteem, or mental health issues, throughout their lifetime. This paper offers a comprehensive analysis of DLD's nomenclature and diagnosis based on ICD, 11, an assessment of contemporary treatment and rehabilitation modalities against the backdrop of the historical provisions, an overview of the debated topics, including neurodivergence, and a set of recommendations. In spite of the fact that ICD, 11 marks a clear improvement as it places DLD under the umbrella of disorders of neurodevelopment, it still partially clings to some outdated concepts such as the use of IQ, achievement discrepancy criterion and the scant focus on strengths that therefore limit equitable, effective support.</w:t>
      </w:r>
    </w:p>
    <w:p w14:paraId="5DD55A3B" w14:textId="77777777"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Classification and Diagnosis:</w:t>
      </w:r>
      <w:r w:rsidRPr="008A6D32">
        <w:rPr>
          <w:rStyle w:val="apple-converted-space"/>
          <w:rFonts w:ascii="Arial" w:eastAsiaTheme="majorEastAsia" w:hAnsi="Arial" w:cs="Arial"/>
          <w:b/>
          <w:bCs/>
          <w:color w:val="000000"/>
        </w:rPr>
        <w:t> </w:t>
      </w:r>
    </w:p>
    <w:p w14:paraId="10D748F2" w14:textId="77777777" w:rsidR="008E7EB1" w:rsidRPr="0058127B"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t>ICD, 11 has located DLD in the category of Chapter 6: Mental, Behavioural or Neurodevelopmental Disorders, and more precisely in neurodevelopmental disorders grouping (codes 6A006A0Z). It is a major shift from ICD, 10 perspective where these kinds of disorders came under 'specific developmental disorders of scholastic skills' (F81) as separate entities (van Elst et al., 2025). According to ICD, 11, DLD is described as persistent and severe learning difficulties to the level significantly below age peers and general intellectual capacity, and is functionally impairing (World Health Organization, 2024). The codes for subtypes are: 6A03.0 for reading impairment (commonly dyslexia), 6A03.1 for written expression, 6A03.2 for mathematics (dyscalculia), and unspecified or other patterns. Time of onset is indicated as early compulsory school phase, and symptoms should be present over a period of at least six months notwithstanding the use of effective measures that rule out intellectual disability, sensory or neurological impairments, substandard teaching, bilingualism, or psychosocial factors of a high level. Diagnosis confirmation is based on multidisciplinary procedure: testing standardised cognitive and achievement, gathering teacher and parent reports, observing behaviour, and quite thorough differential diagnosis.</w:t>
      </w:r>
    </w:p>
    <w:p w14:paraId="2E161ECB" w14:textId="77777777" w:rsidR="008E7EB1" w:rsidRPr="0058127B"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lastRenderedPageBreak/>
        <w:t>The primary term in ICD, 11 to describe different psychological problems is 'disorder, ' which shows an emphasis on the identification of clinical dysfunction as well as impairment; however, the authority guidance has a few instances where it moderates the use of the term 'condition' or 'impairment' to avoid pathologisation (van Elst et al., 2025). Diagnostic work leans heavily on standardised assessments; however, norm, referenced instruments might be a source of bias, especially in situations where local cultures differ significantly from Western cultures or are diverse and the tools do not indicate linguistic or socioeconomic variations (Magai et al., 2025).</w:t>
      </w:r>
    </w:p>
    <w:p w14:paraId="26DAC647" w14:textId="0ABBF0FC" w:rsidR="00C110DD"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t xml:space="preserve">Back in the day classification, for a large part, used to follow the lead of models from the 1960s, 1970s era when the concept of 'specific' learning disabilities was mainly based on a significant IQ, achievement discrepancy. This usually meant that the diagnosis was delayed until such discrepancies became striking and thus remedial measures were more difficult (Bateman, 1965; Wright &amp; Wright, </w:t>
      </w:r>
      <w:r w:rsidR="00B6252F">
        <w:rPr>
          <w:rFonts w:ascii="Arial" w:hAnsi="Arial" w:cs="Arial"/>
          <w:bCs/>
          <w:color w:val="000000"/>
          <w:sz w:val="22"/>
        </w:rPr>
        <w:t>2026</w:t>
      </w:r>
      <w:r w:rsidRPr="0058127B">
        <w:rPr>
          <w:rFonts w:ascii="Arial" w:hAnsi="Arial" w:cs="Arial"/>
          <w:bCs/>
          <w:color w:val="000000"/>
          <w:sz w:val="22"/>
        </w:rPr>
        <w:t xml:space="preserve">). The ICD, 10 stuck to this categorical, isolated model which in some cases led to neglecting the existence of comorbidities and the overall developmental patterns. ICD, 11 is a step forward in that it incorporates DLD into a single neurodevelopmental block along with ADHD, autism spectrum disorders, and others thus acknowledging the actual high comorbidity rates and shared atypical developmental trajectories (van Elst et al., 2025).  This movement facilitates earlier identification and comprehensive views. On the other hand, the insistence that there should be a "markedly" poor performance compared to intellectual potential has been criticised as not being backed by empirical evidence studies show that correlations between IQ and specific academic outcomes are, at best, weak or inconsistent, and as a consequence, children with average IQ but severe skill deficits or those from disadvantaged backgrounds, where factors in the environment negatively impact both achievement and measured potential, may be left out (Schulte, Krne, 2021). </w:t>
      </w:r>
    </w:p>
    <w:p w14:paraId="12CBA632" w14:textId="31F55FF2" w:rsidR="008A6D32" w:rsidRPr="0058127B" w:rsidRDefault="008E7EB1" w:rsidP="003A28AB">
      <w:pPr>
        <w:pStyle w:val="NormalWeb"/>
        <w:spacing w:line="360" w:lineRule="auto"/>
        <w:jc w:val="both"/>
        <w:rPr>
          <w:rFonts w:ascii="Arial" w:eastAsiaTheme="majorEastAsia" w:hAnsi="Arial" w:cs="Arial"/>
          <w:color w:val="000000"/>
          <w:sz w:val="22"/>
        </w:rPr>
      </w:pPr>
      <w:r w:rsidRPr="0058127B">
        <w:rPr>
          <w:rFonts w:ascii="Arial" w:hAnsi="Arial" w:cs="Arial"/>
          <w:bCs/>
          <w:color w:val="000000"/>
          <w:sz w:val="22"/>
        </w:rPr>
        <w:t>Moreover, focusing mainly on the deficits leads to a frequent overlooking of personal strengths, such as better visual, spatial processing or greater creativity in problem, solving in some subtypes, which identification through a more inclusive lens could be facilitated (Goldberg, 2023). Importantly, on the one hand, the current classification sets a new standard for the recognition of comorbidities and correspondence with cutting, edge neuroscience, on the other hand, the existence of the old elements of the discrepancy between them could still lead to the perpetuation of cultural and socioeconomic biases, the under, identification of minority groups, and the unfair distribution of support.</w:t>
      </w:r>
    </w:p>
    <w:p w14:paraId="5C814FA7" w14:textId="77777777" w:rsidR="00D14201" w:rsidRDefault="00D14201" w:rsidP="003A28AB">
      <w:pPr>
        <w:pStyle w:val="NormalWeb"/>
        <w:spacing w:line="360" w:lineRule="auto"/>
        <w:rPr>
          <w:rFonts w:ascii="Arial" w:hAnsi="Arial" w:cs="Arial"/>
          <w:b/>
          <w:bCs/>
          <w:color w:val="000000"/>
        </w:rPr>
      </w:pPr>
    </w:p>
    <w:p w14:paraId="23CCEF70" w14:textId="77777777"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lastRenderedPageBreak/>
        <w:t>Treatment and Rehabilitation:</w:t>
      </w:r>
      <w:r w:rsidRPr="008A6D32">
        <w:rPr>
          <w:rStyle w:val="apple-converted-space"/>
          <w:rFonts w:ascii="Arial" w:eastAsiaTheme="majorEastAsia" w:hAnsi="Arial" w:cs="Arial"/>
          <w:b/>
          <w:bCs/>
          <w:color w:val="000000"/>
        </w:rPr>
        <w:t> </w:t>
      </w:r>
    </w:p>
    <w:p w14:paraId="724410B3" w14:textId="77777777"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Modern treatment approaches to DLD primarily focus on specially targeted, evidence, based educational intervention. In the case of reading difficulties, structured literacy interventions which comprise phonological awareness, systematic phonics, fluency, vocabulary, and comprehension when delivered through multisensory approaches (e.g., Orton, Gillingham, inspired methods) are found to bring moderate to large effects on word, level skills, with the size of the effect quite often being from 0.5 to 1.1, however, the improvement in deeper comprehension is normally less and more unstable (Espinas et al., 2025). Mathematics interventions lay emphasis on the direct explanation of the concepts, the understanding of the procedures, and the use of problem, solving strategies. Rehabilitation is not only about remediation but it also encompasses the use of classroom accommodations such as longer time for examinations, the use of assistive technologies (e.g., text, to, speech software, speech, to, text tools), the revision of assignments, and the use of environmental supports in order to help the functional participation of the child (World Health Organization, 2024).</w:t>
      </w:r>
    </w:p>
    <w:p w14:paraId="3841A4BB" w14:textId="77777777"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On the one hand, next, generation modalities, including tele-rehabilitation and parent, involved programmes, make it possible to improve the accessibility, engagement, and self, efficacy of the users and have shown academic as well as emotional benefits that are maintained over time (Guo et al., 2025).</w:t>
      </w:r>
    </w:p>
    <w:p w14:paraId="49595D98" w14:textId="7C0EE64E"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 xml:space="preserve">Success is still inconsistent. Highly targeted, intensive, one-on-one interventions always work well to improve the specific skills that they are targeting in the short term but they have very little impact on the untrained skills and on the long, term maintenance especially if the child suffers from ADHD and other disorders. Childhood follow, up studies indicate that only 40% of children, who do not require continuous intervention, are able to achieve and maintain age, appropriate skills (Ebert, 2024). The major drawbacks of these approaches are that they are very costly in terms of resources regular sessions and the involvement of specialists mean that families who are poor, living in remote areas or are generally underserved, are excluded and there is a lack of addressing the typical emotional and motivational aspects, e.g. anxiety, low </w:t>
      </w:r>
      <w:r w:rsidR="009E06FB">
        <w:rPr>
          <w:rFonts w:ascii="Arial" w:hAnsi="Arial" w:cs="Arial"/>
          <w:bCs/>
          <w:color w:val="000000"/>
          <w:sz w:val="22"/>
        </w:rPr>
        <w:t>self, esteem, which usually co-</w:t>
      </w:r>
      <w:r w:rsidRPr="007A14F6">
        <w:rPr>
          <w:rFonts w:ascii="Arial" w:hAnsi="Arial" w:cs="Arial"/>
          <w:bCs/>
          <w:color w:val="000000"/>
          <w:sz w:val="22"/>
        </w:rPr>
        <w:t>occur and hence hamper the progress (Bachourou et al., 2024).</w:t>
      </w:r>
    </w:p>
    <w:p w14:paraId="668504A0" w14:textId="5C03FCD0" w:rsidR="008A6D32"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 xml:space="preserve">Under the ICD, 10, which followed a more categorical approach, the main idea behind the provisions was to target isolated deficits with very little focus on holistic or strengths, based components. Nowadays, neurodiversity, aware strategies that help not only to reduce barriers but also to promote inclusion are increasingly being used but still, the majority of the approaches are remediation, focused and therefore miss greater opportunities for </w:t>
      </w:r>
      <w:r w:rsidRPr="007A14F6">
        <w:rPr>
          <w:rFonts w:ascii="Arial" w:hAnsi="Arial" w:cs="Arial"/>
          <w:bCs/>
          <w:color w:val="000000"/>
          <w:sz w:val="22"/>
        </w:rPr>
        <w:lastRenderedPageBreak/>
        <w:t>strengthening resilience (Sewell, 2022). In fact, the rehabilitation section of ICD, 11 is very general and hardly refers to educational settings which contributes to inequities especially in low, and middle, income countries where evidence, based supports are limited (Magai et al., 2025). Importantly, while skill, building components of contemporary interventions appear to be effective, their defects in terms of generalisability, equity, and emotional support still leave room for more comprehensive, individual, and inclusive strategies.</w:t>
      </w:r>
    </w:p>
    <w:p w14:paraId="0D06B3CB" w14:textId="29B381BD"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Current Debates and Emerging Issues:</w:t>
      </w:r>
      <w:r w:rsidRPr="008A6D32">
        <w:rPr>
          <w:rStyle w:val="apple-converted-space"/>
          <w:rFonts w:ascii="Arial" w:eastAsiaTheme="majorEastAsia" w:hAnsi="Arial" w:cs="Arial"/>
          <w:b/>
          <w:bCs/>
          <w:color w:val="000000"/>
        </w:rPr>
        <w:t> </w:t>
      </w:r>
    </w:p>
    <w:p w14:paraId="11C39303" w14:textId="2EE5A5B5"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t xml:space="preserve">Current debates mostly focus on describing DLD as a 'disorder' that needs medical treatment or as a type of neurodivergence representing natural neurological variation. The neurodiversity paradigm sees conditions such as dyslexia or dyscalculia as natural brain differences with an associated set of capabilities such as enhanced pattern recognition, holistic thinking, or 3D visualisationrather than shortcomings that need to be 'fixed, ' therefore, it supports the idea of acceptance, accommodation, and societal adaptation rather than cure (Sewell, 2022; Caviola, 2024). ICD, 11's categorization of these issues as neurodevelopmental disorders partly agrees with this by recognizing the existence of atypical developmental patterns and a high rate of comorbidity, however, the detractors argue that continuing to use the IQ discrepancy criterion unnecessarily medicalises differences and promotes the deficit models </w:t>
      </w:r>
      <w:r w:rsidR="00CC2E5E">
        <w:rPr>
          <w:rFonts w:ascii="Arial" w:hAnsi="Arial" w:cs="Arial"/>
          <w:sz w:val="22"/>
          <w:szCs w:val="36"/>
        </w:rPr>
        <w:t>(van Elst et al., 2025; Schult-</w:t>
      </w:r>
      <w:r w:rsidRPr="007A14F6">
        <w:rPr>
          <w:rFonts w:ascii="Arial" w:hAnsi="Arial" w:cs="Arial"/>
          <w:sz w:val="22"/>
          <w:szCs w:val="36"/>
        </w:rPr>
        <w:t>K</w:t>
      </w:r>
      <w:r w:rsidR="00CC2E5E">
        <w:rPr>
          <w:rFonts w:ascii="Arial" w:hAnsi="Arial" w:cs="Arial"/>
          <w:sz w:val="22"/>
          <w:szCs w:val="36"/>
        </w:rPr>
        <w:t>o</w:t>
      </w:r>
      <w:r w:rsidRPr="007A14F6">
        <w:rPr>
          <w:rFonts w:ascii="Arial" w:hAnsi="Arial" w:cs="Arial"/>
          <w:sz w:val="22"/>
          <w:szCs w:val="36"/>
        </w:rPr>
        <w:t>rne, 2021).</w:t>
      </w:r>
    </w:p>
    <w:p w14:paraId="16EB9549" w14:textId="0BAC0EE9"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t xml:space="preserve">Appeals for reclassification lead to lifting emphasis on categorical diagnoses and favoring the response, to, intervention models or dimensional methods, which see learning difficulties as continua of severity and types of support needed rather than as binary presence/absence (Caviola, 2024). The phenomenon of increasing reported prevalence in certain areas associated with higher awareness and improved screening raises the issue of possible over, pathologisation, whereas in other areas, under, diagnosis continues due to stigma or lack of resources </w:t>
      </w:r>
      <w:r w:rsidR="0082177D">
        <w:rPr>
          <w:rFonts w:ascii="Arial" w:hAnsi="Arial" w:cs="Arial"/>
          <w:sz w:val="22"/>
          <w:szCs w:val="36"/>
        </w:rPr>
        <w:t>(Cainelli et al., 2022</w:t>
      </w:r>
      <w:r w:rsidRPr="007A14F6">
        <w:rPr>
          <w:rFonts w:ascii="Arial" w:hAnsi="Arial" w:cs="Arial"/>
          <w:sz w:val="22"/>
          <w:szCs w:val="36"/>
        </w:rPr>
        <w:t>).</w:t>
      </w:r>
    </w:p>
    <w:p w14:paraId="66CAD806" w14:textId="77777777"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t>These discussions significantly impact the work on the ground by pushing for universal screening, inclusive pedagogies, and strengths, based approaches to teaching, however, we still see policy implementation, especially in the case of mandating early intervention or providing funding in low, resource areas, lag behind (Magai et al., 2025). Neurodiversity facilitates empowerment and stigma reduction; however, if getting access to formal supports depends on 'disorder' labels, there is a risk that intensive needs may be downplayed. The main dilemma is that medical care models have to be used for service eligibility while at the same time social models that emphasize inclusion and fairness are advocated.</w:t>
      </w:r>
    </w:p>
    <w:p w14:paraId="663F265C" w14:textId="180F6D95"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lastRenderedPageBreak/>
        <w:t>Recommendations:</w:t>
      </w:r>
      <w:r w:rsidRPr="008A6D32">
        <w:rPr>
          <w:rStyle w:val="apple-converted-space"/>
          <w:rFonts w:ascii="Arial" w:eastAsiaTheme="majorEastAsia" w:hAnsi="Arial" w:cs="Arial"/>
          <w:b/>
          <w:bCs/>
          <w:color w:val="000000"/>
        </w:rPr>
        <w:t> </w:t>
      </w:r>
    </w:p>
    <w:p w14:paraId="07C95394" w14:textId="3AECBB50" w:rsidR="00475B7A"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In order to improve classification, the IQ, achievement discrepancy requirement should be scrapped and functional, impairment criteria as well as dimensional frameworks that more accurately represent variability in presentation and needs s</w:t>
      </w:r>
      <w:r w:rsidR="00C110DD">
        <w:rPr>
          <w:rFonts w:ascii="Arial" w:hAnsi="Arial" w:cs="Arial"/>
          <w:color w:val="000000"/>
          <w:sz w:val="22"/>
        </w:rPr>
        <w:t>hould be used instead (Schulte-</w:t>
      </w:r>
      <w:r w:rsidRPr="007A14F6">
        <w:rPr>
          <w:rFonts w:ascii="Arial" w:hAnsi="Arial" w:cs="Arial"/>
          <w:color w:val="000000"/>
          <w:sz w:val="22"/>
        </w:rPr>
        <w:t>K</w:t>
      </w:r>
      <w:r w:rsidR="00C110DD">
        <w:rPr>
          <w:rFonts w:ascii="Arial" w:hAnsi="Arial" w:cs="Arial"/>
          <w:color w:val="000000"/>
          <w:sz w:val="22"/>
        </w:rPr>
        <w:t>o</w:t>
      </w:r>
      <w:r w:rsidRPr="007A14F6">
        <w:rPr>
          <w:rFonts w:ascii="Arial" w:hAnsi="Arial" w:cs="Arial"/>
          <w:color w:val="000000"/>
          <w:sz w:val="22"/>
        </w:rPr>
        <w:t>rne, 2021).Diagnostic procedures should use culturally and linguistically adapted, multilingual assessment tools in combination with universal preschool screening to ensure early identification is both early and equally available (Magai et al., 2025).</w:t>
      </w:r>
    </w:p>
    <w:p w14:paraId="519819C6" w14:textId="77777777" w:rsidR="00475B7A"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Regarding treatment and rehabilitation, one should blend clear skill, focused interventions with family support, the use of assistive technology as well as strength, based components that leverage individual assets while concurrently addressing the emotional health and self, advocacy aspects (Espinas et al., 2025; Guo et al., 2025).Give precedence to comprehensive support systems that not only develop the individual's capacity to deal with difficulties but also ensure the generalisation over a longer period of time.</w:t>
      </w:r>
    </w:p>
    <w:p w14:paraId="1AECE137" w14:textId="5321A5EF" w:rsidR="008A6D32"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These recommendations are very powerful in terms of what they imply. For example, teachers in the classroom who want to work with children of all abilities need to be trained in using positive language and methods that affirm the neurodiversity of students. Besides, policies should focus on ensuring that there are globally co, financed early and accessible intervention programs especially in those areas where people are less privileged and such programs are not available. Further research aims at extending follow, up to a long period and across varied populations by testing neurodivergent, informed therapies that emphasize individuals' strengths rather than deficiencies (Sewell, 2022). These measures, if adopted, can completely change the perception of DLD from a disorder characterized mainly by deficits to the one understood within neurodiversity thus paving the way for more equitable conditions, less stigma, and better life outcomes.</w:t>
      </w:r>
    </w:p>
    <w:p w14:paraId="638D7916" w14:textId="77777777" w:rsidR="00854DFB" w:rsidRDefault="00854DFB" w:rsidP="003A28AB">
      <w:pPr>
        <w:pStyle w:val="NormalWeb"/>
        <w:spacing w:line="360" w:lineRule="auto"/>
        <w:rPr>
          <w:rFonts w:ascii="Arial" w:hAnsi="Arial" w:cs="Arial"/>
          <w:b/>
          <w:bCs/>
          <w:color w:val="000000"/>
        </w:rPr>
      </w:pPr>
    </w:p>
    <w:p w14:paraId="3AA4947E" w14:textId="77777777" w:rsidR="00854DFB" w:rsidRDefault="00854DFB" w:rsidP="003A28AB">
      <w:pPr>
        <w:pStyle w:val="NormalWeb"/>
        <w:spacing w:line="360" w:lineRule="auto"/>
        <w:rPr>
          <w:rFonts w:ascii="Arial" w:hAnsi="Arial" w:cs="Arial"/>
          <w:b/>
          <w:bCs/>
          <w:color w:val="000000"/>
        </w:rPr>
      </w:pPr>
    </w:p>
    <w:p w14:paraId="2425D8FE" w14:textId="77777777" w:rsidR="00854DFB" w:rsidRDefault="00854DFB" w:rsidP="003A28AB">
      <w:pPr>
        <w:pStyle w:val="NormalWeb"/>
        <w:spacing w:line="360" w:lineRule="auto"/>
        <w:rPr>
          <w:rFonts w:ascii="Arial" w:hAnsi="Arial" w:cs="Arial"/>
          <w:b/>
          <w:bCs/>
          <w:color w:val="000000"/>
        </w:rPr>
      </w:pPr>
    </w:p>
    <w:p w14:paraId="03F0F5EE" w14:textId="77777777" w:rsidR="00854DFB" w:rsidRDefault="00854DFB" w:rsidP="003A28AB">
      <w:pPr>
        <w:pStyle w:val="NormalWeb"/>
        <w:spacing w:line="360" w:lineRule="auto"/>
        <w:rPr>
          <w:rFonts w:ascii="Arial" w:hAnsi="Arial" w:cs="Arial"/>
          <w:b/>
          <w:bCs/>
          <w:color w:val="000000"/>
        </w:rPr>
      </w:pPr>
    </w:p>
    <w:p w14:paraId="6FEFE263" w14:textId="77777777" w:rsidR="00854DFB" w:rsidRDefault="00854DFB" w:rsidP="003A28AB">
      <w:pPr>
        <w:pStyle w:val="NormalWeb"/>
        <w:spacing w:line="360" w:lineRule="auto"/>
        <w:rPr>
          <w:rFonts w:ascii="Arial" w:hAnsi="Arial" w:cs="Arial"/>
          <w:b/>
          <w:bCs/>
          <w:color w:val="000000"/>
        </w:rPr>
      </w:pPr>
    </w:p>
    <w:p w14:paraId="75C42BB4" w14:textId="4E17539F"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lastRenderedPageBreak/>
        <w:t>Conclusion</w:t>
      </w:r>
    </w:p>
    <w:p w14:paraId="0112B02E" w14:textId="77777777" w:rsidR="008625E3" w:rsidRPr="007A14F6" w:rsidRDefault="008625E3" w:rsidP="003A28AB">
      <w:pPr>
        <w:pStyle w:val="NormalWeb"/>
        <w:spacing w:line="360" w:lineRule="auto"/>
        <w:jc w:val="both"/>
        <w:rPr>
          <w:rFonts w:ascii="Arial" w:hAnsi="Arial" w:cs="Arial"/>
          <w:color w:val="000000"/>
          <w:sz w:val="22"/>
        </w:rPr>
      </w:pPr>
      <w:r w:rsidRPr="007A14F6">
        <w:rPr>
          <w:rFonts w:ascii="Arial" w:hAnsi="Arial" w:cs="Arial"/>
          <w:color w:val="000000"/>
          <w:sz w:val="22"/>
        </w:rPr>
        <w:t>By associating DLD with neurodevelopmental disorders, ICD, 11 has taken a big step forward in the classification of DLD leaving aside the older version ICD, 10 that was a bit fragmented and more discrepancy dependent and it also has a limited scope in terms of handling comorbidities and the complexity of development. However, the current edition still keeps some of the elements from the past and feature a deficit, centered description that limits its capability to facilitate support in a non-biased, strength, oriented manner. Classification, diagnosis, treatment, and policymaking empowered by the proposed recommendations to embrace the neurodiversity framework can progress to inclusive, effective service provisions that recognize personal differences and allow individuals to flourish.</w:t>
      </w:r>
    </w:p>
    <w:p w14:paraId="0124F931" w14:textId="77777777" w:rsidR="00854DFB" w:rsidRDefault="00854DFB" w:rsidP="008A6D32">
      <w:pPr>
        <w:pStyle w:val="NormalWeb"/>
        <w:rPr>
          <w:rFonts w:ascii="Arial" w:hAnsi="Arial" w:cs="Arial"/>
          <w:b/>
          <w:bCs/>
          <w:color w:val="000000"/>
        </w:rPr>
      </w:pPr>
    </w:p>
    <w:p w14:paraId="464E4062" w14:textId="156927DA" w:rsidR="008A6D32" w:rsidRPr="008A6D32" w:rsidRDefault="008A6D32" w:rsidP="008A6D32">
      <w:pPr>
        <w:pStyle w:val="NormalWeb"/>
        <w:rPr>
          <w:rFonts w:ascii="Arial" w:hAnsi="Arial" w:cs="Arial"/>
          <w:b/>
          <w:bCs/>
          <w:color w:val="000000"/>
        </w:rPr>
      </w:pPr>
      <w:r w:rsidRPr="008A6D32">
        <w:rPr>
          <w:rFonts w:ascii="Arial" w:hAnsi="Arial" w:cs="Arial"/>
          <w:b/>
          <w:bCs/>
          <w:color w:val="000000"/>
        </w:rPr>
        <w:t xml:space="preserve">References </w:t>
      </w:r>
    </w:p>
    <w:p w14:paraId="2CC7899F"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Bachourou, T.,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2024. Cognitive vs. linguistic training in children with developmental language disorder. </w:t>
      </w:r>
      <w:r w:rsidRPr="00A40E19">
        <w:rPr>
          <w:rFonts w:ascii="Arial" w:eastAsia="Times New Roman" w:hAnsi="Arial" w:cs="Arial"/>
          <w:i/>
          <w:iCs/>
          <w:kern w:val="0"/>
          <w:sz w:val="22"/>
          <w:lang w:val="en-US"/>
          <w14:ligatures w14:val="none"/>
        </w:rPr>
        <w:t>Brain Sciences</w:t>
      </w:r>
      <w:r w:rsidRPr="00D14201">
        <w:rPr>
          <w:rFonts w:ascii="Arial" w:eastAsia="Times New Roman" w:hAnsi="Arial" w:cs="Arial"/>
          <w:kern w:val="0"/>
          <w:sz w:val="22"/>
          <w:lang w:val="en-US"/>
          <w14:ligatures w14:val="none"/>
        </w:rPr>
        <w:t>, 14(6), p.580.</w:t>
      </w:r>
    </w:p>
    <w:p w14:paraId="7DF76B54"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Cainelli, E.,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2022. Neurodevelopmental disorders: past, present, and future. </w:t>
      </w:r>
      <w:r w:rsidRPr="00A40E19">
        <w:rPr>
          <w:rFonts w:ascii="Arial" w:eastAsia="Times New Roman" w:hAnsi="Arial" w:cs="Arial"/>
          <w:i/>
          <w:iCs/>
          <w:kern w:val="0"/>
          <w:sz w:val="22"/>
          <w:lang w:val="en-US"/>
          <w14:ligatures w14:val="none"/>
        </w:rPr>
        <w:t>Children</w:t>
      </w:r>
      <w:r w:rsidRPr="00D14201">
        <w:rPr>
          <w:rFonts w:ascii="Arial" w:eastAsia="Times New Roman" w:hAnsi="Arial" w:cs="Arial"/>
          <w:kern w:val="0"/>
          <w:sz w:val="22"/>
          <w:lang w:val="en-US"/>
          <w14:ligatures w14:val="none"/>
        </w:rPr>
        <w:t>, 10(1), p.31.</w:t>
      </w:r>
    </w:p>
    <w:p w14:paraId="17DD7C2A"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Caviola, S., 2024. Learning disorders and difficulties: from a categorical to a dimensional perspective. </w:t>
      </w:r>
      <w:r w:rsidRPr="00A40E19">
        <w:rPr>
          <w:rFonts w:ascii="Arial" w:eastAsia="Times New Roman" w:hAnsi="Arial" w:cs="Arial"/>
          <w:i/>
          <w:iCs/>
          <w:kern w:val="0"/>
          <w:sz w:val="22"/>
          <w:lang w:val="en-US"/>
          <w14:ligatures w14:val="none"/>
        </w:rPr>
        <w:t>New Ideas in Psychology</w:t>
      </w:r>
      <w:r w:rsidRPr="00D14201">
        <w:rPr>
          <w:rFonts w:ascii="Arial" w:eastAsia="Times New Roman" w:hAnsi="Arial" w:cs="Arial"/>
          <w:kern w:val="0"/>
          <w:sz w:val="22"/>
          <w:lang w:val="en-US"/>
          <w14:ligatures w14:val="none"/>
        </w:rPr>
        <w:t>, 73, 101083.</w:t>
      </w:r>
    </w:p>
    <w:p w14:paraId="26F11A78"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Ebert, K.D., 2024. Individual predictors of language treatment response in children with developmental language disorder. </w:t>
      </w:r>
      <w:r w:rsidRPr="00A40E19">
        <w:rPr>
          <w:rFonts w:ascii="Arial" w:eastAsia="Times New Roman" w:hAnsi="Arial" w:cs="Arial"/>
          <w:i/>
          <w:iCs/>
          <w:kern w:val="0"/>
          <w:sz w:val="22"/>
          <w:lang w:val="en-US"/>
          <w14:ligatures w14:val="none"/>
        </w:rPr>
        <w:t>Journal of Speech, Language, and Hearing Research</w:t>
      </w:r>
      <w:r w:rsidRPr="00D14201">
        <w:rPr>
          <w:rFonts w:ascii="Arial" w:eastAsia="Times New Roman" w:hAnsi="Arial" w:cs="Arial"/>
          <w:kern w:val="0"/>
          <w:sz w:val="22"/>
          <w:lang w:val="en-US"/>
          <w14:ligatures w14:val="none"/>
        </w:rPr>
        <w:t>, 67(1), pp.1–15.</w:t>
      </w:r>
    </w:p>
    <w:p w14:paraId="0A9144D0"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Espinas, D.R.,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Interventions for children and adolescents with specific learning disability and co-occurring disorders. </w:t>
      </w:r>
      <w:r w:rsidRPr="00A40E19">
        <w:rPr>
          <w:rFonts w:ascii="Arial" w:eastAsia="Times New Roman" w:hAnsi="Arial" w:cs="Arial"/>
          <w:i/>
          <w:iCs/>
          <w:kern w:val="0"/>
          <w:sz w:val="22"/>
          <w:lang w:val="en-US"/>
          <w14:ligatures w14:val="none"/>
        </w:rPr>
        <w:t>Child Development Perspectives</w:t>
      </w:r>
      <w:r w:rsidRPr="00D14201">
        <w:rPr>
          <w:rFonts w:ascii="Arial" w:eastAsia="Times New Roman" w:hAnsi="Arial" w:cs="Arial"/>
          <w:kern w:val="0"/>
          <w:sz w:val="22"/>
          <w:lang w:val="en-US"/>
          <w14:ligatures w14:val="none"/>
        </w:rPr>
        <w:t>, 19(1), pp.1–8.</w:t>
      </w:r>
    </w:p>
    <w:p w14:paraId="0209A387"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Goldberg, H., 2023. Unraveling neurodiversity: insights from neuroscientific perspectives. </w:t>
      </w:r>
      <w:r w:rsidRPr="00A40E19">
        <w:rPr>
          <w:rFonts w:ascii="Arial" w:eastAsia="Times New Roman" w:hAnsi="Arial" w:cs="Arial"/>
          <w:i/>
          <w:iCs/>
          <w:kern w:val="0"/>
          <w:sz w:val="22"/>
          <w:lang w:val="en-US"/>
          <w14:ligatures w14:val="none"/>
        </w:rPr>
        <w:t>Encyclopedia</w:t>
      </w:r>
      <w:r w:rsidRPr="00D14201">
        <w:rPr>
          <w:rFonts w:ascii="Arial" w:eastAsia="Times New Roman" w:hAnsi="Arial" w:cs="Arial"/>
          <w:kern w:val="0"/>
          <w:sz w:val="22"/>
          <w:lang w:val="en-US"/>
          <w14:ligatures w14:val="none"/>
        </w:rPr>
        <w:t>, 3(3), pp.70–85.</w:t>
      </w:r>
    </w:p>
    <w:p w14:paraId="46D31BDA"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Guo, L.,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A systematic review of studies with parent-involved interventions for children with specific learning disabilities. </w:t>
      </w:r>
      <w:r w:rsidRPr="00A40E19">
        <w:rPr>
          <w:rFonts w:ascii="Arial" w:eastAsia="Times New Roman" w:hAnsi="Arial" w:cs="Arial"/>
          <w:i/>
          <w:iCs/>
          <w:kern w:val="0"/>
          <w:sz w:val="22"/>
          <w:lang w:val="en-US"/>
          <w14:ligatures w14:val="none"/>
        </w:rPr>
        <w:t>European Journal of Special Needs Education</w:t>
      </w:r>
      <w:r w:rsidRPr="00D14201">
        <w:rPr>
          <w:rFonts w:ascii="Arial" w:eastAsia="Times New Roman" w:hAnsi="Arial" w:cs="Arial"/>
          <w:kern w:val="0"/>
          <w:sz w:val="22"/>
          <w:lang w:val="en-US"/>
          <w14:ligatures w14:val="none"/>
        </w:rPr>
        <w:t>, 40(1), pp.1–20.</w:t>
      </w:r>
    </w:p>
    <w:p w14:paraId="2BE061AD"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lastRenderedPageBreak/>
        <w:t xml:space="preserve">Magai, D.N.,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Scoping review of evidence-based practice guidelines for the evaluation and care of young children with developmental disabilities in LMIC settings. </w:t>
      </w:r>
      <w:r w:rsidRPr="00A40E19">
        <w:rPr>
          <w:rFonts w:ascii="Arial" w:eastAsia="Times New Roman" w:hAnsi="Arial" w:cs="Arial"/>
          <w:i/>
          <w:iCs/>
          <w:kern w:val="0"/>
          <w:sz w:val="22"/>
          <w:lang w:val="en-US"/>
          <w14:ligatures w14:val="none"/>
        </w:rPr>
        <w:t>BMJ Paediatrics Open</w:t>
      </w:r>
      <w:r w:rsidRPr="00D14201">
        <w:rPr>
          <w:rFonts w:ascii="Arial" w:eastAsia="Times New Roman" w:hAnsi="Arial" w:cs="Arial"/>
          <w:kern w:val="0"/>
          <w:sz w:val="22"/>
          <w:lang w:val="en-US"/>
          <w14:ligatures w14:val="none"/>
        </w:rPr>
        <w:t>, 9(1), e003571.</w:t>
      </w:r>
    </w:p>
    <w:p w14:paraId="5A0FEE68"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Schulte-Körne, G., 2021. Missed opportunities: the new ICD-11 diagnostic guidelines for reading, spelling and calculation disorders. </w:t>
      </w:r>
      <w:r w:rsidRPr="00A40E19">
        <w:rPr>
          <w:rFonts w:ascii="Arial" w:eastAsia="Times New Roman" w:hAnsi="Arial" w:cs="Arial"/>
          <w:i/>
          <w:iCs/>
          <w:kern w:val="0"/>
          <w:sz w:val="22"/>
          <w:lang w:val="en-US"/>
          <w14:ligatures w14:val="none"/>
        </w:rPr>
        <w:t>Zeitschrift für Kinder- und Jugendpsychiatrie und Psychotherapie</w:t>
      </w:r>
      <w:r w:rsidRPr="00D14201">
        <w:rPr>
          <w:rFonts w:ascii="Arial" w:eastAsia="Times New Roman" w:hAnsi="Arial" w:cs="Arial"/>
          <w:kern w:val="0"/>
          <w:sz w:val="22"/>
          <w:lang w:val="en-US"/>
          <w14:ligatures w14:val="none"/>
        </w:rPr>
        <w:t>, 49(2), pp.83–88.</w:t>
      </w:r>
    </w:p>
    <w:p w14:paraId="3039ED57"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Sewell, A., 2022. Understanding and supporting learners with specific learning difficulties from a neurodiversity perspective: a narrative synthesis. </w:t>
      </w:r>
      <w:r w:rsidRPr="00A40E19">
        <w:rPr>
          <w:rFonts w:ascii="Arial" w:eastAsia="Times New Roman" w:hAnsi="Arial" w:cs="Arial"/>
          <w:i/>
          <w:iCs/>
          <w:kern w:val="0"/>
          <w:sz w:val="22"/>
          <w:lang w:val="en-US"/>
          <w14:ligatures w14:val="none"/>
        </w:rPr>
        <w:t>British Journal of Special Education</w:t>
      </w:r>
      <w:r w:rsidRPr="00D14201">
        <w:rPr>
          <w:rFonts w:ascii="Arial" w:eastAsia="Times New Roman" w:hAnsi="Arial" w:cs="Arial"/>
          <w:kern w:val="0"/>
          <w:sz w:val="22"/>
          <w:lang w:val="en-US"/>
          <w14:ligatures w14:val="none"/>
        </w:rPr>
        <w:t>, 49(3), pp.1–15.</w:t>
      </w:r>
    </w:p>
    <w:p w14:paraId="3952E91D"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van Elst, L.T.,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The reclassification of neurodevelopmental disorders in ICD-11. </w:t>
      </w:r>
      <w:r w:rsidRPr="00A40E19">
        <w:rPr>
          <w:rFonts w:ascii="Arial" w:eastAsia="Times New Roman" w:hAnsi="Arial" w:cs="Arial"/>
          <w:i/>
          <w:iCs/>
          <w:kern w:val="0"/>
          <w:sz w:val="22"/>
          <w:lang w:val="en-US"/>
          <w14:ligatures w14:val="none"/>
        </w:rPr>
        <w:t>World Psychiatry</w:t>
      </w:r>
      <w:r w:rsidRPr="00D14201">
        <w:rPr>
          <w:rFonts w:ascii="Arial" w:eastAsia="Times New Roman" w:hAnsi="Arial" w:cs="Arial"/>
          <w:kern w:val="0"/>
          <w:sz w:val="22"/>
          <w:lang w:val="en-US"/>
          <w14:ligatures w14:val="none"/>
        </w:rPr>
        <w:t>, 24(1), pp.1–10.</w:t>
      </w:r>
    </w:p>
    <w:p w14:paraId="3CC5D474"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World Health Organization, 2024. </w:t>
      </w:r>
      <w:r w:rsidRPr="00A40E19">
        <w:rPr>
          <w:rFonts w:ascii="Arial" w:eastAsia="Times New Roman" w:hAnsi="Arial" w:cs="Arial"/>
          <w:i/>
          <w:iCs/>
          <w:kern w:val="0"/>
          <w:sz w:val="22"/>
          <w:lang w:val="en-US"/>
          <w14:ligatures w14:val="none"/>
        </w:rPr>
        <w:t>Clinical descriptions and diagnostic requirements for ICD-11 mental, behavioural and neurodevelopmental disorders</w:t>
      </w:r>
      <w:r w:rsidRPr="00D14201">
        <w:rPr>
          <w:rFonts w:ascii="Arial" w:eastAsia="Times New Roman" w:hAnsi="Arial" w:cs="Arial"/>
          <w:kern w:val="0"/>
          <w:sz w:val="22"/>
          <w:lang w:val="en-US"/>
          <w14:ligatures w14:val="none"/>
        </w:rPr>
        <w:t>. Geneva: WHO.</w:t>
      </w:r>
    </w:p>
    <w:p w14:paraId="0C743498" w14:textId="0CAEC57E" w:rsidR="00D14201" w:rsidRPr="00D14201" w:rsidRDefault="00120A4D"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Pr>
          <w:rFonts w:ascii="Arial" w:eastAsia="Times New Roman" w:hAnsi="Arial" w:cs="Arial"/>
          <w:kern w:val="0"/>
          <w:sz w:val="22"/>
          <w:lang w:val="en-US"/>
          <w14:ligatures w14:val="none"/>
        </w:rPr>
        <w:t>Wright, P. and Wright, P., 2026.</w:t>
      </w:r>
      <w:r w:rsidR="00D14201" w:rsidRPr="00D14201">
        <w:rPr>
          <w:rFonts w:ascii="Arial" w:eastAsia="Times New Roman" w:hAnsi="Arial" w:cs="Arial"/>
          <w:kern w:val="0"/>
          <w:sz w:val="22"/>
          <w:lang w:val="en-US"/>
          <w14:ligatures w14:val="none"/>
        </w:rPr>
        <w:t xml:space="preserve"> Specific learning disabilities: discrepancy &amp; response to intervention models. </w:t>
      </w:r>
      <w:r w:rsidR="00D14201" w:rsidRPr="00A40E19">
        <w:rPr>
          <w:rFonts w:ascii="Arial" w:eastAsia="Times New Roman" w:hAnsi="Arial" w:cs="Arial"/>
          <w:i/>
          <w:iCs/>
          <w:kern w:val="0"/>
          <w:sz w:val="22"/>
          <w:lang w:val="en-US"/>
          <w14:ligatures w14:val="none"/>
        </w:rPr>
        <w:t>Wrightslaw</w:t>
      </w:r>
      <w:r w:rsidR="00D14201" w:rsidRPr="00D14201">
        <w:rPr>
          <w:rFonts w:ascii="Arial" w:eastAsia="Times New Roman" w:hAnsi="Arial" w:cs="Arial"/>
          <w:kern w:val="0"/>
          <w:sz w:val="22"/>
          <w:lang w:val="en-US"/>
          <w14:ligatures w14:val="none"/>
        </w:rPr>
        <w:t xml:space="preserve">. Available at: </w:t>
      </w:r>
      <w:hyperlink r:id="rId8" w:tgtFrame="_new" w:history="1">
        <w:r w:rsidR="00D14201" w:rsidRPr="00A40E19">
          <w:rPr>
            <w:rFonts w:ascii="Arial" w:eastAsia="Times New Roman" w:hAnsi="Arial" w:cs="Arial"/>
            <w:color w:val="0000FF"/>
            <w:kern w:val="0"/>
            <w:sz w:val="22"/>
            <w:u w:val="single"/>
            <w:lang w:val="en-US"/>
            <w14:ligatures w14:val="none"/>
          </w:rPr>
          <w:t>https://www.wrightslaw.com/idea/art/ld.rti.discrep.htm</w:t>
        </w:r>
      </w:hyperlink>
      <w:r w:rsidR="00D14201" w:rsidRPr="00D14201">
        <w:rPr>
          <w:rFonts w:ascii="Arial" w:eastAsia="Times New Roman" w:hAnsi="Arial" w:cs="Arial"/>
          <w:kern w:val="0"/>
          <w:sz w:val="22"/>
          <w:lang w:val="en-US"/>
          <w14:ligatures w14:val="none"/>
        </w:rPr>
        <w:t xml:space="preserve"> (Accessed: February 2026).</w:t>
      </w:r>
    </w:p>
    <w:p w14:paraId="569E0B4A" w14:textId="77777777" w:rsidR="00FA0332" w:rsidRDefault="00FA0332" w:rsidP="000264A1">
      <w:pPr>
        <w:rPr>
          <w:rFonts w:ascii="Arial" w:hAnsi="Arial" w:cs="Arial"/>
          <w:b/>
          <w:bCs/>
          <w:sz w:val="20"/>
          <w:szCs w:val="36"/>
        </w:rPr>
      </w:pPr>
    </w:p>
    <w:p w14:paraId="0EA0F85F" w14:textId="17228720" w:rsidR="004F33AA" w:rsidRPr="00CF72C6" w:rsidRDefault="004F33AA" w:rsidP="0090789B">
      <w:pPr>
        <w:jc w:val="both"/>
        <w:rPr>
          <w:rFonts w:ascii="Arial" w:hAnsi="Arial" w:cs="Arial"/>
          <w:b/>
          <w:sz w:val="20"/>
          <w:szCs w:val="36"/>
        </w:rPr>
      </w:pPr>
    </w:p>
    <w:sectPr w:rsidR="004F33AA" w:rsidRPr="00CF72C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06905" w14:textId="77777777" w:rsidR="006B5E53" w:rsidRDefault="006B5E53" w:rsidP="000264A1">
      <w:pPr>
        <w:spacing w:after="0" w:line="240" w:lineRule="auto"/>
      </w:pPr>
      <w:r>
        <w:separator/>
      </w:r>
    </w:p>
  </w:endnote>
  <w:endnote w:type="continuationSeparator" w:id="0">
    <w:p w14:paraId="5C8B8C59" w14:textId="77777777" w:rsidR="006B5E53" w:rsidRDefault="006B5E53"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57134">
          <w:rPr>
            <w:rStyle w:val="PageNumber"/>
            <w:noProof/>
          </w:rPr>
          <w:t>5</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017AE" w14:textId="77777777" w:rsidR="006B5E53" w:rsidRDefault="006B5E53" w:rsidP="000264A1">
      <w:pPr>
        <w:spacing w:after="0" w:line="240" w:lineRule="auto"/>
      </w:pPr>
      <w:r>
        <w:separator/>
      </w:r>
    </w:p>
  </w:footnote>
  <w:footnote w:type="continuationSeparator" w:id="0">
    <w:p w14:paraId="4965AE34" w14:textId="77777777" w:rsidR="006B5E53" w:rsidRDefault="006B5E53"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32944"/>
    <w:multiLevelType w:val="hybridMultilevel"/>
    <w:tmpl w:val="7AFECFBC"/>
    <w:lvl w:ilvl="0" w:tplc="F44EF014">
      <w:start w:val="1"/>
      <w:numFmt w:val="bullet"/>
      <w:lvlText w:val="•"/>
      <w:lvlJc w:val="left"/>
      <w:pPr>
        <w:tabs>
          <w:tab w:val="num" w:pos="720"/>
        </w:tabs>
        <w:ind w:left="720" w:hanging="360"/>
      </w:pPr>
      <w:rPr>
        <w:rFonts w:ascii="Arial" w:hAnsi="Arial" w:hint="default"/>
      </w:rPr>
    </w:lvl>
    <w:lvl w:ilvl="1" w:tplc="F03CC6DE" w:tentative="1">
      <w:start w:val="1"/>
      <w:numFmt w:val="bullet"/>
      <w:lvlText w:val="•"/>
      <w:lvlJc w:val="left"/>
      <w:pPr>
        <w:tabs>
          <w:tab w:val="num" w:pos="1440"/>
        </w:tabs>
        <w:ind w:left="1440" w:hanging="360"/>
      </w:pPr>
      <w:rPr>
        <w:rFonts w:ascii="Arial" w:hAnsi="Arial" w:hint="default"/>
      </w:rPr>
    </w:lvl>
    <w:lvl w:ilvl="2" w:tplc="CE02C644" w:tentative="1">
      <w:start w:val="1"/>
      <w:numFmt w:val="bullet"/>
      <w:lvlText w:val="•"/>
      <w:lvlJc w:val="left"/>
      <w:pPr>
        <w:tabs>
          <w:tab w:val="num" w:pos="2160"/>
        </w:tabs>
        <w:ind w:left="2160" w:hanging="360"/>
      </w:pPr>
      <w:rPr>
        <w:rFonts w:ascii="Arial" w:hAnsi="Arial" w:hint="default"/>
      </w:rPr>
    </w:lvl>
    <w:lvl w:ilvl="3" w:tplc="A37C6028" w:tentative="1">
      <w:start w:val="1"/>
      <w:numFmt w:val="bullet"/>
      <w:lvlText w:val="•"/>
      <w:lvlJc w:val="left"/>
      <w:pPr>
        <w:tabs>
          <w:tab w:val="num" w:pos="2880"/>
        </w:tabs>
        <w:ind w:left="2880" w:hanging="360"/>
      </w:pPr>
      <w:rPr>
        <w:rFonts w:ascii="Arial" w:hAnsi="Arial" w:hint="default"/>
      </w:rPr>
    </w:lvl>
    <w:lvl w:ilvl="4" w:tplc="747676B4" w:tentative="1">
      <w:start w:val="1"/>
      <w:numFmt w:val="bullet"/>
      <w:lvlText w:val="•"/>
      <w:lvlJc w:val="left"/>
      <w:pPr>
        <w:tabs>
          <w:tab w:val="num" w:pos="3600"/>
        </w:tabs>
        <w:ind w:left="3600" w:hanging="360"/>
      </w:pPr>
      <w:rPr>
        <w:rFonts w:ascii="Arial" w:hAnsi="Arial" w:hint="default"/>
      </w:rPr>
    </w:lvl>
    <w:lvl w:ilvl="5" w:tplc="60C85E14" w:tentative="1">
      <w:start w:val="1"/>
      <w:numFmt w:val="bullet"/>
      <w:lvlText w:val="•"/>
      <w:lvlJc w:val="left"/>
      <w:pPr>
        <w:tabs>
          <w:tab w:val="num" w:pos="4320"/>
        </w:tabs>
        <w:ind w:left="4320" w:hanging="360"/>
      </w:pPr>
      <w:rPr>
        <w:rFonts w:ascii="Arial" w:hAnsi="Arial" w:hint="default"/>
      </w:rPr>
    </w:lvl>
    <w:lvl w:ilvl="6" w:tplc="945277C2" w:tentative="1">
      <w:start w:val="1"/>
      <w:numFmt w:val="bullet"/>
      <w:lvlText w:val="•"/>
      <w:lvlJc w:val="left"/>
      <w:pPr>
        <w:tabs>
          <w:tab w:val="num" w:pos="5040"/>
        </w:tabs>
        <w:ind w:left="5040" w:hanging="360"/>
      </w:pPr>
      <w:rPr>
        <w:rFonts w:ascii="Arial" w:hAnsi="Arial" w:hint="default"/>
      </w:rPr>
    </w:lvl>
    <w:lvl w:ilvl="7" w:tplc="F20EA242" w:tentative="1">
      <w:start w:val="1"/>
      <w:numFmt w:val="bullet"/>
      <w:lvlText w:val="•"/>
      <w:lvlJc w:val="left"/>
      <w:pPr>
        <w:tabs>
          <w:tab w:val="num" w:pos="5760"/>
        </w:tabs>
        <w:ind w:left="5760" w:hanging="360"/>
      </w:pPr>
      <w:rPr>
        <w:rFonts w:ascii="Arial" w:hAnsi="Arial" w:hint="default"/>
      </w:rPr>
    </w:lvl>
    <w:lvl w:ilvl="8" w:tplc="501805B4" w:tentative="1">
      <w:start w:val="1"/>
      <w:numFmt w:val="bullet"/>
      <w:lvlText w:val="•"/>
      <w:lvlJc w:val="left"/>
      <w:pPr>
        <w:tabs>
          <w:tab w:val="num" w:pos="6480"/>
        </w:tabs>
        <w:ind w:left="6480" w:hanging="360"/>
      </w:pPr>
      <w:rPr>
        <w:rFonts w:ascii="Arial" w:hAnsi="Arial" w:hint="default"/>
      </w:rPr>
    </w:lvl>
  </w:abstractNum>
  <w:num w:numId="1" w16cid:durableId="62534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A1"/>
    <w:rsid w:val="000264A1"/>
    <w:rsid w:val="00060FB4"/>
    <w:rsid w:val="00066FEA"/>
    <w:rsid w:val="00096C5C"/>
    <w:rsid w:val="00097D59"/>
    <w:rsid w:val="000D2B3D"/>
    <w:rsid w:val="000D6AD5"/>
    <w:rsid w:val="00120A4D"/>
    <w:rsid w:val="00127B2B"/>
    <w:rsid w:val="00222ED8"/>
    <w:rsid w:val="002A3FAE"/>
    <w:rsid w:val="002D281D"/>
    <w:rsid w:val="003620C0"/>
    <w:rsid w:val="003839DF"/>
    <w:rsid w:val="003A28AB"/>
    <w:rsid w:val="003C11F5"/>
    <w:rsid w:val="003F52EB"/>
    <w:rsid w:val="0041718B"/>
    <w:rsid w:val="00475B7A"/>
    <w:rsid w:val="004B0DC9"/>
    <w:rsid w:val="004F33AA"/>
    <w:rsid w:val="00556503"/>
    <w:rsid w:val="005776A0"/>
    <w:rsid w:val="0058127B"/>
    <w:rsid w:val="005B3D07"/>
    <w:rsid w:val="005C1DCD"/>
    <w:rsid w:val="00637171"/>
    <w:rsid w:val="006A131D"/>
    <w:rsid w:val="006B5E53"/>
    <w:rsid w:val="006C477D"/>
    <w:rsid w:val="00722ABC"/>
    <w:rsid w:val="00772F7E"/>
    <w:rsid w:val="007A14F6"/>
    <w:rsid w:val="0082177D"/>
    <w:rsid w:val="00843325"/>
    <w:rsid w:val="00854DFB"/>
    <w:rsid w:val="008625E3"/>
    <w:rsid w:val="008A6D32"/>
    <w:rsid w:val="008C6A72"/>
    <w:rsid w:val="008E0C95"/>
    <w:rsid w:val="008E7EB1"/>
    <w:rsid w:val="0090789B"/>
    <w:rsid w:val="00957134"/>
    <w:rsid w:val="009E06FB"/>
    <w:rsid w:val="009F4C0A"/>
    <w:rsid w:val="00A40E19"/>
    <w:rsid w:val="00AB5675"/>
    <w:rsid w:val="00AC1950"/>
    <w:rsid w:val="00AE67C5"/>
    <w:rsid w:val="00B36C5A"/>
    <w:rsid w:val="00B6252F"/>
    <w:rsid w:val="00B67FA5"/>
    <w:rsid w:val="00B85CF8"/>
    <w:rsid w:val="00C03533"/>
    <w:rsid w:val="00C110DD"/>
    <w:rsid w:val="00C3190A"/>
    <w:rsid w:val="00CC2B3C"/>
    <w:rsid w:val="00CC2E5E"/>
    <w:rsid w:val="00CD2178"/>
    <w:rsid w:val="00CF72C6"/>
    <w:rsid w:val="00D14201"/>
    <w:rsid w:val="00D2743F"/>
    <w:rsid w:val="00D91CCC"/>
    <w:rsid w:val="00DE156B"/>
    <w:rsid w:val="00E941A2"/>
    <w:rsid w:val="00EB72D4"/>
    <w:rsid w:val="00EC18B4"/>
    <w:rsid w:val="00F46D62"/>
    <w:rsid w:val="00F8260F"/>
    <w:rsid w:val="00FA0332"/>
    <w:rsid w:val="00FA2583"/>
    <w:rsid w:val="00FD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basedOn w:val="DefaultParagraphFont"/>
    <w:uiPriority w:val="20"/>
    <w:qFormat/>
    <w:rsid w:val="00D91CCC"/>
    <w:rPr>
      <w:i/>
      <w:iCs/>
    </w:rPr>
  </w:style>
  <w:style w:type="character" w:styleId="Hyperlink">
    <w:name w:val="Hyperlink"/>
    <w:basedOn w:val="DefaultParagraphFont"/>
    <w:uiPriority w:val="99"/>
    <w:semiHidden/>
    <w:unhideWhenUsed/>
    <w:rsid w:val="00D91C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699356261">
      <w:bodyDiv w:val="1"/>
      <w:marLeft w:val="0"/>
      <w:marRight w:val="0"/>
      <w:marTop w:val="0"/>
      <w:marBottom w:val="0"/>
      <w:divBdr>
        <w:top w:val="none" w:sz="0" w:space="0" w:color="auto"/>
        <w:left w:val="none" w:sz="0" w:space="0" w:color="auto"/>
        <w:bottom w:val="none" w:sz="0" w:space="0" w:color="auto"/>
        <w:right w:val="none" w:sz="0" w:space="0" w:color="auto"/>
      </w:divBdr>
    </w:div>
    <w:div w:id="1578782451">
      <w:bodyDiv w:val="1"/>
      <w:marLeft w:val="0"/>
      <w:marRight w:val="0"/>
      <w:marTop w:val="0"/>
      <w:marBottom w:val="0"/>
      <w:divBdr>
        <w:top w:val="none" w:sz="0" w:space="0" w:color="auto"/>
        <w:left w:val="none" w:sz="0" w:space="0" w:color="auto"/>
        <w:bottom w:val="none" w:sz="0" w:space="0" w:color="auto"/>
        <w:right w:val="none" w:sz="0" w:space="0" w:color="auto"/>
      </w:divBdr>
    </w:div>
    <w:div w:id="159508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ightslaw.com/idea/art/ld.rti.discrep.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Mary O Osamudiamen Leigh</cp:lastModifiedBy>
  <cp:revision>3</cp:revision>
  <dcterms:created xsi:type="dcterms:W3CDTF">2026-04-22T06:26:00Z</dcterms:created>
  <dcterms:modified xsi:type="dcterms:W3CDTF">2026-04-22T06:28:00Z</dcterms:modified>
</cp:coreProperties>
</file>