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40287" w14:textId="765F961B" w:rsidR="001E1C5B" w:rsidRDefault="001E1C5B" w:rsidP="001E1C5B">
      <w:pPr>
        <w:jc w:val="right"/>
        <w:rPr>
          <w:rFonts w:ascii="Times New Roman" w:hAnsi="Times New Roman" w:cs="Times New Roman"/>
        </w:rPr>
      </w:pPr>
      <w:r w:rsidRPr="001E1C5B">
        <w:rPr>
          <w:rFonts w:ascii="Times New Roman" w:hAnsi="Times New Roman" w:cs="Times New Roman"/>
        </w:rPr>
        <w:t>Lucenti Maria (2105059)</w:t>
      </w:r>
    </w:p>
    <w:p w14:paraId="4C0E8BCF" w14:textId="3DD216CD" w:rsidR="001E1C5B" w:rsidRDefault="001E1C5B" w:rsidP="001E1C5B">
      <w:pPr>
        <w:jc w:val="center"/>
        <w:rPr>
          <w:rFonts w:ascii="Times New Roman" w:hAnsi="Times New Roman" w:cs="Times New Roman"/>
        </w:rPr>
      </w:pPr>
      <w:r>
        <w:rPr>
          <w:rFonts w:ascii="Times New Roman" w:hAnsi="Times New Roman" w:cs="Times New Roman"/>
        </w:rPr>
        <w:t>Islam Today</w:t>
      </w:r>
    </w:p>
    <w:p w14:paraId="3FC17F4E" w14:textId="6A1CCB34" w:rsidR="001E1C5B" w:rsidRPr="001E1C5B" w:rsidRDefault="001E1C5B" w:rsidP="001E1C5B">
      <w:pPr>
        <w:jc w:val="center"/>
        <w:rPr>
          <w:rFonts w:ascii="Times New Roman" w:hAnsi="Times New Roman" w:cs="Times New Roman"/>
        </w:rPr>
      </w:pPr>
      <w:r>
        <w:rPr>
          <w:rFonts w:ascii="Times New Roman" w:hAnsi="Times New Roman" w:cs="Times New Roman"/>
        </w:rPr>
        <w:t>Written Assessment n. 1</w:t>
      </w:r>
    </w:p>
    <w:p w14:paraId="1E681CE3" w14:textId="374D1B9B" w:rsidR="00B7732A" w:rsidRDefault="001E1C5B">
      <w:pPr>
        <w:rPr>
          <w:rFonts w:ascii="Times New Roman" w:hAnsi="Times New Roman" w:cs="Times New Roman"/>
          <w:sz w:val="30"/>
          <w:szCs w:val="30"/>
        </w:rPr>
      </w:pPr>
      <w:r w:rsidRPr="001E1C5B">
        <w:rPr>
          <w:rFonts w:ascii="Times New Roman" w:hAnsi="Times New Roman" w:cs="Times New Roman"/>
          <w:sz w:val="30"/>
          <w:szCs w:val="30"/>
        </w:rPr>
        <w:t xml:space="preserve">Does Edward </w:t>
      </w:r>
      <w:r w:rsidR="00770B1C" w:rsidRPr="00770B1C">
        <w:rPr>
          <w:rFonts w:ascii="Times New Roman" w:hAnsi="Times New Roman" w:cs="Times New Roman"/>
          <w:sz w:val="30"/>
          <w:szCs w:val="30"/>
        </w:rPr>
        <w:t>Saïd</w:t>
      </w:r>
      <w:r w:rsidRPr="001E1C5B">
        <w:rPr>
          <w:rFonts w:ascii="Times New Roman" w:hAnsi="Times New Roman" w:cs="Times New Roman"/>
          <w:sz w:val="30"/>
          <w:szCs w:val="30"/>
        </w:rPr>
        <w:t>’s model of ‘Orientalism’ contribute to an understanding of Islam in ‘the West’?</w:t>
      </w:r>
    </w:p>
    <w:p w14:paraId="2F0C3168" w14:textId="77777777" w:rsidR="00D471E7" w:rsidRDefault="00D471E7">
      <w:pPr>
        <w:rPr>
          <w:rFonts w:ascii="Times New Roman" w:hAnsi="Times New Roman" w:cs="Times New Roman"/>
          <w:sz w:val="30"/>
          <w:szCs w:val="30"/>
        </w:rPr>
      </w:pPr>
    </w:p>
    <w:p w14:paraId="0E2A0A70" w14:textId="7B308B4C" w:rsidR="006B745D" w:rsidRPr="006B745D" w:rsidRDefault="006B745D" w:rsidP="00055E97">
      <w:pPr>
        <w:jc w:val="both"/>
        <w:rPr>
          <w:rFonts w:ascii="Times New Roman" w:hAnsi="Times New Roman" w:cs="Times New Roman"/>
          <w:sz w:val="24"/>
          <w:szCs w:val="24"/>
        </w:rPr>
      </w:pPr>
      <w:r w:rsidRPr="006B745D">
        <w:rPr>
          <w:rFonts w:ascii="Times New Roman" w:hAnsi="Times New Roman" w:cs="Times New Roman"/>
          <w:sz w:val="24"/>
          <w:szCs w:val="24"/>
        </w:rPr>
        <w:t xml:space="preserve">The text </w:t>
      </w:r>
      <w:r w:rsidR="00770B1C">
        <w:rPr>
          <w:rFonts w:ascii="Times New Roman" w:hAnsi="Times New Roman" w:cs="Times New Roman"/>
          <w:sz w:val="24"/>
          <w:szCs w:val="24"/>
        </w:rPr>
        <w:t>“</w:t>
      </w:r>
      <w:r w:rsidRPr="006B745D">
        <w:rPr>
          <w:rFonts w:ascii="Times New Roman" w:hAnsi="Times New Roman" w:cs="Times New Roman"/>
          <w:sz w:val="24"/>
          <w:szCs w:val="24"/>
        </w:rPr>
        <w:t>Orientalism</w:t>
      </w:r>
      <w:r w:rsidR="00770B1C">
        <w:rPr>
          <w:rFonts w:ascii="Times New Roman" w:hAnsi="Times New Roman" w:cs="Times New Roman"/>
          <w:sz w:val="24"/>
          <w:szCs w:val="24"/>
        </w:rPr>
        <w:t>”</w:t>
      </w:r>
      <w:r w:rsidRPr="006B745D">
        <w:rPr>
          <w:rFonts w:ascii="Times New Roman" w:hAnsi="Times New Roman" w:cs="Times New Roman"/>
          <w:sz w:val="24"/>
          <w:szCs w:val="24"/>
        </w:rPr>
        <w:t xml:space="preserve"> published by Edward W. </w:t>
      </w:r>
      <w:bookmarkStart w:id="0" w:name="_Hlk92227312"/>
      <w:r w:rsidRPr="006B745D">
        <w:rPr>
          <w:rFonts w:ascii="Times New Roman" w:hAnsi="Times New Roman" w:cs="Times New Roman"/>
          <w:sz w:val="24"/>
          <w:szCs w:val="24"/>
        </w:rPr>
        <w:t>Saïd</w:t>
      </w:r>
      <w:bookmarkEnd w:id="0"/>
      <w:r w:rsidRPr="006B745D">
        <w:rPr>
          <w:rFonts w:ascii="Times New Roman" w:hAnsi="Times New Roman" w:cs="Times New Roman"/>
          <w:sz w:val="24"/>
          <w:szCs w:val="24"/>
        </w:rPr>
        <w:t xml:space="preserve"> in 1978 still represents an essential starting point for those who are about to explore the imagination of the other and specifically the construction of the representation of Islam by the West. </w:t>
      </w:r>
      <w:bookmarkStart w:id="1" w:name="_Hlk92226206"/>
      <w:r w:rsidRPr="006B745D">
        <w:rPr>
          <w:rFonts w:ascii="Times New Roman" w:hAnsi="Times New Roman" w:cs="Times New Roman"/>
          <w:sz w:val="24"/>
          <w:szCs w:val="24"/>
        </w:rPr>
        <w:t>Saïd</w:t>
      </w:r>
      <w:bookmarkEnd w:id="1"/>
      <w:r w:rsidRPr="006B745D">
        <w:rPr>
          <w:rFonts w:ascii="Times New Roman" w:hAnsi="Times New Roman" w:cs="Times New Roman"/>
          <w:sz w:val="24"/>
          <w:szCs w:val="24"/>
        </w:rPr>
        <w:t xml:space="preserve"> systematically </w:t>
      </w:r>
      <w:r w:rsidR="00770B1C" w:rsidRPr="006B745D">
        <w:rPr>
          <w:rFonts w:ascii="Times New Roman" w:hAnsi="Times New Roman" w:cs="Times New Roman"/>
          <w:sz w:val="24"/>
          <w:szCs w:val="24"/>
        </w:rPr>
        <w:t>analyses</w:t>
      </w:r>
      <w:r w:rsidRPr="006B745D">
        <w:rPr>
          <w:rFonts w:ascii="Times New Roman" w:hAnsi="Times New Roman" w:cs="Times New Roman"/>
          <w:sz w:val="24"/>
          <w:szCs w:val="24"/>
        </w:rPr>
        <w:t xml:space="preserve"> how countless contexts and fields of knowledge </w:t>
      </w:r>
      <w:r w:rsidR="00710A49">
        <w:rPr>
          <w:rFonts w:ascii="Times New Roman" w:hAnsi="Times New Roman" w:cs="Times New Roman"/>
          <w:sz w:val="24"/>
          <w:szCs w:val="24"/>
        </w:rPr>
        <w:t>–</w:t>
      </w:r>
      <w:r w:rsidRPr="006B745D">
        <w:rPr>
          <w:rFonts w:ascii="Times New Roman" w:hAnsi="Times New Roman" w:cs="Times New Roman"/>
          <w:sz w:val="24"/>
          <w:szCs w:val="24"/>
        </w:rPr>
        <w:t xml:space="preserve"> academia, art, literature, etc. </w:t>
      </w:r>
      <w:r w:rsidR="00710A49">
        <w:rPr>
          <w:rFonts w:ascii="Times New Roman" w:hAnsi="Times New Roman" w:cs="Times New Roman"/>
          <w:sz w:val="24"/>
          <w:szCs w:val="24"/>
        </w:rPr>
        <w:t>–</w:t>
      </w:r>
      <w:r w:rsidRPr="006B745D">
        <w:rPr>
          <w:rFonts w:ascii="Times New Roman" w:hAnsi="Times New Roman" w:cs="Times New Roman"/>
          <w:sz w:val="24"/>
          <w:szCs w:val="24"/>
        </w:rPr>
        <w:t xml:space="preserve"> we have contributed to the construction of a monolithic, simplistic, reified and essentialized image of the East, basing this image on a supposed superiority of the West versus inferiority of the East. This image of the East as regressed and inferior has been internalized by the East itself, due, among other things, to the asymmetrical power relations between an imperialist and colonizing West on the one hand and a colonized East on the other. This interpretative paradigm has made it possible in recent decades </w:t>
      </w:r>
      <w:r w:rsidR="00501F53">
        <w:rPr>
          <w:rFonts w:ascii="Times New Roman" w:hAnsi="Times New Roman" w:cs="Times New Roman"/>
          <w:sz w:val="24"/>
          <w:szCs w:val="24"/>
        </w:rPr>
        <w:t>–</w:t>
      </w:r>
      <w:r w:rsidRPr="006B745D">
        <w:rPr>
          <w:rFonts w:ascii="Times New Roman" w:hAnsi="Times New Roman" w:cs="Times New Roman"/>
          <w:sz w:val="24"/>
          <w:szCs w:val="24"/>
        </w:rPr>
        <w:t xml:space="preserve"> from the publication of </w:t>
      </w:r>
      <w:r w:rsidR="00770B1C" w:rsidRPr="00770B1C">
        <w:rPr>
          <w:rFonts w:ascii="Times New Roman" w:hAnsi="Times New Roman" w:cs="Times New Roman"/>
          <w:sz w:val="24"/>
          <w:szCs w:val="24"/>
        </w:rPr>
        <w:t>Saïd</w:t>
      </w:r>
      <w:r w:rsidRPr="006B745D">
        <w:rPr>
          <w:rFonts w:ascii="Times New Roman" w:hAnsi="Times New Roman" w:cs="Times New Roman"/>
          <w:sz w:val="24"/>
          <w:szCs w:val="24"/>
        </w:rPr>
        <w:t xml:space="preserve">'s volume </w:t>
      </w:r>
      <w:r w:rsidR="00710A49">
        <w:rPr>
          <w:rFonts w:ascii="Times New Roman" w:hAnsi="Times New Roman" w:cs="Times New Roman"/>
          <w:sz w:val="24"/>
          <w:szCs w:val="24"/>
        </w:rPr>
        <w:t>–</w:t>
      </w:r>
      <w:r w:rsidRPr="006B745D">
        <w:rPr>
          <w:rFonts w:ascii="Times New Roman" w:hAnsi="Times New Roman" w:cs="Times New Roman"/>
          <w:sz w:val="24"/>
          <w:szCs w:val="24"/>
        </w:rPr>
        <w:t xml:space="preserve"> to deconstruct the representation of Islam and Muslims in an orientalist </w:t>
      </w:r>
      <w:r w:rsidR="00501F53">
        <w:rPr>
          <w:rFonts w:ascii="Times New Roman" w:hAnsi="Times New Roman" w:cs="Times New Roman"/>
          <w:sz w:val="24"/>
          <w:szCs w:val="24"/>
        </w:rPr>
        <w:t>perspective</w:t>
      </w:r>
      <w:r w:rsidRPr="006B745D">
        <w:rPr>
          <w:rFonts w:ascii="Times New Roman" w:hAnsi="Times New Roman" w:cs="Times New Roman"/>
          <w:sz w:val="24"/>
          <w:szCs w:val="24"/>
        </w:rPr>
        <w:t xml:space="preserve">, starting from a multiplicity of sources and contexts: from education and formal knowledge transmitted by educational institutions </w:t>
      </w:r>
      <w:r w:rsidR="00710A49">
        <w:rPr>
          <w:rFonts w:ascii="Times New Roman" w:hAnsi="Times New Roman" w:cs="Times New Roman"/>
          <w:sz w:val="24"/>
          <w:szCs w:val="24"/>
        </w:rPr>
        <w:t>–</w:t>
      </w:r>
      <w:r w:rsidRPr="006B745D">
        <w:rPr>
          <w:rFonts w:ascii="Times New Roman" w:hAnsi="Times New Roman" w:cs="Times New Roman"/>
          <w:sz w:val="24"/>
          <w:szCs w:val="24"/>
        </w:rPr>
        <w:t xml:space="preserve"> through, for example, </w:t>
      </w:r>
      <w:r w:rsidR="00501F53">
        <w:rPr>
          <w:rFonts w:ascii="Times New Roman" w:hAnsi="Times New Roman" w:cs="Times New Roman"/>
          <w:sz w:val="24"/>
          <w:szCs w:val="24"/>
        </w:rPr>
        <w:t xml:space="preserve">school </w:t>
      </w:r>
      <w:r w:rsidRPr="006B745D">
        <w:rPr>
          <w:rFonts w:ascii="Times New Roman" w:hAnsi="Times New Roman" w:cs="Times New Roman"/>
          <w:sz w:val="24"/>
          <w:szCs w:val="24"/>
        </w:rPr>
        <w:t>textbooks - to literature, cinema, art, the web, politics, etc. This paradigm, therefore, represents a useful track and key to interpreting the cultural and social reality capable of unhinging stereotypes and prejudices rooted in Western societies, often unwittingly.</w:t>
      </w:r>
    </w:p>
    <w:p w14:paraId="20A1AA86" w14:textId="04F4C97C" w:rsidR="006B745D" w:rsidRDefault="006B745D" w:rsidP="00055E97">
      <w:pPr>
        <w:jc w:val="both"/>
        <w:rPr>
          <w:rFonts w:ascii="Times New Roman" w:hAnsi="Times New Roman" w:cs="Times New Roman"/>
          <w:sz w:val="24"/>
          <w:szCs w:val="24"/>
        </w:rPr>
      </w:pPr>
      <w:r w:rsidRPr="006B745D">
        <w:rPr>
          <w:rFonts w:ascii="Times New Roman" w:hAnsi="Times New Roman" w:cs="Times New Roman"/>
          <w:sz w:val="24"/>
          <w:szCs w:val="24"/>
        </w:rPr>
        <w:t xml:space="preserve">The German institute Georg Eckert, for example, which deals with the analysis of textbooks and in this sense represents a unicum at an international level, in 2011 published a research </w:t>
      </w:r>
      <w:r w:rsidR="00770B1C">
        <w:rPr>
          <w:rFonts w:ascii="Times New Roman" w:hAnsi="Times New Roman" w:cs="Times New Roman"/>
          <w:sz w:val="24"/>
          <w:szCs w:val="24"/>
        </w:rPr>
        <w:t xml:space="preserve">project </w:t>
      </w:r>
      <w:r w:rsidRPr="006B745D">
        <w:rPr>
          <w:rFonts w:ascii="Times New Roman" w:hAnsi="Times New Roman" w:cs="Times New Roman"/>
          <w:sz w:val="24"/>
          <w:szCs w:val="24"/>
        </w:rPr>
        <w:t>on the representation of Islam in the textbooks of five European countries</w:t>
      </w:r>
      <w:r w:rsidR="00770B1C">
        <w:rPr>
          <w:rStyle w:val="Rimandonotaapidipagina"/>
          <w:rFonts w:ascii="Times New Roman" w:hAnsi="Times New Roman" w:cs="Times New Roman"/>
          <w:sz w:val="24"/>
          <w:szCs w:val="24"/>
        </w:rPr>
        <w:footnoteReference w:id="1"/>
      </w:r>
      <w:r w:rsidR="00710A49" w:rsidRPr="00710A49">
        <w:rPr>
          <w:rFonts w:ascii="Times New Roman" w:hAnsi="Times New Roman" w:cs="Times New Roman"/>
          <w:sz w:val="24"/>
          <w:szCs w:val="24"/>
        </w:rPr>
        <w:t xml:space="preserve"> –</w:t>
      </w:r>
      <w:r w:rsidR="00710A49">
        <w:rPr>
          <w:rFonts w:ascii="Times New Roman" w:hAnsi="Times New Roman" w:cs="Times New Roman"/>
          <w:sz w:val="24"/>
          <w:szCs w:val="24"/>
        </w:rPr>
        <w:t xml:space="preserve"> England</w:t>
      </w:r>
      <w:r w:rsidRPr="006B745D">
        <w:rPr>
          <w:rFonts w:ascii="Times New Roman" w:hAnsi="Times New Roman" w:cs="Times New Roman"/>
          <w:sz w:val="24"/>
          <w:szCs w:val="24"/>
        </w:rPr>
        <w:t xml:space="preserve">, Spain, France, Germany and </w:t>
      </w:r>
      <w:bookmarkStart w:id="3" w:name="_Hlk92227758"/>
      <w:r w:rsidRPr="006B745D">
        <w:rPr>
          <w:rFonts w:ascii="Times New Roman" w:hAnsi="Times New Roman" w:cs="Times New Roman"/>
          <w:sz w:val="24"/>
          <w:szCs w:val="24"/>
        </w:rPr>
        <w:t xml:space="preserve">Austria </w:t>
      </w:r>
      <w:r w:rsidR="00710A49">
        <w:rPr>
          <w:rFonts w:ascii="Times New Roman" w:hAnsi="Times New Roman" w:cs="Times New Roman"/>
          <w:sz w:val="24"/>
          <w:szCs w:val="24"/>
        </w:rPr>
        <w:t>–</w:t>
      </w:r>
      <w:bookmarkEnd w:id="3"/>
      <w:r w:rsidRPr="006B745D">
        <w:rPr>
          <w:rFonts w:ascii="Times New Roman" w:hAnsi="Times New Roman" w:cs="Times New Roman"/>
          <w:sz w:val="24"/>
          <w:szCs w:val="24"/>
        </w:rPr>
        <w:t xml:space="preserve"> from which a monolithic, retrograde, undifferentiated Islam emerges. The study led to the realization that the lack of differentiation of Muslims and their reduction to a single and homogeneous group generate and open the way to forms of </w:t>
      </w:r>
      <w:r w:rsidR="00770B1C">
        <w:rPr>
          <w:rFonts w:ascii="Times New Roman" w:hAnsi="Times New Roman" w:cs="Times New Roman"/>
          <w:sz w:val="24"/>
          <w:szCs w:val="24"/>
        </w:rPr>
        <w:t>“</w:t>
      </w:r>
      <w:r w:rsidRPr="006B745D">
        <w:rPr>
          <w:rFonts w:ascii="Times New Roman" w:hAnsi="Times New Roman" w:cs="Times New Roman"/>
          <w:sz w:val="24"/>
          <w:szCs w:val="24"/>
        </w:rPr>
        <w:t>cultural racism</w:t>
      </w:r>
      <w:r w:rsidR="00770B1C">
        <w:rPr>
          <w:rFonts w:ascii="Times New Roman" w:hAnsi="Times New Roman" w:cs="Times New Roman"/>
          <w:sz w:val="24"/>
          <w:szCs w:val="24"/>
        </w:rPr>
        <w:t>”</w:t>
      </w:r>
      <w:r w:rsidRPr="006B745D">
        <w:rPr>
          <w:rFonts w:ascii="Times New Roman" w:hAnsi="Times New Roman" w:cs="Times New Roman"/>
          <w:sz w:val="24"/>
          <w:szCs w:val="24"/>
        </w:rPr>
        <w:t xml:space="preserve">, in which religious difference is treated as something immutable. Even if the description of Islam in the medieval period occurs in positive terms, as a period of </w:t>
      </w:r>
      <w:r w:rsidR="00770B1C" w:rsidRPr="006B745D">
        <w:rPr>
          <w:rFonts w:ascii="Times New Roman" w:hAnsi="Times New Roman" w:cs="Times New Roman"/>
          <w:sz w:val="24"/>
          <w:szCs w:val="24"/>
        </w:rPr>
        <w:t>splendour</w:t>
      </w:r>
      <w:r w:rsidRPr="006B745D">
        <w:rPr>
          <w:rFonts w:ascii="Times New Roman" w:hAnsi="Times New Roman" w:cs="Times New Roman"/>
          <w:sz w:val="24"/>
          <w:szCs w:val="24"/>
        </w:rPr>
        <w:t xml:space="preserve"> of Islamic civilization, the predominant idea is that of </w:t>
      </w:r>
      <w:r w:rsidR="00770B1C">
        <w:rPr>
          <w:rFonts w:ascii="Times New Roman" w:hAnsi="Times New Roman" w:cs="Times New Roman"/>
          <w:sz w:val="24"/>
          <w:szCs w:val="24"/>
        </w:rPr>
        <w:t>“</w:t>
      </w:r>
      <w:r w:rsidRPr="006B745D">
        <w:rPr>
          <w:rFonts w:ascii="Times New Roman" w:hAnsi="Times New Roman" w:cs="Times New Roman"/>
          <w:sz w:val="24"/>
          <w:szCs w:val="24"/>
        </w:rPr>
        <w:t>broken</w:t>
      </w:r>
      <w:r w:rsidR="00770B1C">
        <w:rPr>
          <w:rFonts w:ascii="Times New Roman" w:hAnsi="Times New Roman" w:cs="Times New Roman"/>
          <w:sz w:val="24"/>
          <w:szCs w:val="24"/>
        </w:rPr>
        <w:t>”</w:t>
      </w:r>
      <w:r w:rsidRPr="006B745D">
        <w:rPr>
          <w:rFonts w:ascii="Times New Roman" w:hAnsi="Times New Roman" w:cs="Times New Roman"/>
          <w:sz w:val="24"/>
          <w:szCs w:val="24"/>
        </w:rPr>
        <w:t xml:space="preserve"> cultural development, which would have been interrupted later in Muslim-majority societies. Three adjectives summarize which representation of Islam is reiterated by the manuals: homogenization, essentialization and timelessness</w:t>
      </w:r>
      <w:r w:rsidR="00770B1C">
        <w:rPr>
          <w:rStyle w:val="Rimandonotaapidipagina"/>
          <w:rFonts w:ascii="Times New Roman" w:hAnsi="Times New Roman" w:cs="Times New Roman"/>
          <w:sz w:val="24"/>
          <w:szCs w:val="24"/>
        </w:rPr>
        <w:footnoteReference w:id="2"/>
      </w:r>
      <w:r w:rsidRPr="006B745D">
        <w:rPr>
          <w:rFonts w:ascii="Times New Roman" w:hAnsi="Times New Roman" w:cs="Times New Roman"/>
          <w:sz w:val="24"/>
          <w:szCs w:val="24"/>
        </w:rPr>
        <w:t xml:space="preserve">. In essence, there is no separation between the cultural, </w:t>
      </w:r>
      <w:proofErr w:type="gramStart"/>
      <w:r w:rsidRPr="006B745D">
        <w:rPr>
          <w:rFonts w:ascii="Times New Roman" w:hAnsi="Times New Roman" w:cs="Times New Roman"/>
          <w:sz w:val="24"/>
          <w:szCs w:val="24"/>
        </w:rPr>
        <w:t>religious</w:t>
      </w:r>
      <w:proofErr w:type="gramEnd"/>
      <w:r w:rsidRPr="006B745D">
        <w:rPr>
          <w:rFonts w:ascii="Times New Roman" w:hAnsi="Times New Roman" w:cs="Times New Roman"/>
          <w:sz w:val="24"/>
          <w:szCs w:val="24"/>
        </w:rPr>
        <w:t xml:space="preserve"> and political past, as well as information relating to Islam from the Middle Ages to the modern age. Furthermore, nothing is said of the enormous differences existing within the variegated Islamic world. The study of the Georg Eckert </w:t>
      </w:r>
      <w:r w:rsidR="00710A49" w:rsidRPr="006B745D">
        <w:rPr>
          <w:rFonts w:ascii="Times New Roman" w:hAnsi="Times New Roman" w:cs="Times New Roman"/>
          <w:sz w:val="24"/>
          <w:szCs w:val="24"/>
        </w:rPr>
        <w:t>Institute</w:t>
      </w:r>
      <w:r w:rsidRPr="006B745D">
        <w:rPr>
          <w:rFonts w:ascii="Times New Roman" w:hAnsi="Times New Roman" w:cs="Times New Roman"/>
          <w:sz w:val="24"/>
          <w:szCs w:val="24"/>
        </w:rPr>
        <w:t xml:space="preserve"> represents an indispensable starting point for the orientalist representation of Islam in scholastic knowledge transmitted to school, through textbooks.</w:t>
      </w:r>
    </w:p>
    <w:p w14:paraId="6D3B49A5" w14:textId="7EB2AD77" w:rsidR="0054503C" w:rsidRDefault="006B745D" w:rsidP="00055E97">
      <w:pPr>
        <w:jc w:val="both"/>
        <w:rPr>
          <w:rFonts w:ascii="Times New Roman" w:hAnsi="Times New Roman" w:cs="Times New Roman"/>
          <w:sz w:val="24"/>
          <w:szCs w:val="24"/>
        </w:rPr>
      </w:pPr>
      <w:r w:rsidRPr="006B745D">
        <w:rPr>
          <w:rFonts w:ascii="Times New Roman" w:hAnsi="Times New Roman" w:cs="Times New Roman"/>
          <w:sz w:val="24"/>
          <w:szCs w:val="24"/>
        </w:rPr>
        <w:lastRenderedPageBreak/>
        <w:t xml:space="preserve">This study is certainly not the only one of its kind. Numerous studies have been published in recent decades on the homogenized and simplified representation of Islam in formal education in general and in </w:t>
      </w:r>
      <w:proofErr w:type="gramStart"/>
      <w:r w:rsidRPr="006B745D">
        <w:rPr>
          <w:rFonts w:ascii="Times New Roman" w:hAnsi="Times New Roman" w:cs="Times New Roman"/>
          <w:sz w:val="24"/>
          <w:szCs w:val="24"/>
        </w:rPr>
        <w:t>textbooks in particular, in</w:t>
      </w:r>
      <w:proofErr w:type="gramEnd"/>
      <w:r w:rsidRPr="006B745D">
        <w:rPr>
          <w:rFonts w:ascii="Times New Roman" w:hAnsi="Times New Roman" w:cs="Times New Roman"/>
          <w:sz w:val="24"/>
          <w:szCs w:val="24"/>
        </w:rPr>
        <w:t xml:space="preserve"> addition to studies that emphasize the </w:t>
      </w:r>
      <w:r w:rsidR="00770B1C">
        <w:rPr>
          <w:rFonts w:ascii="Times New Roman" w:hAnsi="Times New Roman" w:cs="Times New Roman"/>
          <w:sz w:val="24"/>
          <w:szCs w:val="24"/>
        </w:rPr>
        <w:t>“</w:t>
      </w:r>
      <w:r w:rsidRPr="006B745D">
        <w:rPr>
          <w:rFonts w:ascii="Times New Roman" w:hAnsi="Times New Roman" w:cs="Times New Roman"/>
          <w:sz w:val="24"/>
          <w:szCs w:val="24"/>
        </w:rPr>
        <w:t>political</w:t>
      </w:r>
      <w:r w:rsidR="00770B1C">
        <w:rPr>
          <w:rFonts w:ascii="Times New Roman" w:hAnsi="Times New Roman" w:cs="Times New Roman"/>
          <w:sz w:val="24"/>
          <w:szCs w:val="24"/>
        </w:rPr>
        <w:t>”</w:t>
      </w:r>
      <w:r w:rsidRPr="006B745D">
        <w:rPr>
          <w:rFonts w:ascii="Times New Roman" w:hAnsi="Times New Roman" w:cs="Times New Roman"/>
          <w:sz w:val="24"/>
          <w:szCs w:val="24"/>
        </w:rPr>
        <w:t xml:space="preserve"> and </w:t>
      </w:r>
      <w:r w:rsidR="00770B1C">
        <w:rPr>
          <w:rFonts w:ascii="Times New Roman" w:hAnsi="Times New Roman" w:cs="Times New Roman"/>
          <w:sz w:val="24"/>
          <w:szCs w:val="24"/>
        </w:rPr>
        <w:t>“</w:t>
      </w:r>
      <w:r w:rsidRPr="006B745D">
        <w:rPr>
          <w:rFonts w:ascii="Times New Roman" w:hAnsi="Times New Roman" w:cs="Times New Roman"/>
          <w:sz w:val="24"/>
          <w:szCs w:val="24"/>
        </w:rPr>
        <w:t>identity</w:t>
      </w:r>
      <w:r w:rsidR="00770B1C">
        <w:rPr>
          <w:rFonts w:ascii="Times New Roman" w:hAnsi="Times New Roman" w:cs="Times New Roman"/>
          <w:sz w:val="24"/>
          <w:szCs w:val="24"/>
        </w:rPr>
        <w:t>”</w:t>
      </w:r>
      <w:r w:rsidRPr="006B745D">
        <w:rPr>
          <w:rFonts w:ascii="Times New Roman" w:hAnsi="Times New Roman" w:cs="Times New Roman"/>
          <w:sz w:val="24"/>
          <w:szCs w:val="24"/>
        </w:rPr>
        <w:t xml:space="preserve"> value of textbooks</w:t>
      </w:r>
      <w:r w:rsidR="00770B1C">
        <w:rPr>
          <w:rStyle w:val="Rimandonotaapidipagina"/>
          <w:rFonts w:ascii="Times New Roman" w:hAnsi="Times New Roman" w:cs="Times New Roman"/>
          <w:sz w:val="24"/>
          <w:szCs w:val="24"/>
        </w:rPr>
        <w:footnoteReference w:id="3"/>
      </w:r>
      <w:r w:rsidRPr="006B745D">
        <w:rPr>
          <w:rFonts w:ascii="Times New Roman" w:hAnsi="Times New Roman" w:cs="Times New Roman"/>
          <w:sz w:val="24"/>
          <w:szCs w:val="24"/>
        </w:rPr>
        <w:t xml:space="preserve">. These examples show us the relevance of the topic and the need to continue to observe </w:t>
      </w:r>
      <w:r w:rsidR="007817EA">
        <w:rPr>
          <w:rFonts w:ascii="Times New Roman" w:hAnsi="Times New Roman" w:cs="Times New Roman"/>
          <w:sz w:val="24"/>
          <w:szCs w:val="24"/>
        </w:rPr>
        <w:t xml:space="preserve">the </w:t>
      </w:r>
      <w:r w:rsidRPr="006B745D">
        <w:rPr>
          <w:rFonts w:ascii="Times New Roman" w:hAnsi="Times New Roman" w:cs="Times New Roman"/>
          <w:sz w:val="24"/>
          <w:szCs w:val="24"/>
        </w:rPr>
        <w:t xml:space="preserve">reality with a critical look, </w:t>
      </w:r>
      <w:proofErr w:type="gramStart"/>
      <w:r w:rsidRPr="006B745D">
        <w:rPr>
          <w:rFonts w:ascii="Times New Roman" w:hAnsi="Times New Roman" w:cs="Times New Roman"/>
          <w:sz w:val="24"/>
          <w:szCs w:val="24"/>
        </w:rPr>
        <w:t>in order to</w:t>
      </w:r>
      <w:proofErr w:type="gramEnd"/>
      <w:r w:rsidRPr="006B745D">
        <w:rPr>
          <w:rFonts w:ascii="Times New Roman" w:hAnsi="Times New Roman" w:cs="Times New Roman"/>
          <w:sz w:val="24"/>
          <w:szCs w:val="24"/>
        </w:rPr>
        <w:t xml:space="preserve"> identify and deconstruct rooted stereotypes, as they are still </w:t>
      </w:r>
      <w:r w:rsidR="007817EA">
        <w:rPr>
          <w:rFonts w:ascii="Times New Roman" w:hAnsi="Times New Roman" w:cs="Times New Roman"/>
          <w:sz w:val="24"/>
          <w:szCs w:val="24"/>
        </w:rPr>
        <w:t>part</w:t>
      </w:r>
      <w:r w:rsidRPr="006B745D">
        <w:rPr>
          <w:rFonts w:ascii="Times New Roman" w:hAnsi="Times New Roman" w:cs="Times New Roman"/>
          <w:sz w:val="24"/>
          <w:szCs w:val="24"/>
        </w:rPr>
        <w:t xml:space="preserve"> of an orientalist vision of Islam and Muslims.</w:t>
      </w:r>
      <w:r w:rsidR="0054503C">
        <w:rPr>
          <w:rFonts w:ascii="Times New Roman" w:hAnsi="Times New Roman" w:cs="Times New Roman"/>
          <w:sz w:val="24"/>
          <w:szCs w:val="24"/>
        </w:rPr>
        <w:t xml:space="preserve"> </w:t>
      </w:r>
    </w:p>
    <w:p w14:paraId="28E64D31" w14:textId="382ED608" w:rsidR="00770B1C" w:rsidRDefault="00E86CC5" w:rsidP="00055E97">
      <w:pPr>
        <w:jc w:val="both"/>
        <w:rPr>
          <w:rFonts w:ascii="Times New Roman" w:hAnsi="Times New Roman" w:cs="Times New Roman"/>
          <w:sz w:val="24"/>
          <w:szCs w:val="24"/>
        </w:rPr>
      </w:pPr>
      <w:r w:rsidRPr="00E86CC5">
        <w:rPr>
          <w:rFonts w:ascii="Times New Roman" w:hAnsi="Times New Roman" w:cs="Times New Roman"/>
          <w:sz w:val="24"/>
          <w:szCs w:val="24"/>
        </w:rPr>
        <w:t xml:space="preserve">Starting from </w:t>
      </w:r>
      <w:r w:rsidR="00710A49" w:rsidRPr="006B745D">
        <w:rPr>
          <w:rFonts w:ascii="Times New Roman" w:hAnsi="Times New Roman" w:cs="Times New Roman"/>
          <w:sz w:val="24"/>
          <w:szCs w:val="24"/>
        </w:rPr>
        <w:t>Saïd</w:t>
      </w:r>
      <w:r w:rsidRPr="00E86CC5">
        <w:rPr>
          <w:rFonts w:ascii="Times New Roman" w:hAnsi="Times New Roman" w:cs="Times New Roman"/>
          <w:sz w:val="24"/>
          <w:szCs w:val="24"/>
        </w:rPr>
        <w:t xml:space="preserve"> and thanks to his contribution, further </w:t>
      </w:r>
      <w:proofErr w:type="gramStart"/>
      <w:r w:rsidRPr="00E86CC5">
        <w:rPr>
          <w:rFonts w:ascii="Times New Roman" w:hAnsi="Times New Roman" w:cs="Times New Roman"/>
          <w:sz w:val="24"/>
          <w:szCs w:val="24"/>
        </w:rPr>
        <w:t>insights</w:t>
      </w:r>
      <w:proofErr w:type="gramEnd"/>
      <w:r w:rsidRPr="00E86CC5">
        <w:rPr>
          <w:rFonts w:ascii="Times New Roman" w:hAnsi="Times New Roman" w:cs="Times New Roman"/>
          <w:sz w:val="24"/>
          <w:szCs w:val="24"/>
        </w:rPr>
        <w:t xml:space="preserve"> and </w:t>
      </w:r>
      <w:r w:rsidR="00770B1C" w:rsidRPr="00E86CC5">
        <w:rPr>
          <w:rFonts w:ascii="Times New Roman" w:hAnsi="Times New Roman" w:cs="Times New Roman"/>
          <w:sz w:val="24"/>
          <w:szCs w:val="24"/>
        </w:rPr>
        <w:t>analysis</w:t>
      </w:r>
      <w:r w:rsidRPr="00E86CC5">
        <w:rPr>
          <w:rFonts w:ascii="Times New Roman" w:hAnsi="Times New Roman" w:cs="Times New Roman"/>
          <w:sz w:val="24"/>
          <w:szCs w:val="24"/>
        </w:rPr>
        <w:t xml:space="preserve"> on the role of orientalism in the construction of gender emerged, giving rise to what has been defined </w:t>
      </w:r>
      <w:r w:rsidR="00770B1C">
        <w:rPr>
          <w:rFonts w:ascii="Times New Roman" w:hAnsi="Times New Roman" w:cs="Times New Roman"/>
          <w:sz w:val="24"/>
          <w:szCs w:val="24"/>
        </w:rPr>
        <w:t>“</w:t>
      </w:r>
      <w:r w:rsidRPr="00E86CC5">
        <w:rPr>
          <w:rFonts w:ascii="Times New Roman" w:hAnsi="Times New Roman" w:cs="Times New Roman"/>
          <w:sz w:val="24"/>
          <w:szCs w:val="24"/>
        </w:rPr>
        <w:t>feminine orientalism</w:t>
      </w:r>
      <w:r w:rsidR="00770B1C">
        <w:rPr>
          <w:rFonts w:ascii="Times New Roman" w:hAnsi="Times New Roman" w:cs="Times New Roman"/>
          <w:sz w:val="24"/>
          <w:szCs w:val="24"/>
        </w:rPr>
        <w:t>”</w:t>
      </w:r>
      <w:r w:rsidR="00770B1C">
        <w:rPr>
          <w:rStyle w:val="Rimandonotaapidipagina"/>
          <w:rFonts w:ascii="Times New Roman" w:hAnsi="Times New Roman" w:cs="Times New Roman"/>
          <w:sz w:val="24"/>
          <w:szCs w:val="24"/>
        </w:rPr>
        <w:footnoteReference w:id="4"/>
      </w:r>
      <w:r w:rsidRPr="00E86CC5">
        <w:rPr>
          <w:rFonts w:ascii="Times New Roman" w:hAnsi="Times New Roman" w:cs="Times New Roman"/>
          <w:sz w:val="24"/>
          <w:szCs w:val="24"/>
        </w:rPr>
        <w:t xml:space="preserve">, where </w:t>
      </w:r>
      <w:proofErr w:type="spellStart"/>
      <w:r w:rsidRPr="00E86CC5">
        <w:rPr>
          <w:rFonts w:ascii="Times New Roman" w:hAnsi="Times New Roman" w:cs="Times New Roman"/>
          <w:sz w:val="24"/>
          <w:szCs w:val="24"/>
        </w:rPr>
        <w:t>Pepicelli</w:t>
      </w:r>
      <w:proofErr w:type="spellEnd"/>
      <w:r w:rsidR="00770B1C">
        <w:rPr>
          <w:rStyle w:val="Rimandonotaapidipagina"/>
          <w:rFonts w:ascii="Times New Roman" w:hAnsi="Times New Roman" w:cs="Times New Roman"/>
          <w:sz w:val="24"/>
          <w:szCs w:val="24"/>
        </w:rPr>
        <w:footnoteReference w:id="5"/>
      </w:r>
      <w:r w:rsidRPr="00E86CC5">
        <w:rPr>
          <w:rFonts w:ascii="Times New Roman" w:hAnsi="Times New Roman" w:cs="Times New Roman"/>
          <w:sz w:val="24"/>
          <w:szCs w:val="24"/>
        </w:rPr>
        <w:t xml:space="preserve"> emphasizes how</w:t>
      </w:r>
      <w:r w:rsidR="00770B1C">
        <w:rPr>
          <w:rFonts w:ascii="Times New Roman" w:hAnsi="Times New Roman" w:cs="Times New Roman"/>
          <w:sz w:val="24"/>
          <w:szCs w:val="24"/>
        </w:rPr>
        <w:t>:</w:t>
      </w:r>
      <w:r w:rsidRPr="00E86CC5">
        <w:rPr>
          <w:rFonts w:ascii="Times New Roman" w:hAnsi="Times New Roman" w:cs="Times New Roman"/>
          <w:sz w:val="24"/>
          <w:szCs w:val="24"/>
        </w:rPr>
        <w:t xml:space="preserve"> </w:t>
      </w:r>
    </w:p>
    <w:p w14:paraId="76D4EC20" w14:textId="6915B0FD" w:rsidR="00E86CC5" w:rsidRPr="00770B1C" w:rsidRDefault="00770B1C" w:rsidP="00770B1C">
      <w:pPr>
        <w:ind w:left="284"/>
        <w:jc w:val="both"/>
        <w:rPr>
          <w:rFonts w:ascii="Times New Roman" w:hAnsi="Times New Roman" w:cs="Times New Roman"/>
        </w:rPr>
      </w:pPr>
      <w:r w:rsidRPr="00770B1C">
        <w:rPr>
          <w:rFonts w:ascii="Times New Roman" w:hAnsi="Times New Roman" w:cs="Times New Roman"/>
        </w:rPr>
        <w:t>“</w:t>
      </w:r>
      <w:proofErr w:type="gramStart"/>
      <w:r w:rsidR="00E86CC5" w:rsidRPr="00770B1C">
        <w:rPr>
          <w:rFonts w:ascii="Times New Roman" w:hAnsi="Times New Roman" w:cs="Times New Roman"/>
        </w:rPr>
        <w:t>the</w:t>
      </w:r>
      <w:proofErr w:type="gramEnd"/>
      <w:r w:rsidR="00E86CC5" w:rsidRPr="00770B1C">
        <w:rPr>
          <w:rFonts w:ascii="Times New Roman" w:hAnsi="Times New Roman" w:cs="Times New Roman"/>
        </w:rPr>
        <w:t xml:space="preserve"> woman is the subject on which the West has made the image of the whole East converge, making it become the very representation of its immutable essence, its culture, its value system. A systematic process of </w:t>
      </w:r>
      <w:r w:rsidRPr="00770B1C">
        <w:rPr>
          <w:rFonts w:ascii="Times New Roman" w:hAnsi="Times New Roman" w:cs="Times New Roman"/>
        </w:rPr>
        <w:t>‘</w:t>
      </w:r>
      <w:r w:rsidR="00E86CC5" w:rsidRPr="00770B1C">
        <w:rPr>
          <w:rFonts w:ascii="Times New Roman" w:hAnsi="Times New Roman" w:cs="Times New Roman"/>
        </w:rPr>
        <w:t>feminization</w:t>
      </w:r>
      <w:r w:rsidRPr="00770B1C">
        <w:rPr>
          <w:rFonts w:ascii="Times New Roman" w:hAnsi="Times New Roman" w:cs="Times New Roman"/>
        </w:rPr>
        <w:t>’</w:t>
      </w:r>
      <w:r w:rsidR="00E86CC5" w:rsidRPr="00770B1C">
        <w:rPr>
          <w:rFonts w:ascii="Times New Roman" w:hAnsi="Times New Roman" w:cs="Times New Roman"/>
        </w:rPr>
        <w:t xml:space="preserve"> and </w:t>
      </w:r>
      <w:r w:rsidRPr="00770B1C">
        <w:rPr>
          <w:rFonts w:ascii="Times New Roman" w:hAnsi="Times New Roman" w:cs="Times New Roman"/>
        </w:rPr>
        <w:t>‘</w:t>
      </w:r>
      <w:proofErr w:type="spellStart"/>
      <w:r w:rsidR="00E86CC5" w:rsidRPr="00770B1C">
        <w:rPr>
          <w:rFonts w:ascii="Times New Roman" w:hAnsi="Times New Roman" w:cs="Times New Roman"/>
        </w:rPr>
        <w:t>inferiorization</w:t>
      </w:r>
      <w:proofErr w:type="spellEnd"/>
      <w:r w:rsidRPr="00770B1C">
        <w:rPr>
          <w:rFonts w:ascii="Times New Roman" w:hAnsi="Times New Roman" w:cs="Times New Roman"/>
        </w:rPr>
        <w:t>’</w:t>
      </w:r>
      <w:r w:rsidR="00E86CC5" w:rsidRPr="00770B1C">
        <w:rPr>
          <w:rFonts w:ascii="Times New Roman" w:hAnsi="Times New Roman" w:cs="Times New Roman"/>
        </w:rPr>
        <w:t xml:space="preserve"> of the East has therefore inscribed the latter's narrative in that of his women, portrayed as oppressed and backward, and consequently to be saved and made progress</w:t>
      </w:r>
      <w:r w:rsidRPr="00770B1C">
        <w:rPr>
          <w:rFonts w:ascii="Times New Roman" w:hAnsi="Times New Roman" w:cs="Times New Roman"/>
        </w:rPr>
        <w:t>”</w:t>
      </w:r>
      <w:r>
        <w:rPr>
          <w:rFonts w:ascii="Times New Roman" w:hAnsi="Times New Roman" w:cs="Times New Roman"/>
        </w:rPr>
        <w:t xml:space="preserve"> (p.17). </w:t>
      </w:r>
    </w:p>
    <w:p w14:paraId="2C05B6BE" w14:textId="2BEEFCE0" w:rsidR="00770B1C" w:rsidRDefault="00312F5F" w:rsidP="00055E97">
      <w:pPr>
        <w:jc w:val="both"/>
        <w:rPr>
          <w:rFonts w:ascii="Times New Roman" w:hAnsi="Times New Roman" w:cs="Times New Roman"/>
          <w:sz w:val="24"/>
          <w:szCs w:val="24"/>
        </w:rPr>
      </w:pPr>
      <w:r w:rsidRPr="00312F5F">
        <w:rPr>
          <w:rFonts w:ascii="Times New Roman" w:hAnsi="Times New Roman" w:cs="Times New Roman"/>
          <w:sz w:val="24"/>
          <w:szCs w:val="24"/>
        </w:rPr>
        <w:t xml:space="preserve">Although, therefore, </w:t>
      </w:r>
      <w:r w:rsidR="00710A49" w:rsidRPr="006B745D">
        <w:rPr>
          <w:rFonts w:ascii="Times New Roman" w:hAnsi="Times New Roman" w:cs="Times New Roman"/>
          <w:sz w:val="24"/>
          <w:szCs w:val="24"/>
        </w:rPr>
        <w:t>Saïd</w:t>
      </w:r>
      <w:r w:rsidRPr="00312F5F">
        <w:rPr>
          <w:rFonts w:ascii="Times New Roman" w:hAnsi="Times New Roman" w:cs="Times New Roman"/>
          <w:sz w:val="24"/>
          <w:szCs w:val="24"/>
        </w:rPr>
        <w:t xml:space="preserve">'s work has greatly contributed to inaugurating new important avenues of research, it has not been </w:t>
      </w:r>
      <w:proofErr w:type="gramStart"/>
      <w:r w:rsidRPr="00312F5F">
        <w:rPr>
          <w:rFonts w:ascii="Times New Roman" w:hAnsi="Times New Roman" w:cs="Times New Roman"/>
          <w:sz w:val="24"/>
          <w:szCs w:val="24"/>
        </w:rPr>
        <w:t>exempt</w:t>
      </w:r>
      <w:proofErr w:type="gramEnd"/>
      <w:r w:rsidRPr="00312F5F">
        <w:rPr>
          <w:rFonts w:ascii="Times New Roman" w:hAnsi="Times New Roman" w:cs="Times New Roman"/>
          <w:sz w:val="24"/>
          <w:szCs w:val="24"/>
        </w:rPr>
        <w:t xml:space="preserve"> from criticism. As Salim </w:t>
      </w:r>
      <w:proofErr w:type="spellStart"/>
      <w:r w:rsidRPr="00312F5F">
        <w:rPr>
          <w:rFonts w:ascii="Times New Roman" w:hAnsi="Times New Roman" w:cs="Times New Roman"/>
          <w:sz w:val="24"/>
          <w:szCs w:val="24"/>
        </w:rPr>
        <w:t>Kerboua</w:t>
      </w:r>
      <w:proofErr w:type="spellEnd"/>
      <w:r w:rsidR="00710A49">
        <w:rPr>
          <w:rStyle w:val="Rimandonotaapidipagina"/>
          <w:rFonts w:ascii="Times New Roman" w:hAnsi="Times New Roman" w:cs="Times New Roman"/>
          <w:sz w:val="24"/>
          <w:szCs w:val="24"/>
        </w:rPr>
        <w:footnoteReference w:id="6"/>
      </w:r>
      <w:r w:rsidRPr="00312F5F">
        <w:rPr>
          <w:rFonts w:ascii="Times New Roman" w:hAnsi="Times New Roman" w:cs="Times New Roman"/>
          <w:sz w:val="24"/>
          <w:szCs w:val="24"/>
        </w:rPr>
        <w:t xml:space="preserve"> points out</w:t>
      </w:r>
      <w:r w:rsidR="00770B1C">
        <w:rPr>
          <w:rFonts w:ascii="Times New Roman" w:hAnsi="Times New Roman" w:cs="Times New Roman"/>
          <w:sz w:val="24"/>
          <w:szCs w:val="24"/>
        </w:rPr>
        <w:t>:</w:t>
      </w:r>
    </w:p>
    <w:p w14:paraId="2A62408C" w14:textId="3D9C1CCA" w:rsidR="00770B1C" w:rsidRPr="00710A49" w:rsidRDefault="00770B1C" w:rsidP="00770B1C">
      <w:pPr>
        <w:ind w:left="284"/>
        <w:jc w:val="both"/>
        <w:rPr>
          <w:rFonts w:ascii="Times New Roman" w:hAnsi="Times New Roman" w:cs="Times New Roman"/>
        </w:rPr>
      </w:pPr>
      <w:r w:rsidRPr="00710A49">
        <w:rPr>
          <w:rFonts w:ascii="Times New Roman" w:hAnsi="Times New Roman" w:cs="Times New Roman"/>
        </w:rPr>
        <w:t>“</w:t>
      </w:r>
      <w:r w:rsidR="00710A49" w:rsidRPr="00710A49">
        <w:rPr>
          <w:rFonts w:ascii="Times New Roman" w:hAnsi="Times New Roman" w:cs="Times New Roman"/>
        </w:rPr>
        <w:t>Saïd</w:t>
      </w:r>
      <w:r w:rsidR="00312F5F" w:rsidRPr="00710A49">
        <w:rPr>
          <w:rFonts w:ascii="Times New Roman" w:hAnsi="Times New Roman" w:cs="Times New Roman"/>
        </w:rPr>
        <w:t xml:space="preserve">'s scholarship paved the way for a myriad of works exploring and interpreting literary, historical, and political texts and issues from a postcolonial perspective. However, </w:t>
      </w:r>
      <w:r w:rsidR="00710A49" w:rsidRPr="00710A49">
        <w:rPr>
          <w:rFonts w:ascii="Times New Roman" w:hAnsi="Times New Roman" w:cs="Times New Roman"/>
        </w:rPr>
        <w:t>Saïd</w:t>
      </w:r>
      <w:r w:rsidR="00312F5F" w:rsidRPr="00710A49">
        <w:rPr>
          <w:rFonts w:ascii="Times New Roman" w:hAnsi="Times New Roman" w:cs="Times New Roman"/>
        </w:rPr>
        <w:t xml:space="preserve">'s work is also challenged in academia. Two kinds of critiques can be identified. The first has emerged out of the wish to comprehend the dimension of postcolonial scholarships and balance its analysis of Western interpretations of the Orient. The second critique is motivated less by intellectual rigor and more by political and ideological outrage </w:t>
      </w:r>
      <w:proofErr w:type="gramStart"/>
      <w:r w:rsidR="00312F5F" w:rsidRPr="00710A49">
        <w:rPr>
          <w:rFonts w:ascii="Times New Roman" w:hAnsi="Times New Roman" w:cs="Times New Roman"/>
        </w:rPr>
        <w:t>with regard to</w:t>
      </w:r>
      <w:proofErr w:type="gramEnd"/>
      <w:r w:rsidR="00312F5F" w:rsidRPr="00710A49">
        <w:rPr>
          <w:rFonts w:ascii="Times New Roman" w:hAnsi="Times New Roman" w:cs="Times New Roman"/>
        </w:rPr>
        <w:t xml:space="preserve"> </w:t>
      </w:r>
      <w:r w:rsidR="00710A49" w:rsidRPr="00710A49">
        <w:rPr>
          <w:rFonts w:ascii="Times New Roman" w:hAnsi="Times New Roman" w:cs="Times New Roman"/>
        </w:rPr>
        <w:t>Saïd</w:t>
      </w:r>
      <w:r w:rsidR="00312F5F" w:rsidRPr="00710A49">
        <w:rPr>
          <w:rFonts w:ascii="Times New Roman" w:hAnsi="Times New Roman" w:cs="Times New Roman"/>
        </w:rPr>
        <w:t>'s personal intellectual trajectory and his political commitment to the Palestinian cause. This second kind of critique originates from influential neo-Orientalist circles</w:t>
      </w:r>
      <w:r w:rsidRPr="00710A49">
        <w:rPr>
          <w:rFonts w:ascii="Times New Roman" w:hAnsi="Times New Roman" w:cs="Times New Roman"/>
        </w:rPr>
        <w:t>” (p.</w:t>
      </w:r>
      <w:r w:rsidR="00710A49" w:rsidRPr="00710A49">
        <w:rPr>
          <w:rFonts w:ascii="Times New Roman" w:hAnsi="Times New Roman" w:cs="Times New Roman"/>
        </w:rPr>
        <w:t>12).</w:t>
      </w:r>
      <w:r w:rsidR="00312F5F" w:rsidRPr="00710A49">
        <w:rPr>
          <w:rFonts w:ascii="Times New Roman" w:hAnsi="Times New Roman" w:cs="Times New Roman"/>
        </w:rPr>
        <w:t xml:space="preserve"> </w:t>
      </w:r>
    </w:p>
    <w:p w14:paraId="4DE09ACD" w14:textId="2DF1C23F" w:rsidR="007C2A3E" w:rsidRDefault="00312F5F" w:rsidP="00055E97">
      <w:pPr>
        <w:jc w:val="both"/>
        <w:rPr>
          <w:rFonts w:ascii="Times New Roman" w:hAnsi="Times New Roman" w:cs="Times New Roman"/>
          <w:sz w:val="24"/>
          <w:szCs w:val="24"/>
        </w:rPr>
      </w:pPr>
      <w:r w:rsidRPr="00312F5F">
        <w:rPr>
          <w:rFonts w:ascii="Times New Roman" w:hAnsi="Times New Roman" w:cs="Times New Roman"/>
          <w:sz w:val="24"/>
          <w:szCs w:val="24"/>
        </w:rPr>
        <w:t xml:space="preserve">According to the author, the main criticisms </w:t>
      </w:r>
      <w:r w:rsidR="007817EA" w:rsidRPr="00312F5F">
        <w:rPr>
          <w:rFonts w:ascii="Times New Roman" w:hAnsi="Times New Roman" w:cs="Times New Roman"/>
          <w:sz w:val="24"/>
          <w:szCs w:val="24"/>
        </w:rPr>
        <w:t>levelled</w:t>
      </w:r>
      <w:r w:rsidRPr="00312F5F">
        <w:rPr>
          <w:rFonts w:ascii="Times New Roman" w:hAnsi="Times New Roman" w:cs="Times New Roman"/>
          <w:sz w:val="24"/>
          <w:szCs w:val="24"/>
        </w:rPr>
        <w:t xml:space="preserve"> at him </w:t>
      </w:r>
      <w:proofErr w:type="gramStart"/>
      <w:r w:rsidRPr="00312F5F">
        <w:rPr>
          <w:rFonts w:ascii="Times New Roman" w:hAnsi="Times New Roman" w:cs="Times New Roman"/>
          <w:sz w:val="24"/>
          <w:szCs w:val="24"/>
        </w:rPr>
        <w:t>are:</w:t>
      </w:r>
      <w:proofErr w:type="gramEnd"/>
      <w:r w:rsidRPr="00312F5F">
        <w:rPr>
          <w:rFonts w:ascii="Times New Roman" w:hAnsi="Times New Roman" w:cs="Times New Roman"/>
          <w:sz w:val="24"/>
          <w:szCs w:val="24"/>
        </w:rPr>
        <w:t xml:space="preserve"> of not having understood post-World War II American post-orientalism, of representing the West as univocal and undifferentiated, of not recognizing the Marxist dimension of the historical relationship between knowledge and power, of having generated questions about the legitimacy of scholars and artists in interpreting the cultures and identities of other groups without answering these questions. In addition to these criticisms that come from the academic world, there are others of an ideological nature, coming from the neoconservative world and often linked to the Zionist </w:t>
      </w:r>
      <w:r w:rsidRPr="00312F5F">
        <w:rPr>
          <w:rFonts w:ascii="Times New Roman" w:hAnsi="Times New Roman" w:cs="Times New Roman"/>
          <w:sz w:val="24"/>
          <w:szCs w:val="24"/>
        </w:rPr>
        <w:lastRenderedPageBreak/>
        <w:t>movement</w:t>
      </w:r>
      <w:r w:rsidR="00710A49">
        <w:rPr>
          <w:rStyle w:val="Rimandonotaapidipagina"/>
          <w:rFonts w:ascii="Times New Roman" w:hAnsi="Times New Roman" w:cs="Times New Roman"/>
          <w:sz w:val="24"/>
          <w:szCs w:val="24"/>
        </w:rPr>
        <w:footnoteReference w:id="7"/>
      </w:r>
      <w:r w:rsidRPr="00312F5F">
        <w:rPr>
          <w:rFonts w:ascii="Times New Roman" w:hAnsi="Times New Roman" w:cs="Times New Roman"/>
          <w:sz w:val="24"/>
          <w:szCs w:val="24"/>
        </w:rPr>
        <w:t>.</w:t>
      </w:r>
      <w:r>
        <w:rPr>
          <w:rFonts w:ascii="Times New Roman" w:hAnsi="Times New Roman" w:cs="Times New Roman"/>
          <w:sz w:val="24"/>
          <w:szCs w:val="24"/>
        </w:rPr>
        <w:t xml:space="preserve"> </w:t>
      </w:r>
      <w:r w:rsidRPr="00312F5F">
        <w:rPr>
          <w:rFonts w:ascii="Times New Roman" w:hAnsi="Times New Roman" w:cs="Times New Roman"/>
          <w:sz w:val="24"/>
          <w:szCs w:val="24"/>
        </w:rPr>
        <w:t xml:space="preserve">The element of interest is that the author, in addition to highlighting the scientific weakness of these latest criticisms and sanctioning an overcoming of the same and a sort of reconciliation with the thesis supported by </w:t>
      </w:r>
      <w:r w:rsidR="00710A49" w:rsidRPr="006B745D">
        <w:rPr>
          <w:rFonts w:ascii="Times New Roman" w:hAnsi="Times New Roman" w:cs="Times New Roman"/>
          <w:sz w:val="24"/>
          <w:szCs w:val="24"/>
        </w:rPr>
        <w:t>Saïd</w:t>
      </w:r>
      <w:r w:rsidRPr="00312F5F">
        <w:rPr>
          <w:rFonts w:ascii="Times New Roman" w:hAnsi="Times New Roman" w:cs="Times New Roman"/>
          <w:sz w:val="24"/>
          <w:szCs w:val="24"/>
        </w:rPr>
        <w:t>, hypothesizes further developments that would explain not only the actuality of the paradigm of Orientalism, but also a historical change of the same and an adaptation to contemporaneity in the form of a Neo-Orientalism. September 11 and the war on terror would have strongly contributed to the birth of this new declination of orientalism, which has a less territorialised dimension.</w:t>
      </w:r>
    </w:p>
    <w:p w14:paraId="588DF0E0" w14:textId="2721B7B7" w:rsidR="00770B1C" w:rsidRDefault="00770B1C" w:rsidP="00770B1C">
      <w:pPr>
        <w:jc w:val="both"/>
        <w:rPr>
          <w:rFonts w:ascii="Times New Roman" w:hAnsi="Times New Roman" w:cs="Times New Roman"/>
          <w:sz w:val="24"/>
          <w:szCs w:val="24"/>
        </w:rPr>
      </w:pPr>
      <w:r w:rsidRPr="00770B1C">
        <w:rPr>
          <w:rFonts w:ascii="Times New Roman" w:hAnsi="Times New Roman" w:cs="Times New Roman"/>
          <w:sz w:val="24"/>
          <w:szCs w:val="24"/>
        </w:rPr>
        <w:t xml:space="preserve">Following the author's thinking and </w:t>
      </w:r>
      <w:proofErr w:type="gramStart"/>
      <w:r w:rsidRPr="00770B1C">
        <w:rPr>
          <w:rFonts w:ascii="Times New Roman" w:hAnsi="Times New Roman" w:cs="Times New Roman"/>
          <w:sz w:val="24"/>
          <w:szCs w:val="24"/>
        </w:rPr>
        <w:t>on the basis of</w:t>
      </w:r>
      <w:proofErr w:type="gramEnd"/>
      <w:r w:rsidRPr="00770B1C">
        <w:rPr>
          <w:rFonts w:ascii="Times New Roman" w:hAnsi="Times New Roman" w:cs="Times New Roman"/>
          <w:sz w:val="24"/>
          <w:szCs w:val="24"/>
        </w:rPr>
        <w:t xml:space="preserve"> the examples cited about the representation of Islam in contemporary European textbooks, we can argue that </w:t>
      </w:r>
      <w:r w:rsidR="00710A49" w:rsidRPr="006B745D">
        <w:rPr>
          <w:rFonts w:ascii="Times New Roman" w:hAnsi="Times New Roman" w:cs="Times New Roman"/>
          <w:sz w:val="24"/>
          <w:szCs w:val="24"/>
        </w:rPr>
        <w:t>Saïd</w:t>
      </w:r>
      <w:r w:rsidRPr="00770B1C">
        <w:rPr>
          <w:rFonts w:ascii="Times New Roman" w:hAnsi="Times New Roman" w:cs="Times New Roman"/>
          <w:sz w:val="24"/>
          <w:szCs w:val="24"/>
        </w:rPr>
        <w:t>'s paradigm of Orientalism</w:t>
      </w:r>
      <w:r w:rsidR="00D87C81">
        <w:rPr>
          <w:rFonts w:ascii="Times New Roman" w:hAnsi="Times New Roman" w:cs="Times New Roman"/>
          <w:sz w:val="24"/>
          <w:szCs w:val="24"/>
        </w:rPr>
        <w:t>, although partial and not exhaustive,</w:t>
      </w:r>
      <w:r w:rsidRPr="00770B1C">
        <w:rPr>
          <w:rFonts w:ascii="Times New Roman" w:hAnsi="Times New Roman" w:cs="Times New Roman"/>
          <w:sz w:val="24"/>
          <w:szCs w:val="24"/>
        </w:rPr>
        <w:t xml:space="preserve"> is not only still useful for the understanding of Islam in the West, but </w:t>
      </w:r>
      <w:r w:rsidR="00D87C81">
        <w:rPr>
          <w:rFonts w:ascii="Times New Roman" w:hAnsi="Times New Roman" w:cs="Times New Roman"/>
          <w:sz w:val="24"/>
          <w:szCs w:val="24"/>
        </w:rPr>
        <w:t>paved the way to further</w:t>
      </w:r>
      <w:r w:rsidRPr="00770B1C">
        <w:rPr>
          <w:rFonts w:ascii="Times New Roman" w:hAnsi="Times New Roman" w:cs="Times New Roman"/>
          <w:sz w:val="24"/>
          <w:szCs w:val="24"/>
        </w:rPr>
        <w:t xml:space="preserve"> reinterpretations and re-</w:t>
      </w:r>
      <w:proofErr w:type="spellStart"/>
      <w:r w:rsidRPr="00770B1C">
        <w:rPr>
          <w:rFonts w:ascii="Times New Roman" w:hAnsi="Times New Roman" w:cs="Times New Roman"/>
          <w:sz w:val="24"/>
          <w:szCs w:val="24"/>
        </w:rPr>
        <w:t>semantizations</w:t>
      </w:r>
      <w:proofErr w:type="spellEnd"/>
      <w:r w:rsidRPr="00770B1C">
        <w:rPr>
          <w:rFonts w:ascii="Times New Roman" w:hAnsi="Times New Roman" w:cs="Times New Roman"/>
          <w:sz w:val="24"/>
          <w:szCs w:val="24"/>
        </w:rPr>
        <w:t xml:space="preserve"> based on the needs of contemporaneity:</w:t>
      </w:r>
    </w:p>
    <w:p w14:paraId="3168ABB3" w14:textId="2EB5C0D5" w:rsidR="00770B1C" w:rsidRDefault="00770B1C" w:rsidP="00770B1C">
      <w:pPr>
        <w:jc w:val="both"/>
        <w:rPr>
          <w:rFonts w:ascii="Times New Roman" w:hAnsi="Times New Roman" w:cs="Times New Roman"/>
          <w:sz w:val="24"/>
          <w:szCs w:val="24"/>
        </w:rPr>
      </w:pPr>
      <w:r>
        <w:rPr>
          <w:rFonts w:ascii="Times New Roman" w:hAnsi="Times New Roman" w:cs="Times New Roman"/>
          <w:sz w:val="24"/>
          <w:szCs w:val="24"/>
        </w:rPr>
        <w:t>“</w:t>
      </w:r>
      <w:r w:rsidRPr="004A21EB">
        <w:rPr>
          <w:rFonts w:ascii="Times New Roman" w:hAnsi="Times New Roman" w:cs="Times New Roman"/>
          <w:sz w:val="24"/>
          <w:szCs w:val="24"/>
        </w:rPr>
        <w:t>Neo-Orientalism generates an “us versus them” schema that brings the differentiation – and even confrontation – between identities, religions, and civilisations to the fore of any intercultural thinking. Neo-Orientalist discourse and knowledge and their entailing conflations, essentialisation, and Manichean constructions hence aggravate the divide between the West and Islam in the sense that they fail to deliver nuanced and objective understanding of the Muslim faith and peoples. This renewed Orientalist knowledge hides the reality of the existing diverse scholarly Islamic debates within the Muslim world</w:t>
      </w:r>
      <w:r>
        <w:rPr>
          <w:rFonts w:ascii="Times New Roman" w:hAnsi="Times New Roman" w:cs="Times New Roman"/>
          <w:sz w:val="24"/>
          <w:szCs w:val="24"/>
        </w:rPr>
        <w:t>”</w:t>
      </w:r>
      <w:r w:rsidR="00710A49">
        <w:rPr>
          <w:rStyle w:val="Rimandonotaapidipagina"/>
          <w:rFonts w:ascii="Times New Roman" w:hAnsi="Times New Roman" w:cs="Times New Roman"/>
          <w:sz w:val="24"/>
          <w:szCs w:val="24"/>
        </w:rPr>
        <w:footnoteReference w:id="8"/>
      </w:r>
      <w:r w:rsidR="00710A49">
        <w:rPr>
          <w:rFonts w:ascii="Times New Roman" w:hAnsi="Times New Roman" w:cs="Times New Roman"/>
          <w:sz w:val="24"/>
          <w:szCs w:val="24"/>
        </w:rPr>
        <w:t xml:space="preserve"> (p.27).</w:t>
      </w:r>
    </w:p>
    <w:p w14:paraId="2389FE08" w14:textId="77777777" w:rsidR="00391B65" w:rsidRDefault="00391B65" w:rsidP="00770B1C">
      <w:pPr>
        <w:jc w:val="both"/>
        <w:rPr>
          <w:rFonts w:ascii="Times New Roman" w:hAnsi="Times New Roman" w:cs="Times New Roman"/>
          <w:i/>
          <w:iCs/>
          <w:sz w:val="24"/>
          <w:szCs w:val="24"/>
        </w:rPr>
      </w:pPr>
    </w:p>
    <w:p w14:paraId="13876BAE" w14:textId="77777777" w:rsidR="00391B65" w:rsidRDefault="00391B65" w:rsidP="00770B1C">
      <w:pPr>
        <w:jc w:val="both"/>
        <w:rPr>
          <w:rFonts w:ascii="Times New Roman" w:hAnsi="Times New Roman" w:cs="Times New Roman"/>
          <w:i/>
          <w:iCs/>
          <w:sz w:val="24"/>
          <w:szCs w:val="24"/>
        </w:rPr>
      </w:pPr>
    </w:p>
    <w:p w14:paraId="0DB37779" w14:textId="036D4F4A" w:rsidR="007817EA" w:rsidRDefault="007817EA" w:rsidP="00770B1C">
      <w:pPr>
        <w:jc w:val="both"/>
        <w:rPr>
          <w:rFonts w:ascii="Times New Roman" w:hAnsi="Times New Roman" w:cs="Times New Roman"/>
          <w:i/>
          <w:iCs/>
          <w:sz w:val="24"/>
          <w:szCs w:val="24"/>
        </w:rPr>
      </w:pPr>
      <w:r w:rsidRPr="007817EA">
        <w:rPr>
          <w:rFonts w:ascii="Times New Roman" w:hAnsi="Times New Roman" w:cs="Times New Roman"/>
          <w:i/>
          <w:iCs/>
          <w:sz w:val="24"/>
          <w:szCs w:val="24"/>
        </w:rPr>
        <w:t xml:space="preserve">References </w:t>
      </w:r>
    </w:p>
    <w:p w14:paraId="43D326E2" w14:textId="77777777" w:rsidR="00391B65" w:rsidRDefault="00391B65" w:rsidP="00391B65">
      <w:pPr>
        <w:autoSpaceDE w:val="0"/>
        <w:autoSpaceDN w:val="0"/>
        <w:adjustRightInd w:val="0"/>
        <w:spacing w:after="0" w:line="240" w:lineRule="auto"/>
        <w:jc w:val="both"/>
        <w:rPr>
          <w:rFonts w:ascii="Times New Roman" w:hAnsi="Times New Roman" w:cs="Times New Roman"/>
          <w:color w:val="000000"/>
          <w:lang w:val="it-IT"/>
        </w:rPr>
      </w:pPr>
    </w:p>
    <w:p w14:paraId="65B1DCAC" w14:textId="77777777" w:rsidR="00391B65" w:rsidRDefault="00391B65" w:rsidP="00391B65">
      <w:pPr>
        <w:autoSpaceDE w:val="0"/>
        <w:autoSpaceDN w:val="0"/>
        <w:adjustRightInd w:val="0"/>
        <w:spacing w:after="0" w:line="240" w:lineRule="auto"/>
        <w:jc w:val="both"/>
        <w:rPr>
          <w:rFonts w:ascii="Times New Roman" w:hAnsi="Times New Roman" w:cs="Times New Roman"/>
          <w:color w:val="000000"/>
          <w:lang w:val="it-IT"/>
        </w:rPr>
      </w:pPr>
      <w:r w:rsidRPr="00391B65">
        <w:rPr>
          <w:rFonts w:ascii="Times New Roman" w:hAnsi="Times New Roman" w:cs="Times New Roman"/>
          <w:color w:val="000000"/>
          <w:lang w:val="fr-FR"/>
        </w:rPr>
        <w:t xml:space="preserve">Abbassi, D. (2009). </w:t>
      </w:r>
      <w:r w:rsidRPr="00391B65">
        <w:rPr>
          <w:rFonts w:ascii="Times New Roman" w:hAnsi="Times New Roman" w:cs="Times New Roman"/>
          <w:i/>
          <w:iCs/>
          <w:color w:val="000000"/>
          <w:lang w:val="fr-FR"/>
        </w:rPr>
        <w:t>Quand la Tunisie s’invente. Entre Orient et Occident, des imaginaires politiques</w:t>
      </w:r>
      <w:r w:rsidRPr="00391B65">
        <w:rPr>
          <w:rFonts w:ascii="Times New Roman" w:hAnsi="Times New Roman" w:cs="Times New Roman"/>
          <w:color w:val="000000"/>
          <w:lang w:val="fr-FR"/>
        </w:rPr>
        <w:t xml:space="preserve">. </w:t>
      </w:r>
      <w:r w:rsidRPr="00391B65">
        <w:rPr>
          <w:rFonts w:ascii="Times New Roman" w:hAnsi="Times New Roman" w:cs="Times New Roman"/>
          <w:color w:val="000000"/>
          <w:lang w:val="it-IT"/>
        </w:rPr>
        <w:t xml:space="preserve">Paris: Edition </w:t>
      </w:r>
      <w:proofErr w:type="spellStart"/>
      <w:r w:rsidRPr="00391B65">
        <w:rPr>
          <w:rFonts w:ascii="Times New Roman" w:hAnsi="Times New Roman" w:cs="Times New Roman"/>
          <w:color w:val="000000"/>
          <w:lang w:val="it-IT"/>
        </w:rPr>
        <w:t>Autrement</w:t>
      </w:r>
      <w:proofErr w:type="spellEnd"/>
      <w:r>
        <w:rPr>
          <w:rFonts w:ascii="Times New Roman" w:hAnsi="Times New Roman" w:cs="Times New Roman"/>
          <w:color w:val="000000"/>
          <w:lang w:val="it-IT"/>
        </w:rPr>
        <w:t>.</w:t>
      </w:r>
    </w:p>
    <w:p w14:paraId="736BA426" w14:textId="77777777" w:rsidR="00391B65" w:rsidRDefault="00391B65" w:rsidP="00391B65">
      <w:pPr>
        <w:autoSpaceDE w:val="0"/>
        <w:autoSpaceDN w:val="0"/>
        <w:adjustRightInd w:val="0"/>
        <w:spacing w:after="0" w:line="240" w:lineRule="auto"/>
        <w:jc w:val="both"/>
        <w:rPr>
          <w:rFonts w:ascii="Times New Roman" w:hAnsi="Times New Roman" w:cs="Times New Roman"/>
          <w:color w:val="000000"/>
          <w:lang w:val="it-IT"/>
        </w:rPr>
      </w:pPr>
      <w:r w:rsidRPr="00391B65">
        <w:rPr>
          <w:rFonts w:ascii="Times New Roman" w:hAnsi="Times New Roman" w:cs="Times New Roman"/>
          <w:color w:val="000000"/>
          <w:lang w:val="it-IT"/>
        </w:rPr>
        <w:t xml:space="preserve">Bandini G. (2012). </w:t>
      </w:r>
      <w:r w:rsidRPr="00391B65">
        <w:rPr>
          <w:rFonts w:ascii="Times New Roman" w:hAnsi="Times New Roman" w:cs="Times New Roman"/>
          <w:i/>
          <w:iCs/>
          <w:color w:val="000000"/>
          <w:lang w:val="it-IT"/>
        </w:rPr>
        <w:t>Manuali, sussidi e didattica della geografia. Una prospettiva storica</w:t>
      </w:r>
      <w:r w:rsidRPr="00391B65">
        <w:rPr>
          <w:rFonts w:ascii="Times New Roman" w:hAnsi="Times New Roman" w:cs="Times New Roman"/>
          <w:color w:val="000000"/>
          <w:lang w:val="it-IT"/>
        </w:rPr>
        <w:t>. Firenze: Firenze University Press</w:t>
      </w:r>
      <w:r>
        <w:rPr>
          <w:rFonts w:ascii="Times New Roman" w:hAnsi="Times New Roman" w:cs="Times New Roman"/>
          <w:color w:val="000000"/>
          <w:lang w:val="it-IT"/>
        </w:rPr>
        <w:t>.</w:t>
      </w:r>
      <w:r w:rsidRPr="00391B65">
        <w:rPr>
          <w:rFonts w:ascii="Times New Roman" w:hAnsi="Times New Roman" w:cs="Times New Roman"/>
          <w:color w:val="000000"/>
          <w:lang w:val="it-IT"/>
        </w:rPr>
        <w:t xml:space="preserve"> </w:t>
      </w:r>
    </w:p>
    <w:p w14:paraId="038534B4" w14:textId="27EB36C7" w:rsidR="00391B65" w:rsidRDefault="00391B65" w:rsidP="00391B65">
      <w:pPr>
        <w:autoSpaceDE w:val="0"/>
        <w:autoSpaceDN w:val="0"/>
        <w:adjustRightInd w:val="0"/>
        <w:spacing w:after="0" w:line="240" w:lineRule="auto"/>
        <w:jc w:val="both"/>
        <w:rPr>
          <w:rFonts w:ascii="Times New Roman" w:hAnsi="Times New Roman" w:cs="Times New Roman"/>
          <w:color w:val="000000"/>
          <w:lang w:val="fr-FR"/>
        </w:rPr>
      </w:pPr>
      <w:r w:rsidRPr="00391B65">
        <w:rPr>
          <w:rFonts w:ascii="Times New Roman" w:hAnsi="Times New Roman" w:cs="Times New Roman"/>
          <w:color w:val="000000"/>
          <w:lang w:val="it-IT"/>
        </w:rPr>
        <w:t xml:space="preserve">Blanchard et al. </w:t>
      </w:r>
      <w:r w:rsidRPr="00391B65">
        <w:rPr>
          <w:rFonts w:ascii="Times New Roman" w:hAnsi="Times New Roman" w:cs="Times New Roman"/>
          <w:color w:val="000000"/>
          <w:lang w:val="fr-FR"/>
        </w:rPr>
        <w:t xml:space="preserve">(2002). </w:t>
      </w:r>
      <w:r w:rsidRPr="00391B65">
        <w:rPr>
          <w:rFonts w:ascii="Times New Roman" w:hAnsi="Times New Roman" w:cs="Times New Roman"/>
          <w:i/>
          <w:iCs/>
          <w:color w:val="000000"/>
          <w:lang w:val="fr-FR"/>
        </w:rPr>
        <w:t xml:space="preserve">Zoos humains et exhibitions </w:t>
      </w:r>
      <w:proofErr w:type="spellStart"/>
      <w:r w:rsidRPr="00391B65">
        <w:rPr>
          <w:rFonts w:ascii="Times New Roman" w:hAnsi="Times New Roman" w:cs="Times New Roman"/>
          <w:i/>
          <w:iCs/>
          <w:color w:val="000000"/>
          <w:lang w:val="fr-FR"/>
        </w:rPr>
        <w:t>colonials</w:t>
      </w:r>
      <w:proofErr w:type="spellEnd"/>
      <w:r w:rsidRPr="00391B65">
        <w:rPr>
          <w:rFonts w:ascii="Times New Roman" w:hAnsi="Times New Roman" w:cs="Times New Roman"/>
          <w:i/>
          <w:iCs/>
          <w:color w:val="000000"/>
          <w:lang w:val="fr-FR"/>
        </w:rPr>
        <w:t>. 150 ans d’inventions de l’Autre</w:t>
      </w:r>
      <w:r w:rsidRPr="00391B65">
        <w:rPr>
          <w:rFonts w:ascii="Times New Roman" w:hAnsi="Times New Roman" w:cs="Times New Roman"/>
          <w:color w:val="000000"/>
          <w:lang w:val="fr-FR"/>
        </w:rPr>
        <w:t xml:space="preserve">. </w:t>
      </w:r>
      <w:proofErr w:type="gramStart"/>
      <w:r w:rsidRPr="00391B65">
        <w:rPr>
          <w:rFonts w:ascii="Times New Roman" w:hAnsi="Times New Roman" w:cs="Times New Roman"/>
          <w:color w:val="000000"/>
          <w:lang w:val="fr-FR"/>
        </w:rPr>
        <w:t>Paris:</w:t>
      </w:r>
      <w:proofErr w:type="gramEnd"/>
      <w:r w:rsidRPr="00391B65">
        <w:rPr>
          <w:rFonts w:ascii="Times New Roman" w:hAnsi="Times New Roman" w:cs="Times New Roman"/>
          <w:color w:val="000000"/>
          <w:lang w:val="fr-FR"/>
        </w:rPr>
        <w:t xml:space="preserve"> La Découverte</w:t>
      </w:r>
      <w:r>
        <w:rPr>
          <w:rFonts w:ascii="Times New Roman" w:hAnsi="Times New Roman" w:cs="Times New Roman"/>
          <w:color w:val="000000"/>
          <w:lang w:val="fr-FR"/>
        </w:rPr>
        <w:t>.</w:t>
      </w:r>
    </w:p>
    <w:p w14:paraId="28438A46" w14:textId="17C28ABC" w:rsidR="00391B65" w:rsidRDefault="00391B65" w:rsidP="00391B65">
      <w:pPr>
        <w:autoSpaceDE w:val="0"/>
        <w:autoSpaceDN w:val="0"/>
        <w:adjustRightInd w:val="0"/>
        <w:spacing w:after="0" w:line="240" w:lineRule="auto"/>
        <w:jc w:val="both"/>
        <w:rPr>
          <w:rFonts w:ascii="Times New Roman" w:hAnsi="Times New Roman" w:cs="Times New Roman"/>
          <w:color w:val="000000"/>
          <w:lang w:val="fr-FR"/>
        </w:rPr>
      </w:pPr>
      <w:r w:rsidRPr="00391B65">
        <w:rPr>
          <w:rFonts w:ascii="Times New Roman" w:hAnsi="Times New Roman" w:cs="Times New Roman"/>
          <w:color w:val="000000"/>
          <w:lang w:val="fr-FR"/>
        </w:rPr>
        <w:t xml:space="preserve">Boutan, P., Maurer, B. &amp; </w:t>
      </w:r>
      <w:proofErr w:type="spellStart"/>
      <w:r w:rsidRPr="00391B65">
        <w:rPr>
          <w:rFonts w:ascii="Times New Roman" w:hAnsi="Times New Roman" w:cs="Times New Roman"/>
          <w:color w:val="000000"/>
          <w:lang w:val="fr-FR"/>
        </w:rPr>
        <w:t>Remaoun</w:t>
      </w:r>
      <w:proofErr w:type="spellEnd"/>
      <w:r w:rsidRPr="00391B65">
        <w:rPr>
          <w:rFonts w:ascii="Times New Roman" w:hAnsi="Times New Roman" w:cs="Times New Roman"/>
          <w:color w:val="000000"/>
          <w:lang w:val="fr-FR"/>
        </w:rPr>
        <w:t xml:space="preserve">, H. (2012). </w:t>
      </w:r>
      <w:r w:rsidRPr="00391B65">
        <w:rPr>
          <w:rFonts w:ascii="Times New Roman" w:hAnsi="Times New Roman" w:cs="Times New Roman"/>
          <w:i/>
          <w:iCs/>
          <w:color w:val="000000"/>
          <w:lang w:val="fr-FR"/>
        </w:rPr>
        <w:t>La méditerranée des méditerranéens à travers leurs manuels scolaires</w:t>
      </w:r>
      <w:r w:rsidRPr="00391B65">
        <w:rPr>
          <w:rFonts w:ascii="Times New Roman" w:hAnsi="Times New Roman" w:cs="Times New Roman"/>
          <w:color w:val="000000"/>
          <w:lang w:val="fr-FR"/>
        </w:rPr>
        <w:t xml:space="preserve">. </w:t>
      </w:r>
      <w:proofErr w:type="gramStart"/>
      <w:r w:rsidRPr="00391B65">
        <w:rPr>
          <w:rFonts w:ascii="Times New Roman" w:hAnsi="Times New Roman" w:cs="Times New Roman"/>
          <w:color w:val="000000"/>
          <w:lang w:val="fr-FR"/>
        </w:rPr>
        <w:t>Paris:</w:t>
      </w:r>
      <w:proofErr w:type="gramEnd"/>
      <w:r w:rsidRPr="00391B65">
        <w:rPr>
          <w:rFonts w:ascii="Times New Roman" w:hAnsi="Times New Roman" w:cs="Times New Roman"/>
          <w:color w:val="000000"/>
          <w:lang w:val="fr-FR"/>
        </w:rPr>
        <w:t xml:space="preserve"> </w:t>
      </w:r>
      <w:proofErr w:type="spellStart"/>
      <w:r w:rsidRPr="00391B65">
        <w:rPr>
          <w:rFonts w:ascii="Times New Roman" w:hAnsi="Times New Roman" w:cs="Times New Roman"/>
          <w:color w:val="000000"/>
          <w:lang w:val="fr-FR"/>
        </w:rPr>
        <w:t>L’Harmattan</w:t>
      </w:r>
      <w:proofErr w:type="spellEnd"/>
      <w:r>
        <w:rPr>
          <w:rFonts w:ascii="Times New Roman" w:hAnsi="Times New Roman" w:cs="Times New Roman"/>
          <w:color w:val="000000"/>
          <w:lang w:val="fr-FR"/>
        </w:rPr>
        <w:t>.</w:t>
      </w:r>
      <w:r w:rsidRPr="00391B65">
        <w:rPr>
          <w:rFonts w:ascii="Times New Roman" w:hAnsi="Times New Roman" w:cs="Times New Roman"/>
          <w:color w:val="000000"/>
          <w:lang w:val="fr-FR"/>
        </w:rPr>
        <w:t xml:space="preserve"> </w:t>
      </w:r>
    </w:p>
    <w:p w14:paraId="421C71B3" w14:textId="655DEC25" w:rsidR="00391B65" w:rsidRDefault="00391B65" w:rsidP="00391B65">
      <w:pPr>
        <w:autoSpaceDE w:val="0"/>
        <w:autoSpaceDN w:val="0"/>
        <w:adjustRightInd w:val="0"/>
        <w:spacing w:after="0" w:line="240" w:lineRule="auto"/>
        <w:jc w:val="both"/>
        <w:rPr>
          <w:rFonts w:ascii="Times New Roman" w:hAnsi="Times New Roman" w:cs="Times New Roman"/>
          <w:color w:val="000000"/>
          <w:lang w:val="fr-FR"/>
        </w:rPr>
      </w:pPr>
      <w:proofErr w:type="spellStart"/>
      <w:r w:rsidRPr="00391B65">
        <w:rPr>
          <w:rFonts w:ascii="Times New Roman" w:hAnsi="Times New Roman" w:cs="Times New Roman"/>
          <w:color w:val="000000"/>
          <w:lang w:val="fr-FR"/>
        </w:rPr>
        <w:t>Brunelli</w:t>
      </w:r>
      <w:proofErr w:type="spellEnd"/>
      <w:r w:rsidRPr="00391B65">
        <w:rPr>
          <w:rFonts w:ascii="Times New Roman" w:hAnsi="Times New Roman" w:cs="Times New Roman"/>
          <w:color w:val="000000"/>
          <w:lang w:val="fr-FR"/>
        </w:rPr>
        <w:t xml:space="preserve">, C. et al. </w:t>
      </w:r>
      <w:r w:rsidRPr="00391B65">
        <w:rPr>
          <w:rFonts w:ascii="Times New Roman" w:hAnsi="Times New Roman" w:cs="Times New Roman"/>
          <w:color w:val="000000"/>
          <w:lang w:val="it-IT"/>
        </w:rPr>
        <w:t xml:space="preserve">(2007). </w:t>
      </w:r>
      <w:r w:rsidRPr="00391B65">
        <w:rPr>
          <w:rFonts w:ascii="Times New Roman" w:hAnsi="Times New Roman" w:cs="Times New Roman"/>
          <w:i/>
          <w:iCs/>
          <w:color w:val="000000"/>
          <w:lang w:val="it-IT"/>
        </w:rPr>
        <w:t>Oltre l’etnocentrismo. I saperi della scuola al di là dell’Occidente</w:t>
      </w:r>
      <w:r w:rsidRPr="00391B65">
        <w:rPr>
          <w:rFonts w:ascii="Times New Roman" w:hAnsi="Times New Roman" w:cs="Times New Roman"/>
          <w:color w:val="000000"/>
          <w:lang w:val="it-IT"/>
        </w:rPr>
        <w:t xml:space="preserve">. </w:t>
      </w:r>
      <w:proofErr w:type="spellStart"/>
      <w:proofErr w:type="gramStart"/>
      <w:r w:rsidRPr="00391B65">
        <w:rPr>
          <w:rFonts w:ascii="Times New Roman" w:hAnsi="Times New Roman" w:cs="Times New Roman"/>
          <w:color w:val="000000"/>
          <w:lang w:val="fr-FR"/>
        </w:rPr>
        <w:t>Bologna</w:t>
      </w:r>
      <w:proofErr w:type="spellEnd"/>
      <w:r w:rsidRPr="00391B65">
        <w:rPr>
          <w:rFonts w:ascii="Times New Roman" w:hAnsi="Times New Roman" w:cs="Times New Roman"/>
          <w:color w:val="000000"/>
          <w:lang w:val="fr-FR"/>
        </w:rPr>
        <w:t>:</w:t>
      </w:r>
      <w:proofErr w:type="gramEnd"/>
      <w:r w:rsidRPr="00391B65">
        <w:rPr>
          <w:rFonts w:ascii="Times New Roman" w:hAnsi="Times New Roman" w:cs="Times New Roman"/>
          <w:color w:val="000000"/>
          <w:lang w:val="fr-FR"/>
        </w:rPr>
        <w:t xml:space="preserve"> EMI</w:t>
      </w:r>
      <w:r>
        <w:rPr>
          <w:rFonts w:ascii="Times New Roman" w:hAnsi="Times New Roman" w:cs="Times New Roman"/>
          <w:color w:val="000000"/>
          <w:lang w:val="fr-FR"/>
        </w:rPr>
        <w:t>.</w:t>
      </w:r>
    </w:p>
    <w:p w14:paraId="5842CACD" w14:textId="07A8816E" w:rsidR="00391B65" w:rsidRDefault="00391B65" w:rsidP="00391B65">
      <w:pPr>
        <w:autoSpaceDE w:val="0"/>
        <w:autoSpaceDN w:val="0"/>
        <w:adjustRightInd w:val="0"/>
        <w:spacing w:after="0" w:line="240" w:lineRule="auto"/>
        <w:jc w:val="both"/>
        <w:rPr>
          <w:rFonts w:ascii="Times New Roman" w:hAnsi="Times New Roman" w:cs="Times New Roman"/>
          <w:color w:val="000000"/>
          <w:lang w:val="it-IT"/>
        </w:rPr>
      </w:pPr>
      <w:proofErr w:type="spellStart"/>
      <w:r w:rsidRPr="00391B65">
        <w:rPr>
          <w:rFonts w:ascii="Times New Roman" w:hAnsi="Times New Roman" w:cs="Times New Roman"/>
          <w:color w:val="000000"/>
          <w:lang w:val="fr-FR"/>
        </w:rPr>
        <w:t>Chabchoub</w:t>
      </w:r>
      <w:proofErr w:type="spellEnd"/>
      <w:r w:rsidRPr="00391B65">
        <w:rPr>
          <w:rFonts w:ascii="Times New Roman" w:hAnsi="Times New Roman" w:cs="Times New Roman"/>
          <w:color w:val="000000"/>
          <w:lang w:val="fr-FR"/>
        </w:rPr>
        <w:t xml:space="preserve">, A. (2000). </w:t>
      </w:r>
      <w:r w:rsidRPr="00391B65">
        <w:rPr>
          <w:rFonts w:ascii="Times New Roman" w:hAnsi="Times New Roman" w:cs="Times New Roman"/>
          <w:i/>
          <w:iCs/>
          <w:color w:val="000000"/>
          <w:lang w:val="fr-FR"/>
        </w:rPr>
        <w:t>Ecole et modernité en Tunisie et dans les pays arabes</w:t>
      </w:r>
      <w:r w:rsidRPr="00391B65">
        <w:rPr>
          <w:rFonts w:ascii="Times New Roman" w:hAnsi="Times New Roman" w:cs="Times New Roman"/>
          <w:color w:val="000000"/>
          <w:lang w:val="fr-FR"/>
        </w:rPr>
        <w:t xml:space="preserve">. </w:t>
      </w:r>
      <w:proofErr w:type="gramStart"/>
      <w:r w:rsidRPr="00391B65">
        <w:rPr>
          <w:rFonts w:ascii="Times New Roman" w:hAnsi="Times New Roman" w:cs="Times New Roman"/>
          <w:color w:val="000000"/>
          <w:lang w:val="fr-FR"/>
        </w:rPr>
        <w:t>Paris:</w:t>
      </w:r>
      <w:proofErr w:type="gramEnd"/>
      <w:r w:rsidRPr="00391B65">
        <w:rPr>
          <w:rFonts w:ascii="Times New Roman" w:hAnsi="Times New Roman" w:cs="Times New Roman"/>
          <w:color w:val="000000"/>
          <w:lang w:val="fr-FR"/>
        </w:rPr>
        <w:t xml:space="preserve"> </w:t>
      </w:r>
      <w:proofErr w:type="spellStart"/>
      <w:r w:rsidRPr="00391B65">
        <w:rPr>
          <w:rFonts w:ascii="Times New Roman" w:hAnsi="Times New Roman" w:cs="Times New Roman"/>
          <w:color w:val="000000"/>
          <w:lang w:val="fr-FR"/>
        </w:rPr>
        <w:t>L’Harmattan</w:t>
      </w:r>
      <w:proofErr w:type="spellEnd"/>
      <w:r w:rsidRPr="00391B65">
        <w:rPr>
          <w:rFonts w:ascii="Times New Roman" w:hAnsi="Times New Roman" w:cs="Times New Roman"/>
          <w:color w:val="000000"/>
          <w:lang w:val="fr-FR"/>
        </w:rPr>
        <w:t xml:space="preserve">; </w:t>
      </w:r>
      <w:proofErr w:type="spellStart"/>
      <w:r w:rsidRPr="00391B65">
        <w:rPr>
          <w:rFonts w:ascii="Times New Roman" w:hAnsi="Times New Roman" w:cs="Times New Roman"/>
          <w:color w:val="000000"/>
          <w:lang w:val="fr-FR"/>
        </w:rPr>
        <w:t>Choppin</w:t>
      </w:r>
      <w:proofErr w:type="spellEnd"/>
      <w:r w:rsidRPr="00391B65">
        <w:rPr>
          <w:rFonts w:ascii="Times New Roman" w:hAnsi="Times New Roman" w:cs="Times New Roman"/>
          <w:color w:val="000000"/>
          <w:lang w:val="fr-FR"/>
        </w:rPr>
        <w:t xml:space="preserve">, A. (2008). Le manuel scolaire, une fausse évidence historique. </w:t>
      </w:r>
      <w:r w:rsidRPr="00391B65">
        <w:rPr>
          <w:rFonts w:ascii="Times New Roman" w:hAnsi="Times New Roman" w:cs="Times New Roman"/>
          <w:i/>
          <w:iCs/>
          <w:color w:val="000000"/>
          <w:lang w:val="it-IT"/>
        </w:rPr>
        <w:t>Histoire de l’</w:t>
      </w:r>
      <w:proofErr w:type="spellStart"/>
      <w:r w:rsidRPr="00391B65">
        <w:rPr>
          <w:rFonts w:ascii="Times New Roman" w:hAnsi="Times New Roman" w:cs="Times New Roman"/>
          <w:i/>
          <w:iCs/>
          <w:color w:val="000000"/>
          <w:lang w:val="it-IT"/>
        </w:rPr>
        <w:t>éducation</w:t>
      </w:r>
      <w:proofErr w:type="spellEnd"/>
      <w:r w:rsidRPr="00391B65">
        <w:rPr>
          <w:rFonts w:ascii="Times New Roman" w:hAnsi="Times New Roman" w:cs="Times New Roman"/>
          <w:color w:val="000000"/>
          <w:lang w:val="it-IT"/>
        </w:rPr>
        <w:t>, n.117, p.7-56</w:t>
      </w:r>
      <w:r>
        <w:rPr>
          <w:rFonts w:ascii="Times New Roman" w:hAnsi="Times New Roman" w:cs="Times New Roman"/>
          <w:color w:val="000000"/>
          <w:lang w:val="it-IT"/>
        </w:rPr>
        <w:t>.</w:t>
      </w:r>
    </w:p>
    <w:p w14:paraId="156AEE18" w14:textId="77777777" w:rsidR="00391B65" w:rsidRDefault="00391B65" w:rsidP="00391B65">
      <w:pPr>
        <w:autoSpaceDE w:val="0"/>
        <w:autoSpaceDN w:val="0"/>
        <w:adjustRightInd w:val="0"/>
        <w:spacing w:after="0" w:line="240" w:lineRule="auto"/>
        <w:jc w:val="both"/>
        <w:rPr>
          <w:rFonts w:ascii="Times New Roman" w:hAnsi="Times New Roman" w:cs="Times New Roman"/>
          <w:color w:val="000000"/>
        </w:rPr>
      </w:pPr>
      <w:r w:rsidRPr="00391B65">
        <w:rPr>
          <w:rFonts w:ascii="Times New Roman" w:hAnsi="Times New Roman" w:cs="Times New Roman"/>
          <w:color w:val="000000"/>
        </w:rPr>
        <w:t xml:space="preserve">Georg Eckert </w:t>
      </w:r>
      <w:proofErr w:type="spellStart"/>
      <w:r w:rsidRPr="00391B65">
        <w:rPr>
          <w:rFonts w:ascii="Times New Roman" w:hAnsi="Times New Roman" w:cs="Times New Roman"/>
          <w:color w:val="000000"/>
        </w:rPr>
        <w:t>Institut</w:t>
      </w:r>
      <w:proofErr w:type="spellEnd"/>
      <w:r w:rsidRPr="00391B65">
        <w:rPr>
          <w:rFonts w:ascii="Times New Roman" w:hAnsi="Times New Roman" w:cs="Times New Roman"/>
          <w:color w:val="000000"/>
        </w:rPr>
        <w:t xml:space="preserve"> (2011). </w:t>
      </w:r>
      <w:r w:rsidRPr="00391B65">
        <w:rPr>
          <w:rFonts w:ascii="Times New Roman" w:hAnsi="Times New Roman" w:cs="Times New Roman"/>
          <w:i/>
          <w:iCs/>
          <w:color w:val="000000"/>
        </w:rPr>
        <w:t>The Current Status or Representations of Islam and Muslims in</w:t>
      </w:r>
      <w:r w:rsidRPr="00391B65">
        <w:rPr>
          <w:rFonts w:ascii="Times New Roman" w:hAnsi="Times New Roman" w:cs="Times New Roman"/>
          <w:i/>
          <w:iCs/>
          <w:color w:val="000000"/>
        </w:rPr>
        <w:t xml:space="preserve"> </w:t>
      </w:r>
      <w:r w:rsidRPr="00391B65">
        <w:rPr>
          <w:rFonts w:ascii="Times New Roman" w:hAnsi="Times New Roman" w:cs="Times New Roman"/>
          <w:i/>
          <w:iCs/>
          <w:color w:val="000000"/>
        </w:rPr>
        <w:t>Textbooks in European Countries – Germany, Austria, France, Spain and England</w:t>
      </w:r>
      <w:r w:rsidRPr="00391B65">
        <w:rPr>
          <w:rFonts w:ascii="Times New Roman" w:hAnsi="Times New Roman" w:cs="Times New Roman"/>
          <w:color w:val="000000"/>
        </w:rPr>
        <w:t>,</w:t>
      </w:r>
      <w:r>
        <w:rPr>
          <w:rFonts w:ascii="Times New Roman" w:hAnsi="Times New Roman" w:cs="Times New Roman"/>
          <w:i/>
          <w:iCs/>
          <w:color w:val="000000"/>
        </w:rPr>
        <w:t xml:space="preserve"> </w:t>
      </w:r>
      <w:proofErr w:type="spellStart"/>
      <w:r w:rsidRPr="00391B65">
        <w:rPr>
          <w:rFonts w:ascii="Times New Roman" w:hAnsi="Times New Roman" w:cs="Times New Roman"/>
          <w:color w:val="000000"/>
        </w:rPr>
        <w:t>Kröhnert</w:t>
      </w:r>
      <w:proofErr w:type="spellEnd"/>
      <w:r w:rsidRPr="00391B65">
        <w:rPr>
          <w:rFonts w:ascii="Times New Roman" w:hAnsi="Times New Roman" w:cs="Times New Roman"/>
          <w:color w:val="000000"/>
        </w:rPr>
        <w:t>-Othman, Kamp, Wagner, (</w:t>
      </w:r>
      <w:r w:rsidRPr="00391B65">
        <w:rPr>
          <w:rFonts w:ascii="Times New Roman" w:hAnsi="Times New Roman" w:cs="Times New Roman"/>
          <w:color w:val="000000"/>
        </w:rPr>
        <w:t>ed</w:t>
      </w:r>
      <w:r w:rsidRPr="00391B65">
        <w:rPr>
          <w:rFonts w:ascii="Times New Roman" w:hAnsi="Times New Roman" w:cs="Times New Roman"/>
          <w:color w:val="000000"/>
        </w:rPr>
        <w:t>)</w:t>
      </w:r>
      <w:r>
        <w:rPr>
          <w:rFonts w:ascii="Times New Roman" w:hAnsi="Times New Roman" w:cs="Times New Roman"/>
          <w:color w:val="000000"/>
        </w:rPr>
        <w:t>,</w:t>
      </w:r>
      <w:r w:rsidRPr="00391B65">
        <w:t xml:space="preserve"> </w:t>
      </w:r>
      <w:hyperlink r:id="rId7" w:history="1">
        <w:r w:rsidRPr="007D0A61">
          <w:rPr>
            <w:rStyle w:val="Collegamentoipertestuale"/>
            <w:rFonts w:ascii="Times New Roman" w:hAnsi="Times New Roman" w:cs="Times New Roman"/>
          </w:rPr>
          <w:t>http://www.gei.de/en/projects/completed-projects/current-status-or-representations-of-islam-and-muslims.html</w:t>
        </w:r>
      </w:hyperlink>
      <w:r w:rsidRPr="00391B65">
        <w:rPr>
          <w:rFonts w:ascii="Times New Roman" w:hAnsi="Times New Roman" w:cs="Times New Roman"/>
          <w:color w:val="000000"/>
        </w:rPr>
        <w:t>.</w:t>
      </w:r>
    </w:p>
    <w:p w14:paraId="423CDD78" w14:textId="77777777" w:rsidR="00391B65" w:rsidRDefault="00391B65" w:rsidP="00391B65">
      <w:pPr>
        <w:autoSpaceDE w:val="0"/>
        <w:autoSpaceDN w:val="0"/>
        <w:adjustRightInd w:val="0"/>
        <w:spacing w:after="0" w:line="240" w:lineRule="auto"/>
        <w:jc w:val="both"/>
        <w:rPr>
          <w:rFonts w:ascii="Times New Roman" w:hAnsi="Times New Roman" w:cs="Times New Roman"/>
          <w:color w:val="000000"/>
        </w:rPr>
      </w:pPr>
      <w:proofErr w:type="spellStart"/>
      <w:r w:rsidRPr="00391B65">
        <w:rPr>
          <w:rFonts w:ascii="Times New Roman" w:hAnsi="Times New Roman" w:cs="Times New Roman"/>
          <w:color w:val="000000"/>
        </w:rPr>
        <w:t>Kerboua</w:t>
      </w:r>
      <w:proofErr w:type="spellEnd"/>
      <w:r w:rsidRPr="00391B65">
        <w:rPr>
          <w:rFonts w:ascii="Times New Roman" w:hAnsi="Times New Roman" w:cs="Times New Roman"/>
          <w:color w:val="000000"/>
        </w:rPr>
        <w:t xml:space="preserve">, S. (2016). From Orientalism to neo-Orientalism: Early and contemporary constructions of Islam and the Muslim world. </w:t>
      </w:r>
      <w:r w:rsidRPr="00391B65">
        <w:rPr>
          <w:rFonts w:ascii="Times New Roman" w:hAnsi="Times New Roman" w:cs="Times New Roman"/>
          <w:i/>
          <w:iCs/>
          <w:color w:val="000000"/>
        </w:rPr>
        <w:t>Intellectual Discourse</w:t>
      </w:r>
      <w:r w:rsidRPr="00391B65">
        <w:rPr>
          <w:rFonts w:ascii="Times New Roman" w:hAnsi="Times New Roman" w:cs="Times New Roman"/>
          <w:color w:val="000000"/>
        </w:rPr>
        <w:t>, 24:1 (2016) 7–34.</w:t>
      </w:r>
    </w:p>
    <w:p w14:paraId="34091AC3" w14:textId="1F5A72D8" w:rsidR="00391B65" w:rsidRDefault="00391B65" w:rsidP="00391B65">
      <w:pPr>
        <w:autoSpaceDE w:val="0"/>
        <w:autoSpaceDN w:val="0"/>
        <w:adjustRightInd w:val="0"/>
        <w:spacing w:after="0" w:line="240" w:lineRule="auto"/>
        <w:jc w:val="both"/>
        <w:rPr>
          <w:rFonts w:ascii="Times New Roman" w:hAnsi="Times New Roman" w:cs="Times New Roman"/>
          <w:color w:val="000000"/>
          <w:lang w:val="fr-FR"/>
        </w:rPr>
      </w:pPr>
      <w:r w:rsidRPr="00391B65">
        <w:rPr>
          <w:rFonts w:ascii="Times New Roman" w:hAnsi="Times New Roman" w:cs="Times New Roman"/>
          <w:color w:val="000000"/>
          <w:lang w:val="it-IT"/>
        </w:rPr>
        <w:t xml:space="preserve">Lucenti, M. (2018). </w:t>
      </w:r>
      <w:r w:rsidRPr="00391B65">
        <w:rPr>
          <w:rFonts w:ascii="Times New Roman" w:hAnsi="Times New Roman" w:cs="Times New Roman"/>
          <w:i/>
          <w:iCs/>
          <w:color w:val="000000"/>
          <w:lang w:val="it-IT"/>
        </w:rPr>
        <w:t>Storie altre. Il mondo arabo-musulmano e l’occidente nei manuali di Italia e Tunisia</w:t>
      </w:r>
      <w:r w:rsidRPr="00391B65">
        <w:rPr>
          <w:rFonts w:ascii="Times New Roman" w:hAnsi="Times New Roman" w:cs="Times New Roman"/>
          <w:color w:val="000000"/>
          <w:lang w:val="it-IT"/>
        </w:rPr>
        <w:t xml:space="preserve">. </w:t>
      </w:r>
      <w:proofErr w:type="gramStart"/>
      <w:r w:rsidRPr="00391B65">
        <w:rPr>
          <w:rFonts w:ascii="Times New Roman" w:hAnsi="Times New Roman" w:cs="Times New Roman"/>
          <w:color w:val="000000"/>
          <w:lang w:val="fr-FR"/>
        </w:rPr>
        <w:t>Roma:</w:t>
      </w:r>
      <w:proofErr w:type="gramEnd"/>
      <w:r w:rsidRPr="00391B65">
        <w:rPr>
          <w:rFonts w:ascii="Times New Roman" w:hAnsi="Times New Roman" w:cs="Times New Roman"/>
          <w:color w:val="000000"/>
          <w:lang w:val="fr-FR"/>
        </w:rPr>
        <w:t xml:space="preserve"> </w:t>
      </w:r>
      <w:proofErr w:type="spellStart"/>
      <w:r w:rsidRPr="00391B65">
        <w:rPr>
          <w:rFonts w:ascii="Times New Roman" w:hAnsi="Times New Roman" w:cs="Times New Roman"/>
          <w:color w:val="000000"/>
          <w:lang w:val="fr-FR"/>
        </w:rPr>
        <w:t>Aracne</w:t>
      </w:r>
      <w:proofErr w:type="spellEnd"/>
      <w:r>
        <w:rPr>
          <w:rFonts w:ascii="Times New Roman" w:hAnsi="Times New Roman" w:cs="Times New Roman"/>
          <w:color w:val="000000"/>
          <w:lang w:val="fr-FR"/>
        </w:rPr>
        <w:t>.</w:t>
      </w:r>
    </w:p>
    <w:p w14:paraId="5C548055" w14:textId="09B3B6D1" w:rsidR="00391B65" w:rsidRDefault="00391B65" w:rsidP="00391B65">
      <w:pPr>
        <w:autoSpaceDE w:val="0"/>
        <w:autoSpaceDN w:val="0"/>
        <w:adjustRightInd w:val="0"/>
        <w:spacing w:after="0" w:line="240" w:lineRule="auto"/>
        <w:jc w:val="both"/>
        <w:rPr>
          <w:rFonts w:ascii="Times New Roman" w:hAnsi="Times New Roman" w:cs="Times New Roman"/>
          <w:color w:val="000000"/>
          <w:lang w:val="fr-FR"/>
        </w:rPr>
      </w:pPr>
      <w:r w:rsidRPr="00391B65">
        <w:rPr>
          <w:rFonts w:ascii="Times New Roman" w:hAnsi="Times New Roman" w:cs="Times New Roman"/>
          <w:color w:val="000000"/>
          <w:lang w:val="fr-FR"/>
        </w:rPr>
        <w:lastRenderedPageBreak/>
        <w:t xml:space="preserve">Nasr, M. (2001). </w:t>
      </w:r>
      <w:r w:rsidRPr="00391B65">
        <w:rPr>
          <w:rFonts w:ascii="Times New Roman" w:hAnsi="Times New Roman" w:cs="Times New Roman"/>
          <w:i/>
          <w:iCs/>
          <w:color w:val="000000"/>
          <w:lang w:val="fr-FR"/>
        </w:rPr>
        <w:t>Les Arabes et l’Islam vus par les manuels scolaires français</w:t>
      </w:r>
      <w:r w:rsidRPr="00391B65">
        <w:rPr>
          <w:rFonts w:ascii="Times New Roman" w:hAnsi="Times New Roman" w:cs="Times New Roman"/>
          <w:color w:val="000000"/>
          <w:lang w:val="fr-FR"/>
        </w:rPr>
        <w:t xml:space="preserve">. </w:t>
      </w:r>
      <w:r w:rsidRPr="00391B65">
        <w:rPr>
          <w:rFonts w:ascii="Times New Roman" w:hAnsi="Times New Roman" w:cs="Times New Roman"/>
          <w:color w:val="000000"/>
          <w:lang w:val="it-IT"/>
        </w:rPr>
        <w:t xml:space="preserve">Paris: </w:t>
      </w:r>
      <w:proofErr w:type="spellStart"/>
      <w:r w:rsidRPr="00391B65">
        <w:rPr>
          <w:rFonts w:ascii="Times New Roman" w:hAnsi="Times New Roman" w:cs="Times New Roman"/>
          <w:color w:val="000000"/>
          <w:lang w:val="it-IT"/>
        </w:rPr>
        <w:t>Editions</w:t>
      </w:r>
      <w:proofErr w:type="spellEnd"/>
      <w:r w:rsidRPr="00391B65">
        <w:rPr>
          <w:rFonts w:ascii="Times New Roman" w:hAnsi="Times New Roman" w:cs="Times New Roman"/>
          <w:color w:val="000000"/>
          <w:lang w:val="it-IT"/>
        </w:rPr>
        <w:t xml:space="preserve"> </w:t>
      </w:r>
      <w:proofErr w:type="spellStart"/>
      <w:r w:rsidRPr="00391B65">
        <w:rPr>
          <w:rFonts w:ascii="Times New Roman" w:hAnsi="Times New Roman" w:cs="Times New Roman"/>
          <w:color w:val="000000"/>
          <w:lang w:val="it-IT"/>
        </w:rPr>
        <w:t>Karthala</w:t>
      </w:r>
      <w:proofErr w:type="spellEnd"/>
      <w:r>
        <w:rPr>
          <w:rFonts w:ascii="Times New Roman" w:hAnsi="Times New Roman" w:cs="Times New Roman"/>
          <w:color w:val="000000"/>
          <w:lang w:val="it-IT"/>
        </w:rPr>
        <w:t xml:space="preserve">. </w:t>
      </w:r>
      <w:r w:rsidRPr="00391B65">
        <w:rPr>
          <w:rFonts w:ascii="Times New Roman" w:hAnsi="Times New Roman" w:cs="Times New Roman"/>
          <w:color w:val="000000"/>
          <w:lang w:val="it-IT"/>
        </w:rPr>
        <w:t xml:space="preserve">Procacci, G. (2005). </w:t>
      </w:r>
      <w:r w:rsidRPr="00391B65">
        <w:rPr>
          <w:rFonts w:ascii="Times New Roman" w:hAnsi="Times New Roman" w:cs="Times New Roman"/>
          <w:i/>
          <w:iCs/>
          <w:color w:val="000000"/>
          <w:lang w:val="it-IT"/>
        </w:rPr>
        <w:t>Carte d’identità. Revisionismi, nazionalismi e fondamentalismi nei manuali di storia</w:t>
      </w:r>
      <w:r w:rsidRPr="00391B65">
        <w:rPr>
          <w:rFonts w:ascii="Times New Roman" w:hAnsi="Times New Roman" w:cs="Times New Roman"/>
          <w:color w:val="000000"/>
          <w:lang w:val="it-IT"/>
        </w:rPr>
        <w:t xml:space="preserve">. </w:t>
      </w:r>
      <w:proofErr w:type="gramStart"/>
      <w:r w:rsidRPr="00391B65">
        <w:rPr>
          <w:rFonts w:ascii="Times New Roman" w:hAnsi="Times New Roman" w:cs="Times New Roman"/>
          <w:color w:val="000000"/>
          <w:lang w:val="fr-FR"/>
        </w:rPr>
        <w:t>Roma:</w:t>
      </w:r>
      <w:proofErr w:type="gramEnd"/>
      <w:r w:rsidRPr="00391B65">
        <w:rPr>
          <w:rFonts w:ascii="Times New Roman" w:hAnsi="Times New Roman" w:cs="Times New Roman"/>
          <w:color w:val="000000"/>
          <w:lang w:val="fr-FR"/>
        </w:rPr>
        <w:t xml:space="preserve"> </w:t>
      </w:r>
      <w:proofErr w:type="spellStart"/>
      <w:r w:rsidRPr="00391B65">
        <w:rPr>
          <w:rFonts w:ascii="Times New Roman" w:hAnsi="Times New Roman" w:cs="Times New Roman"/>
          <w:color w:val="000000"/>
          <w:lang w:val="fr-FR"/>
        </w:rPr>
        <w:t>Carocci</w:t>
      </w:r>
      <w:proofErr w:type="spellEnd"/>
      <w:r>
        <w:rPr>
          <w:rFonts w:ascii="Times New Roman" w:hAnsi="Times New Roman" w:cs="Times New Roman"/>
          <w:color w:val="000000"/>
          <w:lang w:val="fr-FR"/>
        </w:rPr>
        <w:t>.</w:t>
      </w:r>
    </w:p>
    <w:p w14:paraId="30CC2063" w14:textId="77777777" w:rsidR="00391B65" w:rsidRPr="00391B65" w:rsidRDefault="00391B65" w:rsidP="00391B65">
      <w:pPr>
        <w:autoSpaceDE w:val="0"/>
        <w:autoSpaceDN w:val="0"/>
        <w:adjustRightInd w:val="0"/>
        <w:spacing w:after="0" w:line="240" w:lineRule="auto"/>
        <w:jc w:val="both"/>
        <w:rPr>
          <w:rFonts w:ascii="Times New Roman" w:hAnsi="Times New Roman" w:cs="Times New Roman"/>
          <w:color w:val="000000"/>
          <w:lang w:val="it-IT"/>
        </w:rPr>
      </w:pPr>
      <w:r w:rsidRPr="00391B65">
        <w:rPr>
          <w:rFonts w:ascii="Times New Roman" w:hAnsi="Times New Roman" w:cs="Times New Roman"/>
          <w:color w:val="000000"/>
          <w:lang w:val="it-IT"/>
        </w:rPr>
        <w:t xml:space="preserve">Pepicelli, R. (2012). </w:t>
      </w:r>
      <w:r w:rsidRPr="00391B65">
        <w:rPr>
          <w:rFonts w:ascii="Times New Roman" w:hAnsi="Times New Roman" w:cs="Times New Roman"/>
          <w:i/>
          <w:iCs/>
          <w:color w:val="000000"/>
          <w:lang w:val="it-IT"/>
        </w:rPr>
        <w:t>Il velo nell’Islam. Storia, politica, estetica</w:t>
      </w:r>
      <w:r w:rsidRPr="00391B65">
        <w:rPr>
          <w:rFonts w:ascii="Times New Roman" w:hAnsi="Times New Roman" w:cs="Times New Roman"/>
          <w:color w:val="000000"/>
          <w:lang w:val="it-IT"/>
        </w:rPr>
        <w:t>. Roma: Carocci.</w:t>
      </w:r>
    </w:p>
    <w:p w14:paraId="220331D6" w14:textId="77777777" w:rsidR="00391B65" w:rsidRPr="00391B65" w:rsidRDefault="00391B65" w:rsidP="00391B65">
      <w:pPr>
        <w:autoSpaceDE w:val="0"/>
        <w:autoSpaceDN w:val="0"/>
        <w:adjustRightInd w:val="0"/>
        <w:spacing w:after="0" w:line="240" w:lineRule="auto"/>
        <w:jc w:val="both"/>
        <w:rPr>
          <w:rFonts w:ascii="Times New Roman" w:hAnsi="Times New Roman" w:cs="Times New Roman"/>
          <w:color w:val="000000"/>
        </w:rPr>
      </w:pPr>
      <w:r w:rsidRPr="00391B65">
        <w:rPr>
          <w:rFonts w:ascii="Times New Roman" w:hAnsi="Times New Roman" w:cs="Times New Roman"/>
          <w:color w:val="000000"/>
          <w:lang w:val="it-IT"/>
        </w:rPr>
        <w:t xml:space="preserve">Pepicelli, R. (2014). </w:t>
      </w:r>
      <w:r w:rsidRPr="00391B65">
        <w:rPr>
          <w:rFonts w:ascii="Times New Roman" w:hAnsi="Times New Roman" w:cs="Times New Roman"/>
          <w:i/>
          <w:iCs/>
          <w:color w:val="000000"/>
          <w:lang w:val="it-IT"/>
        </w:rPr>
        <w:t>Le donne nei media arabi. Tra aspettative tradite e nuove opportunità</w:t>
      </w:r>
      <w:r w:rsidRPr="00391B65">
        <w:rPr>
          <w:rFonts w:ascii="Times New Roman" w:hAnsi="Times New Roman" w:cs="Times New Roman"/>
          <w:color w:val="000000"/>
          <w:lang w:val="it-IT"/>
        </w:rPr>
        <w:t xml:space="preserve">. </w:t>
      </w:r>
      <w:r w:rsidRPr="00391B65">
        <w:rPr>
          <w:rFonts w:ascii="Times New Roman" w:hAnsi="Times New Roman" w:cs="Times New Roman"/>
          <w:color w:val="000000"/>
        </w:rPr>
        <w:t xml:space="preserve">Roma: </w:t>
      </w:r>
      <w:proofErr w:type="spellStart"/>
      <w:r w:rsidRPr="00391B65">
        <w:rPr>
          <w:rFonts w:ascii="Times New Roman" w:hAnsi="Times New Roman" w:cs="Times New Roman"/>
          <w:color w:val="000000"/>
        </w:rPr>
        <w:t>Carocci</w:t>
      </w:r>
      <w:proofErr w:type="spellEnd"/>
      <w:r w:rsidRPr="00391B65">
        <w:rPr>
          <w:rFonts w:ascii="Times New Roman" w:hAnsi="Times New Roman" w:cs="Times New Roman"/>
          <w:color w:val="000000"/>
        </w:rPr>
        <w:t>.</w:t>
      </w:r>
    </w:p>
    <w:p w14:paraId="6F9B973C" w14:textId="77777777" w:rsidR="00391B65" w:rsidRDefault="00391B65" w:rsidP="00391B65">
      <w:pPr>
        <w:autoSpaceDE w:val="0"/>
        <w:autoSpaceDN w:val="0"/>
        <w:adjustRightInd w:val="0"/>
        <w:spacing w:after="0" w:line="240" w:lineRule="auto"/>
        <w:jc w:val="both"/>
        <w:rPr>
          <w:rFonts w:ascii="Times New Roman" w:hAnsi="Times New Roman" w:cs="Times New Roman"/>
          <w:color w:val="000000"/>
        </w:rPr>
      </w:pPr>
      <w:proofErr w:type="spellStart"/>
      <w:r w:rsidRPr="00391B65">
        <w:rPr>
          <w:rFonts w:ascii="Times New Roman" w:hAnsi="Times New Roman" w:cs="Times New Roman"/>
          <w:color w:val="000000"/>
          <w:lang w:val="fr-FR"/>
        </w:rPr>
        <w:t>Verdelhan</w:t>
      </w:r>
      <w:proofErr w:type="spellEnd"/>
      <w:r w:rsidRPr="00391B65">
        <w:rPr>
          <w:rFonts w:ascii="Times New Roman" w:hAnsi="Times New Roman" w:cs="Times New Roman"/>
          <w:color w:val="000000"/>
          <w:lang w:val="fr-FR"/>
        </w:rPr>
        <w:t xml:space="preserve">-Bourgade, M. et al. (2007). </w:t>
      </w:r>
      <w:r w:rsidRPr="00391B65">
        <w:rPr>
          <w:rFonts w:ascii="Times New Roman" w:hAnsi="Times New Roman" w:cs="Times New Roman"/>
          <w:i/>
          <w:iCs/>
          <w:color w:val="000000"/>
          <w:lang w:val="fr-FR"/>
        </w:rPr>
        <w:t>Les manuels scolaires, miroirs de la nation ?</w:t>
      </w:r>
      <w:r w:rsidRPr="00391B65">
        <w:rPr>
          <w:rFonts w:ascii="Times New Roman" w:hAnsi="Times New Roman" w:cs="Times New Roman"/>
          <w:color w:val="000000"/>
          <w:lang w:val="fr-FR"/>
        </w:rPr>
        <w:t xml:space="preserve"> </w:t>
      </w:r>
      <w:r w:rsidRPr="00391B65">
        <w:rPr>
          <w:rFonts w:ascii="Times New Roman" w:hAnsi="Times New Roman" w:cs="Times New Roman"/>
          <w:color w:val="000000"/>
        </w:rPr>
        <w:t xml:space="preserve">Paris: </w:t>
      </w:r>
      <w:proofErr w:type="spellStart"/>
      <w:r w:rsidRPr="00391B65">
        <w:rPr>
          <w:rFonts w:ascii="Times New Roman" w:hAnsi="Times New Roman" w:cs="Times New Roman"/>
          <w:color w:val="000000"/>
        </w:rPr>
        <w:t>L’Harmattan</w:t>
      </w:r>
      <w:proofErr w:type="spellEnd"/>
      <w:r w:rsidRPr="00391B65">
        <w:rPr>
          <w:rFonts w:ascii="Times New Roman" w:hAnsi="Times New Roman" w:cs="Times New Roman"/>
          <w:color w:val="000000"/>
        </w:rPr>
        <w:t>.</w:t>
      </w:r>
    </w:p>
    <w:p w14:paraId="465FE805" w14:textId="77777777" w:rsidR="00391B65" w:rsidRPr="00391B65" w:rsidRDefault="00391B65" w:rsidP="00391B65">
      <w:pPr>
        <w:autoSpaceDE w:val="0"/>
        <w:autoSpaceDN w:val="0"/>
        <w:adjustRightInd w:val="0"/>
        <w:spacing w:after="0" w:line="240" w:lineRule="auto"/>
        <w:jc w:val="both"/>
        <w:rPr>
          <w:rFonts w:ascii="Times New Roman" w:hAnsi="Times New Roman" w:cs="Times New Roman"/>
          <w:i/>
          <w:iCs/>
          <w:color w:val="000000"/>
        </w:rPr>
      </w:pPr>
    </w:p>
    <w:p w14:paraId="2E3C3573" w14:textId="77777777" w:rsidR="00770B1C" w:rsidRPr="00391B65" w:rsidRDefault="00770B1C" w:rsidP="00770B1C">
      <w:pPr>
        <w:jc w:val="both"/>
        <w:rPr>
          <w:rFonts w:ascii="Times New Roman" w:hAnsi="Times New Roman" w:cs="Times New Roman"/>
          <w:sz w:val="24"/>
          <w:szCs w:val="24"/>
        </w:rPr>
      </w:pPr>
    </w:p>
    <w:p w14:paraId="314F0C22" w14:textId="4027C225" w:rsidR="00770B1C" w:rsidRPr="00391B65" w:rsidRDefault="00770B1C" w:rsidP="00770B1C">
      <w:pPr>
        <w:jc w:val="both"/>
        <w:rPr>
          <w:rFonts w:ascii="Times New Roman" w:hAnsi="Times New Roman" w:cs="Times New Roman"/>
          <w:sz w:val="24"/>
          <w:szCs w:val="24"/>
        </w:rPr>
      </w:pPr>
    </w:p>
    <w:sectPr w:rsidR="00770B1C" w:rsidRPr="00391B65" w:rsidSect="002D71B5">
      <w:foot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27EF42" w14:textId="77777777" w:rsidR="002674DB" w:rsidRDefault="002674DB" w:rsidP="00517299">
      <w:pPr>
        <w:spacing w:after="0" w:line="240" w:lineRule="auto"/>
      </w:pPr>
      <w:r>
        <w:separator/>
      </w:r>
    </w:p>
  </w:endnote>
  <w:endnote w:type="continuationSeparator" w:id="0">
    <w:p w14:paraId="216D4911" w14:textId="77777777" w:rsidR="002674DB" w:rsidRDefault="002674DB" w:rsidP="005172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073580"/>
      <w:docPartObj>
        <w:docPartGallery w:val="Page Numbers (Bottom of Page)"/>
        <w:docPartUnique/>
      </w:docPartObj>
    </w:sdtPr>
    <w:sdtContent>
      <w:p w14:paraId="3A3522D5" w14:textId="6BB06CC8" w:rsidR="005B3066" w:rsidRDefault="005B3066">
        <w:pPr>
          <w:pStyle w:val="Pidipagina"/>
          <w:jc w:val="center"/>
        </w:pPr>
        <w:r>
          <w:fldChar w:fldCharType="begin"/>
        </w:r>
        <w:r>
          <w:instrText>PAGE   \* MERGEFORMAT</w:instrText>
        </w:r>
        <w:r>
          <w:fldChar w:fldCharType="separate"/>
        </w:r>
        <w:r>
          <w:rPr>
            <w:lang w:val="it-IT"/>
          </w:rPr>
          <w:t>2</w:t>
        </w:r>
        <w:r>
          <w:fldChar w:fldCharType="end"/>
        </w:r>
      </w:p>
    </w:sdtContent>
  </w:sdt>
  <w:p w14:paraId="07A56F19" w14:textId="77777777" w:rsidR="005B3066" w:rsidRDefault="005B306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E7EF6" w14:textId="77777777" w:rsidR="002674DB" w:rsidRDefault="002674DB" w:rsidP="00517299">
      <w:pPr>
        <w:spacing w:after="0" w:line="240" w:lineRule="auto"/>
      </w:pPr>
      <w:r>
        <w:separator/>
      </w:r>
    </w:p>
  </w:footnote>
  <w:footnote w:type="continuationSeparator" w:id="0">
    <w:p w14:paraId="54C8C43D" w14:textId="77777777" w:rsidR="002674DB" w:rsidRDefault="002674DB" w:rsidP="00517299">
      <w:pPr>
        <w:spacing w:after="0" w:line="240" w:lineRule="auto"/>
      </w:pPr>
      <w:r>
        <w:continuationSeparator/>
      </w:r>
    </w:p>
  </w:footnote>
  <w:footnote w:id="1">
    <w:p w14:paraId="78A047D3" w14:textId="7AA1093E" w:rsidR="00770B1C" w:rsidRPr="00770B1C" w:rsidRDefault="00770B1C">
      <w:pPr>
        <w:pStyle w:val="Testonotaapidipagina"/>
        <w:rPr>
          <w:rFonts w:ascii="Times New Roman" w:hAnsi="Times New Roman" w:cs="Times New Roman"/>
        </w:rPr>
      </w:pPr>
      <w:r>
        <w:rPr>
          <w:rStyle w:val="Rimandonotaapidipagina"/>
        </w:rPr>
        <w:footnoteRef/>
      </w:r>
      <w:r>
        <w:t xml:space="preserve"> </w:t>
      </w:r>
      <w:r w:rsidRPr="00517299">
        <w:rPr>
          <w:rFonts w:ascii="Times New Roman" w:hAnsi="Times New Roman" w:cs="Times New Roman"/>
        </w:rPr>
        <w:t xml:space="preserve">“The Current Status or Representations of Islam and Muslims in Textbooks in European Countries – Germany, Austria, France, Spain and England” (2011), </w:t>
      </w:r>
      <w:bookmarkStart w:id="2" w:name="_Hlk92265754"/>
      <w:r w:rsidR="002674DB">
        <w:fldChar w:fldCharType="begin"/>
      </w:r>
      <w:r w:rsidR="002674DB">
        <w:instrText xml:space="preserve"> HYPERLINK "http://www.gei.de/en/projects/completed-projects/current-status-or-representations-of-islam-</w:instrText>
      </w:r>
      <w:r w:rsidR="002674DB">
        <w:instrText xml:space="preserve">and-muslims.html" </w:instrText>
      </w:r>
      <w:r w:rsidR="002674DB">
        <w:fldChar w:fldCharType="separate"/>
      </w:r>
      <w:r w:rsidRPr="00517299">
        <w:rPr>
          <w:rStyle w:val="Collegamentoipertestuale"/>
          <w:rFonts w:ascii="Times New Roman" w:hAnsi="Times New Roman" w:cs="Times New Roman"/>
        </w:rPr>
        <w:t>http://www.gei.de/en/projects/completed-projects/current-status-or-representations-of-islam-and-muslims.html</w:t>
      </w:r>
      <w:r w:rsidR="002674DB">
        <w:rPr>
          <w:rStyle w:val="Collegamentoipertestuale"/>
          <w:rFonts w:ascii="Times New Roman" w:hAnsi="Times New Roman" w:cs="Times New Roman"/>
        </w:rPr>
        <w:fldChar w:fldCharType="end"/>
      </w:r>
      <w:r>
        <w:rPr>
          <w:rFonts w:ascii="Times New Roman" w:hAnsi="Times New Roman" w:cs="Times New Roman"/>
        </w:rPr>
        <w:t>.</w:t>
      </w:r>
    </w:p>
    <w:bookmarkEnd w:id="2"/>
  </w:footnote>
  <w:footnote w:id="2">
    <w:p w14:paraId="24C5E92C" w14:textId="2C0F6445" w:rsidR="00770B1C" w:rsidRPr="00770B1C" w:rsidRDefault="00770B1C">
      <w:pPr>
        <w:pStyle w:val="Testonotaapidipagina"/>
        <w:rPr>
          <w:rFonts w:ascii="Times New Roman" w:hAnsi="Times New Roman" w:cs="Times New Roman"/>
          <w:lang w:val="it-IT"/>
        </w:rPr>
      </w:pPr>
      <w:r w:rsidRPr="00770B1C">
        <w:rPr>
          <w:rStyle w:val="Rimandonotaapidipagina"/>
          <w:rFonts w:ascii="Times New Roman" w:hAnsi="Times New Roman" w:cs="Times New Roman"/>
        </w:rPr>
        <w:footnoteRef/>
      </w:r>
      <w:r w:rsidRPr="00770B1C">
        <w:rPr>
          <w:rFonts w:ascii="Times New Roman" w:hAnsi="Times New Roman" w:cs="Times New Roman"/>
          <w:lang w:val="it-IT"/>
        </w:rPr>
        <w:t xml:space="preserve"> Lucenti, M. (2018). </w:t>
      </w:r>
      <w:r w:rsidRPr="00770B1C">
        <w:rPr>
          <w:rFonts w:ascii="Times New Roman" w:hAnsi="Times New Roman" w:cs="Times New Roman"/>
          <w:i/>
          <w:iCs/>
          <w:lang w:val="it-IT"/>
        </w:rPr>
        <w:t>Il mondo arabo-musulmano e l’occidente nei manuali di Italia e Tunisia</w:t>
      </w:r>
      <w:r w:rsidRPr="00770B1C">
        <w:rPr>
          <w:rFonts w:ascii="Times New Roman" w:hAnsi="Times New Roman" w:cs="Times New Roman"/>
          <w:lang w:val="it-IT"/>
        </w:rPr>
        <w:t>. Roma: Aracne.</w:t>
      </w:r>
    </w:p>
  </w:footnote>
  <w:footnote w:id="3">
    <w:p w14:paraId="0662CCDD" w14:textId="5877FD06" w:rsidR="00770B1C" w:rsidRPr="00501F53" w:rsidRDefault="00770B1C" w:rsidP="00770B1C">
      <w:pPr>
        <w:pStyle w:val="Testonotaapidipagina"/>
        <w:jc w:val="both"/>
        <w:rPr>
          <w:rFonts w:ascii="Times New Roman" w:hAnsi="Times New Roman" w:cs="Times New Roman"/>
          <w:lang w:val="it-IT"/>
        </w:rPr>
      </w:pPr>
      <w:r w:rsidRPr="00710A49">
        <w:rPr>
          <w:rStyle w:val="Rimandonotaapidipagina"/>
          <w:rFonts w:ascii="Times New Roman" w:hAnsi="Times New Roman" w:cs="Times New Roman"/>
        </w:rPr>
        <w:footnoteRef/>
      </w:r>
      <w:r w:rsidRPr="00710A49">
        <w:rPr>
          <w:rFonts w:ascii="Times New Roman" w:hAnsi="Times New Roman" w:cs="Times New Roman"/>
        </w:rPr>
        <w:t xml:space="preserve"> Among the numerous studies we mention: </w:t>
      </w:r>
      <w:bookmarkStart w:id="4" w:name="_Hlk92265789"/>
      <w:proofErr w:type="spellStart"/>
      <w:r w:rsidRPr="00710A49">
        <w:rPr>
          <w:rFonts w:ascii="Times New Roman" w:hAnsi="Times New Roman" w:cs="Times New Roman"/>
        </w:rPr>
        <w:t>Abbassi</w:t>
      </w:r>
      <w:proofErr w:type="spellEnd"/>
      <w:r w:rsidRPr="00710A49">
        <w:rPr>
          <w:rFonts w:ascii="Times New Roman" w:hAnsi="Times New Roman" w:cs="Times New Roman"/>
        </w:rPr>
        <w:t xml:space="preserve">, D. (2009). </w:t>
      </w:r>
      <w:r w:rsidRPr="00710A49">
        <w:rPr>
          <w:rFonts w:ascii="Times New Roman" w:hAnsi="Times New Roman" w:cs="Times New Roman"/>
          <w:i/>
          <w:iCs/>
          <w:lang w:val="fr-FR"/>
        </w:rPr>
        <w:t>Quand la Tunisie s’invente. Entre Orient et Occident, des imaginaires politiques</w:t>
      </w:r>
      <w:r w:rsidRPr="00710A49">
        <w:rPr>
          <w:rFonts w:ascii="Times New Roman" w:hAnsi="Times New Roman" w:cs="Times New Roman"/>
          <w:lang w:val="fr-FR"/>
        </w:rPr>
        <w:t xml:space="preserve">. </w:t>
      </w:r>
      <w:r w:rsidRPr="00501F53">
        <w:rPr>
          <w:rFonts w:ascii="Times New Roman" w:hAnsi="Times New Roman" w:cs="Times New Roman"/>
          <w:lang w:val="it-IT"/>
        </w:rPr>
        <w:t xml:space="preserve">Paris: Edition </w:t>
      </w:r>
      <w:proofErr w:type="spellStart"/>
      <w:proofErr w:type="gramStart"/>
      <w:r w:rsidRPr="00501F53">
        <w:rPr>
          <w:rFonts w:ascii="Times New Roman" w:hAnsi="Times New Roman" w:cs="Times New Roman"/>
          <w:lang w:val="it-IT"/>
        </w:rPr>
        <w:t>Autrement</w:t>
      </w:r>
      <w:proofErr w:type="spellEnd"/>
      <w:r w:rsidRPr="00501F53">
        <w:rPr>
          <w:rFonts w:ascii="Times New Roman" w:hAnsi="Times New Roman" w:cs="Times New Roman"/>
          <w:lang w:val="it-IT"/>
        </w:rPr>
        <w:t> ;</w:t>
      </w:r>
      <w:proofErr w:type="gramEnd"/>
      <w:r w:rsidRPr="00501F53">
        <w:rPr>
          <w:rFonts w:ascii="Times New Roman" w:hAnsi="Times New Roman" w:cs="Times New Roman"/>
          <w:lang w:val="it-IT"/>
        </w:rPr>
        <w:t xml:space="preserve"> </w:t>
      </w:r>
      <w:r w:rsidRPr="00710A49">
        <w:rPr>
          <w:rFonts w:ascii="Times New Roman" w:hAnsi="Times New Roman" w:cs="Times New Roman"/>
          <w:lang w:val="it-IT"/>
        </w:rPr>
        <w:t>Bandini G. (2012</w:t>
      </w:r>
      <w:r w:rsidRPr="00710A49">
        <w:rPr>
          <w:rFonts w:ascii="Times New Roman" w:hAnsi="Times New Roman" w:cs="Times New Roman"/>
          <w:i/>
          <w:iCs/>
          <w:lang w:val="it-IT"/>
        </w:rPr>
        <w:t>). Manuali, sussidi e didattica della geografia. Una prospettiva storica</w:t>
      </w:r>
      <w:r w:rsidRPr="00710A49">
        <w:rPr>
          <w:rFonts w:ascii="Times New Roman" w:hAnsi="Times New Roman" w:cs="Times New Roman"/>
          <w:lang w:val="it-IT"/>
        </w:rPr>
        <w:t xml:space="preserve">. Firenze: Firenze University Press; Blanchard et al. </w:t>
      </w:r>
      <w:r w:rsidRPr="00710A49">
        <w:rPr>
          <w:rFonts w:ascii="Times New Roman" w:hAnsi="Times New Roman" w:cs="Times New Roman"/>
          <w:lang w:val="fr-FR"/>
        </w:rPr>
        <w:t xml:space="preserve">(2002). </w:t>
      </w:r>
      <w:r w:rsidRPr="00710A49">
        <w:rPr>
          <w:rFonts w:ascii="Times New Roman" w:hAnsi="Times New Roman" w:cs="Times New Roman"/>
          <w:i/>
          <w:iCs/>
          <w:lang w:val="fr-FR"/>
        </w:rPr>
        <w:t xml:space="preserve">Zoos humains et exhibitions </w:t>
      </w:r>
      <w:proofErr w:type="spellStart"/>
      <w:r w:rsidRPr="00710A49">
        <w:rPr>
          <w:rFonts w:ascii="Times New Roman" w:hAnsi="Times New Roman" w:cs="Times New Roman"/>
          <w:i/>
          <w:iCs/>
          <w:lang w:val="fr-FR"/>
        </w:rPr>
        <w:t>colonials</w:t>
      </w:r>
      <w:proofErr w:type="spellEnd"/>
      <w:r w:rsidRPr="00710A49">
        <w:rPr>
          <w:rFonts w:ascii="Times New Roman" w:hAnsi="Times New Roman" w:cs="Times New Roman"/>
          <w:i/>
          <w:iCs/>
          <w:lang w:val="fr-FR"/>
        </w:rPr>
        <w:t>. 150 ans d’inventions de l’Autre</w:t>
      </w:r>
      <w:r w:rsidRPr="00710A49">
        <w:rPr>
          <w:rFonts w:ascii="Times New Roman" w:hAnsi="Times New Roman" w:cs="Times New Roman"/>
          <w:lang w:val="fr-FR"/>
        </w:rPr>
        <w:t xml:space="preserve">. </w:t>
      </w:r>
      <w:proofErr w:type="gramStart"/>
      <w:r w:rsidRPr="00710A49">
        <w:rPr>
          <w:rFonts w:ascii="Times New Roman" w:hAnsi="Times New Roman" w:cs="Times New Roman"/>
          <w:lang w:val="fr-FR"/>
        </w:rPr>
        <w:t>Paris:</w:t>
      </w:r>
      <w:proofErr w:type="gramEnd"/>
      <w:r w:rsidRPr="00710A49">
        <w:rPr>
          <w:rFonts w:ascii="Times New Roman" w:hAnsi="Times New Roman" w:cs="Times New Roman"/>
          <w:lang w:val="fr-FR"/>
        </w:rPr>
        <w:t xml:space="preserve"> La Découverte; Boutan, P., Maurer, B. &amp; </w:t>
      </w:r>
      <w:proofErr w:type="spellStart"/>
      <w:r w:rsidRPr="00710A49">
        <w:rPr>
          <w:rFonts w:ascii="Times New Roman" w:hAnsi="Times New Roman" w:cs="Times New Roman"/>
          <w:lang w:val="fr-FR"/>
        </w:rPr>
        <w:t>Remaoun</w:t>
      </w:r>
      <w:proofErr w:type="spellEnd"/>
      <w:r w:rsidRPr="00710A49">
        <w:rPr>
          <w:rFonts w:ascii="Times New Roman" w:hAnsi="Times New Roman" w:cs="Times New Roman"/>
          <w:lang w:val="fr-FR"/>
        </w:rPr>
        <w:t xml:space="preserve">, H. (2012). </w:t>
      </w:r>
      <w:r w:rsidRPr="00710A49">
        <w:rPr>
          <w:rFonts w:ascii="Times New Roman" w:hAnsi="Times New Roman" w:cs="Times New Roman"/>
          <w:i/>
          <w:iCs/>
          <w:lang w:val="fr-FR"/>
        </w:rPr>
        <w:t>La méditerranée des méditerranéens à travers leurs manuels scolaires</w:t>
      </w:r>
      <w:r w:rsidRPr="00710A49">
        <w:rPr>
          <w:rFonts w:ascii="Times New Roman" w:hAnsi="Times New Roman" w:cs="Times New Roman"/>
          <w:lang w:val="fr-FR"/>
        </w:rPr>
        <w:t xml:space="preserve">. </w:t>
      </w:r>
      <w:proofErr w:type="gramStart"/>
      <w:r w:rsidRPr="00710A49">
        <w:rPr>
          <w:rFonts w:ascii="Times New Roman" w:hAnsi="Times New Roman" w:cs="Times New Roman"/>
          <w:lang w:val="fr-FR"/>
        </w:rPr>
        <w:t>Paris:</w:t>
      </w:r>
      <w:proofErr w:type="gramEnd"/>
      <w:r w:rsidRPr="00710A49">
        <w:rPr>
          <w:rFonts w:ascii="Times New Roman" w:hAnsi="Times New Roman" w:cs="Times New Roman"/>
          <w:lang w:val="fr-FR"/>
        </w:rPr>
        <w:t xml:space="preserve"> </w:t>
      </w:r>
      <w:proofErr w:type="spellStart"/>
      <w:r w:rsidRPr="00710A49">
        <w:rPr>
          <w:rFonts w:ascii="Times New Roman" w:hAnsi="Times New Roman" w:cs="Times New Roman"/>
          <w:lang w:val="fr-FR"/>
        </w:rPr>
        <w:t>L’Harmattan</w:t>
      </w:r>
      <w:proofErr w:type="spellEnd"/>
      <w:r w:rsidRPr="00710A49">
        <w:rPr>
          <w:rFonts w:ascii="Times New Roman" w:hAnsi="Times New Roman" w:cs="Times New Roman"/>
          <w:lang w:val="fr-FR"/>
        </w:rPr>
        <w:t xml:space="preserve">; </w:t>
      </w:r>
      <w:proofErr w:type="spellStart"/>
      <w:r w:rsidRPr="00710A49">
        <w:rPr>
          <w:rFonts w:ascii="Times New Roman" w:hAnsi="Times New Roman" w:cs="Times New Roman"/>
          <w:lang w:val="fr-FR"/>
        </w:rPr>
        <w:t>Brunelli</w:t>
      </w:r>
      <w:proofErr w:type="spellEnd"/>
      <w:r w:rsidRPr="00710A49">
        <w:rPr>
          <w:rFonts w:ascii="Times New Roman" w:hAnsi="Times New Roman" w:cs="Times New Roman"/>
          <w:lang w:val="fr-FR"/>
        </w:rPr>
        <w:t xml:space="preserve">, C. et al. </w:t>
      </w:r>
      <w:r w:rsidRPr="00710A49">
        <w:rPr>
          <w:rFonts w:ascii="Times New Roman" w:hAnsi="Times New Roman" w:cs="Times New Roman"/>
          <w:lang w:val="it-IT"/>
        </w:rPr>
        <w:t xml:space="preserve">(2007). </w:t>
      </w:r>
      <w:r w:rsidRPr="00710A49">
        <w:rPr>
          <w:rFonts w:ascii="Times New Roman" w:hAnsi="Times New Roman" w:cs="Times New Roman"/>
          <w:i/>
          <w:iCs/>
          <w:lang w:val="it-IT"/>
        </w:rPr>
        <w:t>Oltre l’etnocentrismo. I saperi della scuola al di là dell’Occidente</w:t>
      </w:r>
      <w:r w:rsidRPr="00710A49">
        <w:rPr>
          <w:rFonts w:ascii="Times New Roman" w:hAnsi="Times New Roman" w:cs="Times New Roman"/>
          <w:lang w:val="it-IT"/>
        </w:rPr>
        <w:t xml:space="preserve">. </w:t>
      </w:r>
      <w:proofErr w:type="spellStart"/>
      <w:proofErr w:type="gramStart"/>
      <w:r w:rsidRPr="00710A49">
        <w:rPr>
          <w:rFonts w:ascii="Times New Roman" w:hAnsi="Times New Roman" w:cs="Times New Roman"/>
          <w:lang w:val="fr-FR"/>
        </w:rPr>
        <w:t>Bologna</w:t>
      </w:r>
      <w:proofErr w:type="spellEnd"/>
      <w:r w:rsidRPr="00710A49">
        <w:rPr>
          <w:rFonts w:ascii="Times New Roman" w:hAnsi="Times New Roman" w:cs="Times New Roman"/>
          <w:lang w:val="fr-FR"/>
        </w:rPr>
        <w:t>:</w:t>
      </w:r>
      <w:proofErr w:type="gramEnd"/>
      <w:r w:rsidRPr="00710A49">
        <w:rPr>
          <w:rFonts w:ascii="Times New Roman" w:hAnsi="Times New Roman" w:cs="Times New Roman"/>
          <w:lang w:val="fr-FR"/>
        </w:rPr>
        <w:t xml:space="preserve"> EMI; </w:t>
      </w:r>
      <w:proofErr w:type="spellStart"/>
      <w:r w:rsidRPr="00710A49">
        <w:rPr>
          <w:rFonts w:ascii="Times New Roman" w:hAnsi="Times New Roman" w:cs="Times New Roman"/>
          <w:lang w:val="fr-FR"/>
        </w:rPr>
        <w:t>Chabchoub</w:t>
      </w:r>
      <w:proofErr w:type="spellEnd"/>
      <w:r w:rsidRPr="00710A49">
        <w:rPr>
          <w:rFonts w:ascii="Times New Roman" w:hAnsi="Times New Roman" w:cs="Times New Roman"/>
          <w:lang w:val="fr-FR"/>
        </w:rPr>
        <w:t xml:space="preserve">, A. (2000). </w:t>
      </w:r>
      <w:r w:rsidRPr="00710A49">
        <w:rPr>
          <w:rFonts w:ascii="Times New Roman" w:hAnsi="Times New Roman" w:cs="Times New Roman"/>
          <w:i/>
          <w:iCs/>
          <w:lang w:val="fr-FR"/>
        </w:rPr>
        <w:t>Ecole et modernité en Tunisie et dans les pays arabes</w:t>
      </w:r>
      <w:r w:rsidRPr="00710A49">
        <w:rPr>
          <w:rFonts w:ascii="Times New Roman" w:hAnsi="Times New Roman" w:cs="Times New Roman"/>
          <w:lang w:val="fr-FR"/>
        </w:rPr>
        <w:t xml:space="preserve">. </w:t>
      </w:r>
      <w:proofErr w:type="gramStart"/>
      <w:r w:rsidRPr="00710A49">
        <w:rPr>
          <w:rFonts w:ascii="Times New Roman" w:hAnsi="Times New Roman" w:cs="Times New Roman"/>
          <w:lang w:val="fr-FR"/>
        </w:rPr>
        <w:t>Paris:</w:t>
      </w:r>
      <w:proofErr w:type="gramEnd"/>
      <w:r w:rsidRPr="00710A49">
        <w:rPr>
          <w:rFonts w:ascii="Times New Roman" w:hAnsi="Times New Roman" w:cs="Times New Roman"/>
          <w:lang w:val="fr-FR"/>
        </w:rPr>
        <w:t xml:space="preserve"> </w:t>
      </w:r>
      <w:proofErr w:type="spellStart"/>
      <w:r w:rsidRPr="00710A49">
        <w:rPr>
          <w:rFonts w:ascii="Times New Roman" w:hAnsi="Times New Roman" w:cs="Times New Roman"/>
          <w:lang w:val="fr-FR"/>
        </w:rPr>
        <w:t>L’Harmattan</w:t>
      </w:r>
      <w:proofErr w:type="spellEnd"/>
      <w:r w:rsidRPr="00710A49">
        <w:rPr>
          <w:rFonts w:ascii="Times New Roman" w:hAnsi="Times New Roman" w:cs="Times New Roman"/>
          <w:lang w:val="fr-FR"/>
        </w:rPr>
        <w:t xml:space="preserve">; </w:t>
      </w:r>
      <w:proofErr w:type="spellStart"/>
      <w:r w:rsidRPr="00710A49">
        <w:rPr>
          <w:rFonts w:ascii="Times New Roman" w:hAnsi="Times New Roman" w:cs="Times New Roman"/>
          <w:lang w:val="fr-FR"/>
        </w:rPr>
        <w:t>Choppin</w:t>
      </w:r>
      <w:proofErr w:type="spellEnd"/>
      <w:r w:rsidRPr="00710A49">
        <w:rPr>
          <w:rFonts w:ascii="Times New Roman" w:hAnsi="Times New Roman" w:cs="Times New Roman"/>
          <w:lang w:val="fr-FR"/>
        </w:rPr>
        <w:t xml:space="preserve">, A. (2008). Le manuel scolaire, une fausse évidence historique. </w:t>
      </w:r>
      <w:r w:rsidRPr="00710A49">
        <w:rPr>
          <w:rFonts w:ascii="Times New Roman" w:hAnsi="Times New Roman" w:cs="Times New Roman"/>
          <w:i/>
          <w:iCs/>
          <w:lang w:val="it-IT"/>
        </w:rPr>
        <w:t>Histoire de l’</w:t>
      </w:r>
      <w:proofErr w:type="spellStart"/>
      <w:r w:rsidRPr="00710A49">
        <w:rPr>
          <w:rFonts w:ascii="Times New Roman" w:hAnsi="Times New Roman" w:cs="Times New Roman"/>
          <w:i/>
          <w:iCs/>
          <w:lang w:val="it-IT"/>
        </w:rPr>
        <w:t>éducation</w:t>
      </w:r>
      <w:proofErr w:type="spellEnd"/>
      <w:r w:rsidRPr="00710A49">
        <w:rPr>
          <w:rFonts w:ascii="Times New Roman" w:hAnsi="Times New Roman" w:cs="Times New Roman"/>
          <w:lang w:val="it-IT"/>
        </w:rPr>
        <w:t xml:space="preserve">, n.117, p.7-56; Lucenti, M. (2018). </w:t>
      </w:r>
      <w:r w:rsidRPr="00710A49">
        <w:rPr>
          <w:rFonts w:ascii="Times New Roman" w:hAnsi="Times New Roman" w:cs="Times New Roman"/>
          <w:i/>
          <w:iCs/>
          <w:lang w:val="it-IT"/>
        </w:rPr>
        <w:t>Storie altre. Il mondo arabo-musulmano e l’occidente nei manuali di Italia e Tunisia.</w:t>
      </w:r>
      <w:r w:rsidRPr="00710A49">
        <w:rPr>
          <w:rFonts w:ascii="Times New Roman" w:hAnsi="Times New Roman" w:cs="Times New Roman"/>
          <w:lang w:val="it-IT"/>
        </w:rPr>
        <w:t xml:space="preserve"> </w:t>
      </w:r>
      <w:proofErr w:type="gramStart"/>
      <w:r w:rsidRPr="00710A49">
        <w:rPr>
          <w:rFonts w:ascii="Times New Roman" w:hAnsi="Times New Roman" w:cs="Times New Roman"/>
          <w:lang w:val="fr-FR"/>
        </w:rPr>
        <w:t>Roma:</w:t>
      </w:r>
      <w:proofErr w:type="gramEnd"/>
      <w:r w:rsidRPr="00710A49">
        <w:rPr>
          <w:rFonts w:ascii="Times New Roman" w:hAnsi="Times New Roman" w:cs="Times New Roman"/>
          <w:lang w:val="fr-FR"/>
        </w:rPr>
        <w:t xml:space="preserve"> </w:t>
      </w:r>
      <w:proofErr w:type="spellStart"/>
      <w:r w:rsidRPr="00710A49">
        <w:rPr>
          <w:rFonts w:ascii="Times New Roman" w:hAnsi="Times New Roman" w:cs="Times New Roman"/>
          <w:lang w:val="fr-FR"/>
        </w:rPr>
        <w:t>Aracne</w:t>
      </w:r>
      <w:proofErr w:type="spellEnd"/>
      <w:r w:rsidRPr="00710A49">
        <w:rPr>
          <w:rFonts w:ascii="Times New Roman" w:hAnsi="Times New Roman" w:cs="Times New Roman"/>
          <w:lang w:val="fr-FR"/>
        </w:rPr>
        <w:t xml:space="preserve">; Nasr, M. (2001). </w:t>
      </w:r>
      <w:r w:rsidRPr="00710A49">
        <w:rPr>
          <w:rFonts w:ascii="Times New Roman" w:hAnsi="Times New Roman" w:cs="Times New Roman"/>
          <w:i/>
          <w:iCs/>
          <w:lang w:val="fr-FR"/>
        </w:rPr>
        <w:t>Les Arabes et l’Islam vus par les manuels scolaires français</w:t>
      </w:r>
      <w:r w:rsidRPr="00710A49">
        <w:rPr>
          <w:rFonts w:ascii="Times New Roman" w:hAnsi="Times New Roman" w:cs="Times New Roman"/>
          <w:lang w:val="fr-FR"/>
        </w:rPr>
        <w:t xml:space="preserve">. </w:t>
      </w:r>
      <w:r w:rsidRPr="00710A49">
        <w:rPr>
          <w:rFonts w:ascii="Times New Roman" w:hAnsi="Times New Roman" w:cs="Times New Roman"/>
          <w:lang w:val="it-IT"/>
        </w:rPr>
        <w:t xml:space="preserve">Paris: </w:t>
      </w:r>
      <w:proofErr w:type="spellStart"/>
      <w:r w:rsidRPr="00710A49">
        <w:rPr>
          <w:rFonts w:ascii="Times New Roman" w:hAnsi="Times New Roman" w:cs="Times New Roman"/>
          <w:lang w:val="it-IT"/>
        </w:rPr>
        <w:t>Editions</w:t>
      </w:r>
      <w:proofErr w:type="spellEnd"/>
      <w:r w:rsidRPr="00710A49">
        <w:rPr>
          <w:rFonts w:ascii="Times New Roman" w:hAnsi="Times New Roman" w:cs="Times New Roman"/>
          <w:lang w:val="it-IT"/>
        </w:rPr>
        <w:t xml:space="preserve"> </w:t>
      </w:r>
      <w:proofErr w:type="spellStart"/>
      <w:r w:rsidRPr="00710A49">
        <w:rPr>
          <w:rFonts w:ascii="Times New Roman" w:hAnsi="Times New Roman" w:cs="Times New Roman"/>
          <w:lang w:val="it-IT"/>
        </w:rPr>
        <w:t>Karthala</w:t>
      </w:r>
      <w:proofErr w:type="spellEnd"/>
      <w:r w:rsidRPr="00710A49">
        <w:rPr>
          <w:rFonts w:ascii="Times New Roman" w:hAnsi="Times New Roman" w:cs="Times New Roman"/>
          <w:lang w:val="it-IT"/>
        </w:rPr>
        <w:t xml:space="preserve">; Procacci, G. (2005). </w:t>
      </w:r>
      <w:r w:rsidRPr="00710A49">
        <w:rPr>
          <w:rFonts w:ascii="Times New Roman" w:hAnsi="Times New Roman" w:cs="Times New Roman"/>
          <w:i/>
          <w:iCs/>
          <w:lang w:val="it-IT"/>
        </w:rPr>
        <w:t>Carte d’identità. Revisionismi, nazionalismi e fondamentalismi nei manuali di storia</w:t>
      </w:r>
      <w:r w:rsidRPr="00710A49">
        <w:rPr>
          <w:rFonts w:ascii="Times New Roman" w:hAnsi="Times New Roman" w:cs="Times New Roman"/>
          <w:lang w:val="it-IT"/>
        </w:rPr>
        <w:t xml:space="preserve">. </w:t>
      </w:r>
      <w:proofErr w:type="gramStart"/>
      <w:r w:rsidRPr="00710A49">
        <w:rPr>
          <w:rFonts w:ascii="Times New Roman" w:hAnsi="Times New Roman" w:cs="Times New Roman"/>
          <w:lang w:val="fr-FR"/>
        </w:rPr>
        <w:t>Roma:</w:t>
      </w:r>
      <w:proofErr w:type="gramEnd"/>
      <w:r w:rsidRPr="00710A49">
        <w:rPr>
          <w:rFonts w:ascii="Times New Roman" w:hAnsi="Times New Roman" w:cs="Times New Roman"/>
          <w:lang w:val="fr-FR"/>
        </w:rPr>
        <w:t xml:space="preserve"> </w:t>
      </w:r>
      <w:proofErr w:type="spellStart"/>
      <w:r w:rsidRPr="00710A49">
        <w:rPr>
          <w:rFonts w:ascii="Times New Roman" w:hAnsi="Times New Roman" w:cs="Times New Roman"/>
          <w:lang w:val="fr-FR"/>
        </w:rPr>
        <w:t>Carocci</w:t>
      </w:r>
      <w:proofErr w:type="spellEnd"/>
      <w:r w:rsidRPr="00710A49">
        <w:rPr>
          <w:rFonts w:ascii="Times New Roman" w:hAnsi="Times New Roman" w:cs="Times New Roman"/>
          <w:lang w:val="fr-FR"/>
        </w:rPr>
        <w:t xml:space="preserve">; </w:t>
      </w:r>
      <w:proofErr w:type="spellStart"/>
      <w:r w:rsidRPr="00710A49">
        <w:rPr>
          <w:rFonts w:ascii="Times New Roman" w:hAnsi="Times New Roman" w:cs="Times New Roman"/>
          <w:lang w:val="fr-FR"/>
        </w:rPr>
        <w:t>Verdelhan</w:t>
      </w:r>
      <w:proofErr w:type="spellEnd"/>
      <w:r w:rsidRPr="00710A49">
        <w:rPr>
          <w:rFonts w:ascii="Times New Roman" w:hAnsi="Times New Roman" w:cs="Times New Roman"/>
          <w:lang w:val="fr-FR"/>
        </w:rPr>
        <w:t xml:space="preserve">-Bourgade, M. et al. (2007). </w:t>
      </w:r>
      <w:r w:rsidRPr="00710A49">
        <w:rPr>
          <w:rFonts w:ascii="Times New Roman" w:hAnsi="Times New Roman" w:cs="Times New Roman"/>
          <w:i/>
          <w:iCs/>
          <w:lang w:val="fr-FR"/>
        </w:rPr>
        <w:t>Les manuels scolaires, miroirs de la nation ?</w:t>
      </w:r>
      <w:r w:rsidRPr="00710A49">
        <w:rPr>
          <w:rFonts w:ascii="Times New Roman" w:hAnsi="Times New Roman" w:cs="Times New Roman"/>
          <w:lang w:val="fr-FR"/>
        </w:rPr>
        <w:t xml:space="preserve"> </w:t>
      </w:r>
      <w:r w:rsidRPr="00501F53">
        <w:rPr>
          <w:rFonts w:ascii="Times New Roman" w:hAnsi="Times New Roman" w:cs="Times New Roman"/>
          <w:lang w:val="it-IT"/>
        </w:rPr>
        <w:t>Paris: L’Harmattan.</w:t>
      </w:r>
    </w:p>
    <w:bookmarkEnd w:id="4"/>
  </w:footnote>
  <w:footnote w:id="4">
    <w:p w14:paraId="4E8A26C2" w14:textId="0B35AB28" w:rsidR="00770B1C" w:rsidRPr="00710A49" w:rsidRDefault="00770B1C">
      <w:pPr>
        <w:pStyle w:val="Testonotaapidipagina"/>
        <w:rPr>
          <w:rFonts w:ascii="Times New Roman" w:hAnsi="Times New Roman" w:cs="Times New Roman"/>
          <w:lang w:val="it-IT"/>
        </w:rPr>
      </w:pPr>
      <w:r w:rsidRPr="00710A49">
        <w:rPr>
          <w:rStyle w:val="Rimandonotaapidipagina"/>
          <w:rFonts w:ascii="Times New Roman" w:hAnsi="Times New Roman" w:cs="Times New Roman"/>
        </w:rPr>
        <w:footnoteRef/>
      </w:r>
      <w:r w:rsidRPr="00710A49">
        <w:rPr>
          <w:rFonts w:ascii="Times New Roman" w:hAnsi="Times New Roman" w:cs="Times New Roman"/>
          <w:lang w:val="it-IT"/>
        </w:rPr>
        <w:t xml:space="preserve"> </w:t>
      </w:r>
      <w:bookmarkStart w:id="5" w:name="_Hlk92265865"/>
      <w:r w:rsidRPr="00710A49">
        <w:rPr>
          <w:rFonts w:ascii="Times New Roman" w:hAnsi="Times New Roman" w:cs="Times New Roman"/>
          <w:lang w:val="it-IT"/>
        </w:rPr>
        <w:t>Pepicelli, R. (2012). Il velo nell’Islam. Storia, politica, estetica. Roma: Carocci.</w:t>
      </w:r>
    </w:p>
  </w:footnote>
  <w:footnote w:id="5">
    <w:p w14:paraId="4B8D53D4" w14:textId="70A6FCFF" w:rsidR="00770B1C" w:rsidRPr="00501F53" w:rsidRDefault="00770B1C">
      <w:pPr>
        <w:pStyle w:val="Testonotaapidipagina"/>
        <w:rPr>
          <w:rFonts w:ascii="Times New Roman" w:hAnsi="Times New Roman" w:cs="Times New Roman"/>
        </w:rPr>
      </w:pPr>
      <w:r w:rsidRPr="00710A49">
        <w:rPr>
          <w:rStyle w:val="Rimandonotaapidipagina"/>
          <w:rFonts w:ascii="Times New Roman" w:hAnsi="Times New Roman" w:cs="Times New Roman"/>
        </w:rPr>
        <w:footnoteRef/>
      </w:r>
      <w:r w:rsidRPr="00710A49">
        <w:rPr>
          <w:rFonts w:ascii="Times New Roman" w:hAnsi="Times New Roman" w:cs="Times New Roman"/>
          <w:lang w:val="it-IT"/>
        </w:rPr>
        <w:t xml:space="preserve"> Pepicelli, R. (2014). Le donne nei media arabi. Tra aspettative tradite e nuove opportunità. </w:t>
      </w:r>
      <w:r w:rsidRPr="00501F53">
        <w:rPr>
          <w:rFonts w:ascii="Times New Roman" w:hAnsi="Times New Roman" w:cs="Times New Roman"/>
        </w:rPr>
        <w:t xml:space="preserve">Roma: </w:t>
      </w:r>
      <w:proofErr w:type="spellStart"/>
      <w:r w:rsidRPr="00501F53">
        <w:rPr>
          <w:rFonts w:ascii="Times New Roman" w:hAnsi="Times New Roman" w:cs="Times New Roman"/>
        </w:rPr>
        <w:t>Carocci</w:t>
      </w:r>
      <w:proofErr w:type="spellEnd"/>
      <w:r w:rsidRPr="00501F53">
        <w:rPr>
          <w:rFonts w:ascii="Times New Roman" w:hAnsi="Times New Roman" w:cs="Times New Roman"/>
        </w:rPr>
        <w:t>.</w:t>
      </w:r>
    </w:p>
  </w:footnote>
  <w:footnote w:id="6">
    <w:p w14:paraId="6A781A1B" w14:textId="26BFA517" w:rsidR="00710A49" w:rsidRPr="00710A49" w:rsidRDefault="00710A49">
      <w:pPr>
        <w:pStyle w:val="Testonotaapidipagina"/>
        <w:rPr>
          <w:rFonts w:ascii="Times New Roman" w:hAnsi="Times New Roman" w:cs="Times New Roman"/>
        </w:rPr>
      </w:pPr>
      <w:r w:rsidRPr="00710A49">
        <w:rPr>
          <w:rStyle w:val="Rimandonotaapidipagina"/>
          <w:rFonts w:ascii="Times New Roman" w:hAnsi="Times New Roman" w:cs="Times New Roman"/>
        </w:rPr>
        <w:footnoteRef/>
      </w:r>
      <w:r w:rsidRPr="00710A49">
        <w:rPr>
          <w:rFonts w:ascii="Times New Roman" w:hAnsi="Times New Roman" w:cs="Times New Roman"/>
        </w:rPr>
        <w:t xml:space="preserve"> </w:t>
      </w:r>
      <w:proofErr w:type="spellStart"/>
      <w:r w:rsidRPr="00710A49">
        <w:rPr>
          <w:rFonts w:ascii="Times New Roman" w:hAnsi="Times New Roman" w:cs="Times New Roman"/>
        </w:rPr>
        <w:t>Kerboua</w:t>
      </w:r>
      <w:proofErr w:type="spellEnd"/>
      <w:r w:rsidRPr="00710A49">
        <w:rPr>
          <w:rFonts w:ascii="Times New Roman" w:hAnsi="Times New Roman" w:cs="Times New Roman"/>
        </w:rPr>
        <w:t xml:space="preserve">, S. (2016). From Orientalism to neo-Orientalism: Early and contemporary constructions of Islam and the Muslim world. </w:t>
      </w:r>
      <w:r w:rsidRPr="00710A49">
        <w:rPr>
          <w:rFonts w:ascii="Times New Roman" w:hAnsi="Times New Roman" w:cs="Times New Roman"/>
          <w:i/>
          <w:iCs/>
        </w:rPr>
        <w:t>Intellectual Discourse</w:t>
      </w:r>
      <w:r w:rsidRPr="00710A49">
        <w:rPr>
          <w:rFonts w:ascii="Times New Roman" w:hAnsi="Times New Roman" w:cs="Times New Roman"/>
        </w:rPr>
        <w:t>, 24:1 (2016) 7–34</w:t>
      </w:r>
      <w:r>
        <w:rPr>
          <w:rFonts w:ascii="Times New Roman" w:hAnsi="Times New Roman" w:cs="Times New Roman"/>
        </w:rPr>
        <w:t>.</w:t>
      </w:r>
    </w:p>
  </w:footnote>
  <w:footnote w:id="7">
    <w:p w14:paraId="5529F6AF" w14:textId="6C51B9C1" w:rsidR="00710A49" w:rsidRPr="00710A49" w:rsidRDefault="00710A49">
      <w:pPr>
        <w:pStyle w:val="Testonotaapidipagina"/>
        <w:rPr>
          <w:rFonts w:ascii="Times New Roman" w:hAnsi="Times New Roman" w:cs="Times New Roman"/>
          <w:lang w:val="it-IT"/>
        </w:rPr>
      </w:pPr>
      <w:r w:rsidRPr="00710A49">
        <w:rPr>
          <w:rStyle w:val="Rimandonotaapidipagina"/>
          <w:rFonts w:ascii="Times New Roman" w:hAnsi="Times New Roman" w:cs="Times New Roman"/>
        </w:rPr>
        <w:footnoteRef/>
      </w:r>
      <w:r w:rsidRPr="00710A49">
        <w:rPr>
          <w:rFonts w:ascii="Times New Roman" w:hAnsi="Times New Roman" w:cs="Times New Roman"/>
        </w:rPr>
        <w:t xml:space="preserve"> </w:t>
      </w:r>
      <w:r w:rsidRPr="00710A49">
        <w:rPr>
          <w:rFonts w:ascii="Times New Roman" w:hAnsi="Times New Roman" w:cs="Times New Roman"/>
          <w:lang w:val="it-IT"/>
        </w:rPr>
        <w:t>Ibidem.</w:t>
      </w:r>
    </w:p>
  </w:footnote>
  <w:footnote w:id="8">
    <w:p w14:paraId="48F2DCED" w14:textId="24138DA5" w:rsidR="00710A49" w:rsidRPr="00710A49" w:rsidRDefault="00710A49">
      <w:pPr>
        <w:pStyle w:val="Testonotaapidipagina"/>
        <w:rPr>
          <w:rFonts w:ascii="Times New Roman" w:hAnsi="Times New Roman" w:cs="Times New Roman"/>
          <w:lang w:val="it-IT"/>
        </w:rPr>
      </w:pPr>
      <w:r w:rsidRPr="00710A49">
        <w:rPr>
          <w:rStyle w:val="Rimandonotaapidipagina"/>
          <w:rFonts w:ascii="Times New Roman" w:hAnsi="Times New Roman" w:cs="Times New Roman"/>
        </w:rPr>
        <w:footnoteRef/>
      </w:r>
      <w:r w:rsidRPr="00710A49">
        <w:rPr>
          <w:rFonts w:ascii="Times New Roman" w:hAnsi="Times New Roman" w:cs="Times New Roman"/>
        </w:rPr>
        <w:t xml:space="preserve"> </w:t>
      </w:r>
      <w:r w:rsidRPr="00710A49">
        <w:rPr>
          <w:rFonts w:ascii="Times New Roman" w:hAnsi="Times New Roman" w:cs="Times New Roman"/>
          <w:lang w:val="it-IT"/>
        </w:rPr>
        <w:t xml:space="preserve">Ibidem.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C5B"/>
    <w:rsid w:val="00055E97"/>
    <w:rsid w:val="001E1C5B"/>
    <w:rsid w:val="002674DB"/>
    <w:rsid w:val="002D71B5"/>
    <w:rsid w:val="00303C0C"/>
    <w:rsid w:val="00312F5F"/>
    <w:rsid w:val="00391B65"/>
    <w:rsid w:val="00501F53"/>
    <w:rsid w:val="00517299"/>
    <w:rsid w:val="0054503C"/>
    <w:rsid w:val="005B3066"/>
    <w:rsid w:val="006B745D"/>
    <w:rsid w:val="00710A49"/>
    <w:rsid w:val="0077084A"/>
    <w:rsid w:val="00770B1C"/>
    <w:rsid w:val="007817EA"/>
    <w:rsid w:val="007B6236"/>
    <w:rsid w:val="007C2601"/>
    <w:rsid w:val="007C2A3E"/>
    <w:rsid w:val="00B01A53"/>
    <w:rsid w:val="00B7732A"/>
    <w:rsid w:val="00D471E7"/>
    <w:rsid w:val="00D87C81"/>
    <w:rsid w:val="00E86CC5"/>
    <w:rsid w:val="00ED2168"/>
    <w:rsid w:val="00F02373"/>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77AFA"/>
  <w15:chartTrackingRefBased/>
  <w15:docId w15:val="{55656C90-4AEE-47D2-8679-2B5BEB9FC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lang w:val="en-G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517299"/>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517299"/>
    <w:rPr>
      <w:sz w:val="20"/>
      <w:szCs w:val="20"/>
      <w:lang w:val="en-GB"/>
    </w:rPr>
  </w:style>
  <w:style w:type="character" w:styleId="Rimandonotaapidipagina">
    <w:name w:val="footnote reference"/>
    <w:basedOn w:val="Carpredefinitoparagrafo"/>
    <w:uiPriority w:val="99"/>
    <w:semiHidden/>
    <w:unhideWhenUsed/>
    <w:rsid w:val="00517299"/>
    <w:rPr>
      <w:vertAlign w:val="superscript"/>
    </w:rPr>
  </w:style>
  <w:style w:type="character" w:styleId="Collegamentoipertestuale">
    <w:name w:val="Hyperlink"/>
    <w:basedOn w:val="Carpredefinitoparagrafo"/>
    <w:uiPriority w:val="99"/>
    <w:unhideWhenUsed/>
    <w:rsid w:val="00517299"/>
    <w:rPr>
      <w:color w:val="0563C1" w:themeColor="hyperlink"/>
      <w:u w:val="single"/>
    </w:rPr>
  </w:style>
  <w:style w:type="character" w:styleId="Menzionenonrisolta">
    <w:name w:val="Unresolved Mention"/>
    <w:basedOn w:val="Carpredefinitoparagrafo"/>
    <w:uiPriority w:val="99"/>
    <w:semiHidden/>
    <w:unhideWhenUsed/>
    <w:rsid w:val="00517299"/>
    <w:rPr>
      <w:color w:val="605E5C"/>
      <w:shd w:val="clear" w:color="auto" w:fill="E1DFDD"/>
    </w:rPr>
  </w:style>
  <w:style w:type="paragraph" w:styleId="Intestazione">
    <w:name w:val="header"/>
    <w:basedOn w:val="Normale"/>
    <w:link w:val="IntestazioneCarattere"/>
    <w:uiPriority w:val="99"/>
    <w:unhideWhenUsed/>
    <w:rsid w:val="005B3066"/>
    <w:pPr>
      <w:tabs>
        <w:tab w:val="center" w:pos="4536"/>
        <w:tab w:val="right" w:pos="9072"/>
      </w:tabs>
      <w:spacing w:after="0" w:line="240" w:lineRule="auto"/>
    </w:pPr>
  </w:style>
  <w:style w:type="character" w:customStyle="1" w:styleId="IntestazioneCarattere">
    <w:name w:val="Intestazione Carattere"/>
    <w:basedOn w:val="Carpredefinitoparagrafo"/>
    <w:link w:val="Intestazione"/>
    <w:uiPriority w:val="99"/>
    <w:rsid w:val="005B3066"/>
    <w:rPr>
      <w:lang w:val="en-GB"/>
    </w:rPr>
  </w:style>
  <w:style w:type="paragraph" w:styleId="Pidipagina">
    <w:name w:val="footer"/>
    <w:basedOn w:val="Normale"/>
    <w:link w:val="PidipaginaCarattere"/>
    <w:uiPriority w:val="99"/>
    <w:unhideWhenUsed/>
    <w:rsid w:val="005B3066"/>
    <w:pPr>
      <w:tabs>
        <w:tab w:val="center" w:pos="4536"/>
        <w:tab w:val="right" w:pos="9072"/>
      </w:tabs>
      <w:spacing w:after="0" w:line="240" w:lineRule="auto"/>
    </w:pPr>
  </w:style>
  <w:style w:type="character" w:customStyle="1" w:styleId="PidipaginaCarattere">
    <w:name w:val="Piè di pagina Carattere"/>
    <w:basedOn w:val="Carpredefinitoparagrafo"/>
    <w:link w:val="Pidipagina"/>
    <w:uiPriority w:val="99"/>
    <w:rsid w:val="005B306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gei.de/en/projects/completed-projects/current-status-or-representations-of-islam-and-muslims.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D17A90-9604-4C3C-B482-8F71762AA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1439</Words>
  <Characters>8203</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lucenti</dc:creator>
  <cp:keywords/>
  <dc:description/>
  <cp:lastModifiedBy>maria lucenti</cp:lastModifiedBy>
  <cp:revision>2</cp:revision>
  <dcterms:created xsi:type="dcterms:W3CDTF">2022-01-05T08:30:00Z</dcterms:created>
  <dcterms:modified xsi:type="dcterms:W3CDTF">2022-01-05T08:30:00Z</dcterms:modified>
</cp:coreProperties>
</file>