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A033F" w14:textId="77777777" w:rsidR="00B93FBC" w:rsidRPr="0004651D" w:rsidRDefault="00B93FBC" w:rsidP="00B93FBC">
      <w:pPr>
        <w:rPr>
          <w:rFonts w:ascii="Times New Roman" w:hAnsi="Times New Roman" w:cs="Times New Roman"/>
        </w:rPr>
      </w:pPr>
    </w:p>
    <w:p w14:paraId="3E2B8EA5" w14:textId="77777777" w:rsidR="00B93FBC" w:rsidRPr="0004651D" w:rsidRDefault="00B93FBC" w:rsidP="00B93FBC">
      <w:pPr>
        <w:rPr>
          <w:rFonts w:ascii="Times New Roman" w:hAnsi="Times New Roman" w:cs="Times New Roman"/>
          <w:b/>
          <w:bCs/>
          <w:u w:val="single"/>
        </w:rPr>
      </w:pPr>
      <w:r w:rsidRPr="0004651D">
        <w:rPr>
          <w:rFonts w:ascii="Times New Roman" w:hAnsi="Times New Roman" w:cs="Times New Roman"/>
          <w:b/>
          <w:bCs/>
          <w:u w:val="single"/>
        </w:rPr>
        <w:t xml:space="preserve">Introduction: Reconsidering Women’s Religious Experience in Ancient Egypt </w:t>
      </w:r>
    </w:p>
    <w:p w14:paraId="280C30D3"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In ancient Egypt, religion permeated daily life and structured relationships between the human and divine realms through the principle of Ma’at</w:t>
      </w:r>
      <w:r>
        <w:rPr>
          <w:rFonts w:ascii="Times New Roman" w:hAnsi="Times New Roman" w:cs="Times New Roman"/>
        </w:rPr>
        <w:t xml:space="preserve"> (</w:t>
      </w:r>
      <w:r w:rsidRPr="0004651D">
        <w:rPr>
          <w:rFonts w:ascii="Times New Roman" w:hAnsi="Times New Roman" w:cs="Times New Roman"/>
        </w:rPr>
        <w:t>cosmic order</w:t>
      </w:r>
      <w:r>
        <w:rPr>
          <w:rFonts w:ascii="Times New Roman" w:hAnsi="Times New Roman" w:cs="Times New Roman"/>
        </w:rPr>
        <w:t>)</w:t>
      </w:r>
      <w:r w:rsidRPr="0004651D">
        <w:rPr>
          <w:rFonts w:ascii="Times New Roman" w:hAnsi="Times New Roman" w:cs="Times New Roman"/>
        </w:rPr>
        <w:t xml:space="preserve"> (Zhou, 2024). However, modern understandings of Egyptian religion are shaped by an uneven body of evidence, much of which was produced by elite men in institutional contexts such as temples and tombs (Robins, 1993). Consequently, women’s religious experiences are often underrepresented and mediated through male perspectives (Meskell, 2002).</w:t>
      </w:r>
    </w:p>
    <w:p w14:paraId="76B9E32B"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Scholars have increasingly examined women’s participation in Egyptian religion, often emphasising the visibility and relative autonomy of women within society (Tyldesley, 199</w:t>
      </w:r>
      <w:r>
        <w:rPr>
          <w:rFonts w:ascii="Times New Roman" w:hAnsi="Times New Roman" w:cs="Times New Roman"/>
        </w:rPr>
        <w:t>5</w:t>
      </w:r>
      <w:r w:rsidRPr="0004651D">
        <w:rPr>
          <w:rFonts w:ascii="Times New Roman" w:hAnsi="Times New Roman" w:cs="Times New Roman"/>
        </w:rPr>
        <w:t>; Watterson, 1991). Women could hold religious titles, participate in ritual life, and engage in domestic devotion. Yet such interpretations can obscure the extent to which religious experience was shaped by social hierarchy. Access to ritual authority, sacred spaces, and institutional religious roles was not equally available to all women, but depended heavily on wealth, status, and family connections (El-</w:t>
      </w:r>
      <w:proofErr w:type="spellStart"/>
      <w:r w:rsidRPr="0004651D">
        <w:rPr>
          <w:rFonts w:ascii="Times New Roman" w:hAnsi="Times New Roman" w:cs="Times New Roman"/>
        </w:rPr>
        <w:t>Kilany</w:t>
      </w:r>
      <w:proofErr w:type="spellEnd"/>
      <w:r>
        <w:rPr>
          <w:rFonts w:ascii="Times New Roman" w:hAnsi="Times New Roman" w:cs="Times New Roman"/>
        </w:rPr>
        <w:t xml:space="preserve"> &amp; Kamal</w:t>
      </w:r>
      <w:r w:rsidRPr="0004651D">
        <w:rPr>
          <w:rFonts w:ascii="Times New Roman" w:hAnsi="Times New Roman" w:cs="Times New Roman"/>
        </w:rPr>
        <w:t>, 2020).</w:t>
      </w:r>
    </w:p>
    <w:p w14:paraId="544CE4A0"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This thesis argues that social status fundamentally shaped women’s religious experiences in ancient Egypt. Although women across society participated in religious practice, elite women — particularly those with priestly roles — possessed forms of institutional authority and ritual access unavailable to most others</w:t>
      </w:r>
      <w:r>
        <w:rPr>
          <w:rFonts w:ascii="Times New Roman" w:hAnsi="Times New Roman" w:cs="Times New Roman"/>
        </w:rPr>
        <w:t xml:space="preserve"> (</w:t>
      </w:r>
      <w:r w:rsidRPr="0004651D">
        <w:rPr>
          <w:rFonts w:ascii="Times New Roman" w:hAnsi="Times New Roman" w:cs="Times New Roman"/>
        </w:rPr>
        <w:t>Lesko, 1994</w:t>
      </w:r>
      <w:r>
        <w:rPr>
          <w:rFonts w:ascii="Times New Roman" w:hAnsi="Times New Roman" w:cs="Times New Roman"/>
        </w:rPr>
        <w:t>)</w:t>
      </w:r>
      <w:r w:rsidRPr="0004651D">
        <w:rPr>
          <w:rFonts w:ascii="Times New Roman" w:hAnsi="Times New Roman" w:cs="Times New Roman"/>
        </w:rPr>
        <w:t xml:space="preserve">. Their engagement with religion </w:t>
      </w:r>
      <w:r>
        <w:rPr>
          <w:rFonts w:ascii="Times New Roman" w:hAnsi="Times New Roman" w:cs="Times New Roman"/>
        </w:rPr>
        <w:t xml:space="preserve">was therefore </w:t>
      </w:r>
      <w:r w:rsidRPr="0004651D">
        <w:rPr>
          <w:rFonts w:ascii="Times New Roman" w:hAnsi="Times New Roman" w:cs="Times New Roman"/>
        </w:rPr>
        <w:t>materially privileged and symbolically closer to the divine.</w:t>
      </w:r>
    </w:p>
    <w:p w14:paraId="24EBBFA5"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To explore this argument, this study compares two women from different social and historical contexts: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a Fifth Dynasty high priestess of Hathor, and Merit, an Eighteenth Dynasty noblewoman buried alongside her husband Kha at Deir </w:t>
      </w:r>
      <w:proofErr w:type="spellStart"/>
      <w:r w:rsidRPr="0004651D">
        <w:rPr>
          <w:rFonts w:ascii="Times New Roman" w:hAnsi="Times New Roman" w:cs="Times New Roman"/>
        </w:rPr>
        <w:t>el</w:t>
      </w:r>
      <w:proofErr w:type="spellEnd"/>
      <w:r w:rsidRPr="0004651D">
        <w:rPr>
          <w:rFonts w:ascii="Times New Roman" w:hAnsi="Times New Roman" w:cs="Times New Roman"/>
        </w:rPr>
        <w:t xml:space="preserve">-Medina.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tomb near Giza reflects elite religious status and probable access to temple-based ritual authority (Woods, 2012). In contrast, Merit’s burial provides insight into the devotional practices of a wealthy but non-priestly woman, likely centred on household and local worship (Bianucci et al., 2015). </w:t>
      </w:r>
      <w:r>
        <w:rPr>
          <w:rFonts w:ascii="Times New Roman" w:hAnsi="Times New Roman" w:cs="Times New Roman"/>
        </w:rPr>
        <w:t xml:space="preserve">Taken together, the evidence indicates that while Merit belonged to a prosperous household, her access to institutional religious power was significantly more limited than that of </w:t>
      </w:r>
      <w:proofErr w:type="spellStart"/>
      <w:r>
        <w:rPr>
          <w:rFonts w:ascii="Times New Roman" w:hAnsi="Times New Roman" w:cs="Times New Roman"/>
        </w:rPr>
        <w:t>Hetepet</w:t>
      </w:r>
      <w:proofErr w:type="spellEnd"/>
      <w:r>
        <w:rPr>
          <w:rFonts w:ascii="Times New Roman" w:hAnsi="Times New Roman" w:cs="Times New Roman"/>
        </w:rPr>
        <w:t xml:space="preserve">. </w:t>
      </w:r>
    </w:p>
    <w:p w14:paraId="0323D78A"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By comparing these figures, this thesis examines how social status shaped women’s access to sacred spaces, religious authority, and forms of devotion across different periods of Egyptian history. In doing so, it argues that while women throughout society engaged with the divine, the nature and depth of these interactions were fundamentally structured by social hierarchy.</w:t>
      </w:r>
    </w:p>
    <w:p w14:paraId="11107E43" w14:textId="77777777" w:rsidR="00B93FBC" w:rsidRPr="0004651D" w:rsidRDefault="00B93FBC" w:rsidP="00B93FBC">
      <w:pPr>
        <w:rPr>
          <w:rFonts w:ascii="Times New Roman" w:hAnsi="Times New Roman" w:cs="Times New Roman"/>
          <w:b/>
          <w:bCs/>
          <w:u w:val="single"/>
        </w:rPr>
      </w:pPr>
      <w:r w:rsidRPr="0004651D">
        <w:rPr>
          <w:rFonts w:ascii="Times New Roman" w:hAnsi="Times New Roman" w:cs="Times New Roman"/>
          <w:b/>
          <w:bCs/>
          <w:u w:val="single"/>
        </w:rPr>
        <w:t xml:space="preserve">Methodological Approaches and Source Criticism </w:t>
      </w:r>
    </w:p>
    <w:p w14:paraId="40C87B80" w14:textId="77777777" w:rsidR="00B93FBC" w:rsidRPr="0004651D" w:rsidRDefault="00B93FBC" w:rsidP="00B93FBC">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This thesis adopts a comparative case study approach to examine how women’s religious roles and experiences can be reconstructed across different social contexts in ancient Egypt. By focusing on the elite tomb owner </w:t>
      </w:r>
      <w:proofErr w:type="spellStart"/>
      <w:r w:rsidRPr="0004651D">
        <w:rPr>
          <w:rFonts w:ascii="Times New Roman" w:hAnsi="Times New Roman" w:cs="Times New Roman"/>
          <w:color w:val="000000" w:themeColor="text1"/>
        </w:rPr>
        <w:t>Hetepet</w:t>
      </w:r>
      <w:proofErr w:type="spellEnd"/>
      <w:r w:rsidRPr="0004651D">
        <w:rPr>
          <w:rFonts w:ascii="Times New Roman" w:hAnsi="Times New Roman" w:cs="Times New Roman"/>
          <w:color w:val="000000" w:themeColor="text1"/>
        </w:rPr>
        <w:t xml:space="preserve"> and the </w:t>
      </w:r>
      <w:r>
        <w:rPr>
          <w:rFonts w:ascii="Times New Roman" w:hAnsi="Times New Roman" w:cs="Times New Roman"/>
          <w:color w:val="000000" w:themeColor="text1"/>
        </w:rPr>
        <w:t>non-institutional elite</w:t>
      </w:r>
      <w:r w:rsidRPr="0004651D">
        <w:rPr>
          <w:rFonts w:ascii="Times New Roman" w:hAnsi="Times New Roman" w:cs="Times New Roman"/>
          <w:color w:val="000000" w:themeColor="text1"/>
        </w:rPr>
        <w:t xml:space="preserve"> woman Merit from Deir </w:t>
      </w:r>
      <w:proofErr w:type="spellStart"/>
      <w:r w:rsidRPr="0004651D">
        <w:rPr>
          <w:rFonts w:ascii="Times New Roman" w:hAnsi="Times New Roman" w:cs="Times New Roman"/>
          <w:color w:val="000000" w:themeColor="text1"/>
        </w:rPr>
        <w:t>el</w:t>
      </w:r>
      <w:proofErr w:type="spellEnd"/>
      <w:r w:rsidRPr="0004651D">
        <w:rPr>
          <w:rFonts w:ascii="Times New Roman" w:hAnsi="Times New Roman" w:cs="Times New Roman"/>
          <w:color w:val="000000" w:themeColor="text1"/>
        </w:rPr>
        <w:t xml:space="preserve">-Medina, the analysis explores both differences and continuities in access to religious practice. This comparative framework allows for a more nuanced understanding of </w:t>
      </w:r>
      <w:r w:rsidRPr="0004651D">
        <w:rPr>
          <w:rFonts w:ascii="Times New Roman" w:hAnsi="Times New Roman" w:cs="Times New Roman"/>
          <w:color w:val="000000" w:themeColor="text1"/>
        </w:rPr>
        <w:lastRenderedPageBreak/>
        <w:t>how status shaped representation and experience, while also highlighting the methodological challenges inherent in working across different categories of evidence.</w:t>
      </w:r>
    </w:p>
    <w:p w14:paraId="6636BFF4" w14:textId="77777777" w:rsidR="00B93FBC" w:rsidRPr="0004651D" w:rsidRDefault="00B93FBC" w:rsidP="00B93FBC">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The study is informed by a </w:t>
      </w:r>
      <w:r>
        <w:rPr>
          <w:rFonts w:ascii="Times New Roman" w:hAnsi="Times New Roman" w:cs="Times New Roman"/>
          <w:color w:val="000000" w:themeColor="text1"/>
        </w:rPr>
        <w:t>‘</w:t>
      </w:r>
      <w:r w:rsidRPr="0004651D">
        <w:rPr>
          <w:rFonts w:ascii="Times New Roman" w:hAnsi="Times New Roman" w:cs="Times New Roman"/>
          <w:color w:val="000000" w:themeColor="text1"/>
        </w:rPr>
        <w:t>lived religion</w:t>
      </w:r>
      <w:r>
        <w:rPr>
          <w:rFonts w:ascii="Times New Roman" w:hAnsi="Times New Roman" w:cs="Times New Roman"/>
          <w:color w:val="000000" w:themeColor="text1"/>
        </w:rPr>
        <w:t>’</w:t>
      </w:r>
      <w:r w:rsidRPr="0004651D">
        <w:rPr>
          <w:rFonts w:ascii="Times New Roman" w:hAnsi="Times New Roman" w:cs="Times New Roman"/>
          <w:color w:val="000000" w:themeColor="text1"/>
        </w:rPr>
        <w:t xml:space="preserve"> framework, which shifts focus away from formal religious doctrine toward everyday practices and interactions with the divine. Rather than privileging temple-based or state-sponsored religion, this approach considers how individuals engaged with religious ideas through domestic space, material culture, and embodied ritual. This is particularly important for the study of women, whose religious roles are often less visible in formal inscriptions but may be inferred through patterns of practice and representation (Meskell, 2002).</w:t>
      </w:r>
    </w:p>
    <w:p w14:paraId="5D6EE767" w14:textId="77777777" w:rsidR="00B93FBC" w:rsidRPr="0004651D" w:rsidRDefault="00B93FBC" w:rsidP="00B93FBC">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The analysis draws on both material and textual evidence, though each presents significant limitations. For </w:t>
      </w:r>
      <w:r>
        <w:rPr>
          <w:rFonts w:ascii="Times New Roman" w:hAnsi="Times New Roman" w:cs="Times New Roman"/>
          <w:color w:val="000000" w:themeColor="text1"/>
        </w:rPr>
        <w:t>less</w:t>
      </w:r>
      <w:r w:rsidRPr="0004651D">
        <w:rPr>
          <w:rFonts w:ascii="Times New Roman" w:hAnsi="Times New Roman" w:cs="Times New Roman"/>
          <w:color w:val="000000" w:themeColor="text1"/>
        </w:rPr>
        <w:t xml:space="preserve">-elite contexts such as </w:t>
      </w:r>
      <w:r>
        <w:rPr>
          <w:rFonts w:ascii="Times New Roman" w:hAnsi="Times New Roman" w:cs="Times New Roman"/>
          <w:color w:val="000000" w:themeColor="text1"/>
        </w:rPr>
        <w:t xml:space="preserve">the workmen’s villages of </w:t>
      </w:r>
      <w:r w:rsidRPr="0004651D">
        <w:rPr>
          <w:rFonts w:ascii="Times New Roman" w:hAnsi="Times New Roman" w:cs="Times New Roman"/>
          <w:color w:val="000000" w:themeColor="text1"/>
        </w:rPr>
        <w:t xml:space="preserve">Deir </w:t>
      </w:r>
      <w:proofErr w:type="spellStart"/>
      <w:r w:rsidRPr="0004651D">
        <w:rPr>
          <w:rFonts w:ascii="Times New Roman" w:hAnsi="Times New Roman" w:cs="Times New Roman"/>
          <w:color w:val="000000" w:themeColor="text1"/>
        </w:rPr>
        <w:t>el</w:t>
      </w:r>
      <w:proofErr w:type="spellEnd"/>
      <w:r w:rsidRPr="0004651D">
        <w:rPr>
          <w:rFonts w:ascii="Times New Roman" w:hAnsi="Times New Roman" w:cs="Times New Roman"/>
          <w:color w:val="000000" w:themeColor="text1"/>
        </w:rPr>
        <w:t>-Medina</w:t>
      </w:r>
      <w:r>
        <w:rPr>
          <w:rFonts w:ascii="Times New Roman" w:hAnsi="Times New Roman" w:cs="Times New Roman"/>
          <w:color w:val="000000" w:themeColor="text1"/>
        </w:rPr>
        <w:t xml:space="preserve"> and Amarna</w:t>
      </w:r>
      <w:r w:rsidRPr="0004651D">
        <w:rPr>
          <w:rFonts w:ascii="Times New Roman" w:hAnsi="Times New Roman" w:cs="Times New Roman"/>
          <w:color w:val="000000" w:themeColor="text1"/>
        </w:rPr>
        <w:t>, the archaeological record is comparatively rich, preserving houses, objects, and informal texts that provide insight into daily life (Kemp, 200</w:t>
      </w:r>
      <w:r>
        <w:rPr>
          <w:rFonts w:ascii="Times New Roman" w:hAnsi="Times New Roman" w:cs="Times New Roman"/>
          <w:color w:val="000000" w:themeColor="text1"/>
        </w:rPr>
        <w:t>6;</w:t>
      </w:r>
      <w:r w:rsidRPr="0004651D">
        <w:rPr>
          <w:rFonts w:ascii="Times New Roman" w:hAnsi="Times New Roman" w:cs="Times New Roman"/>
          <w:color w:val="000000" w:themeColor="text1"/>
        </w:rPr>
        <w:t xml:space="preserve"> Pinch, 1993). However, even here, interpretation is constrained by preservation biases and the difficulty of linking material remains directly to specific individuals such as Merit (Weiss, 2009). At the same time, while Deir </w:t>
      </w:r>
      <w:proofErr w:type="spellStart"/>
      <w:r w:rsidRPr="0004651D">
        <w:rPr>
          <w:rFonts w:ascii="Times New Roman" w:hAnsi="Times New Roman" w:cs="Times New Roman"/>
          <w:color w:val="000000" w:themeColor="text1"/>
        </w:rPr>
        <w:t>el</w:t>
      </w:r>
      <w:proofErr w:type="spellEnd"/>
      <w:r w:rsidRPr="0004651D">
        <w:rPr>
          <w:rFonts w:ascii="Times New Roman" w:hAnsi="Times New Roman" w:cs="Times New Roman"/>
          <w:color w:val="000000" w:themeColor="text1"/>
        </w:rPr>
        <w:t xml:space="preserve">-Medina offers unusually detailed evidence, and </w:t>
      </w:r>
      <w:r>
        <w:rPr>
          <w:rFonts w:ascii="Times New Roman" w:hAnsi="Times New Roman" w:cs="Times New Roman"/>
          <w:color w:val="000000" w:themeColor="text1"/>
        </w:rPr>
        <w:t>settlements like this and Amarna, both rich in archaeology, are</w:t>
      </w:r>
      <w:r w:rsidRPr="0004651D">
        <w:rPr>
          <w:rFonts w:ascii="Times New Roman" w:hAnsi="Times New Roman" w:cs="Times New Roman"/>
          <w:color w:val="000000" w:themeColor="text1"/>
        </w:rPr>
        <w:t xml:space="preserve"> </w:t>
      </w:r>
      <w:r>
        <w:rPr>
          <w:rFonts w:ascii="Times New Roman" w:hAnsi="Times New Roman" w:cs="Times New Roman"/>
          <w:color w:val="000000" w:themeColor="text1"/>
        </w:rPr>
        <w:t>sometimes</w:t>
      </w:r>
      <w:r w:rsidRPr="0004651D">
        <w:rPr>
          <w:rFonts w:ascii="Times New Roman" w:hAnsi="Times New Roman" w:cs="Times New Roman"/>
          <w:color w:val="000000" w:themeColor="text1"/>
        </w:rPr>
        <w:t xml:space="preserve"> considered</w:t>
      </w:r>
      <w:r>
        <w:rPr>
          <w:rFonts w:ascii="Times New Roman" w:hAnsi="Times New Roman" w:cs="Times New Roman"/>
          <w:color w:val="000000" w:themeColor="text1"/>
        </w:rPr>
        <w:t xml:space="preserve"> </w:t>
      </w:r>
      <w:r w:rsidRPr="0004651D">
        <w:rPr>
          <w:rFonts w:ascii="Times New Roman" w:hAnsi="Times New Roman" w:cs="Times New Roman"/>
          <w:color w:val="000000" w:themeColor="text1"/>
        </w:rPr>
        <w:t>‘</w:t>
      </w:r>
      <w:r>
        <w:rPr>
          <w:rFonts w:ascii="Times New Roman" w:hAnsi="Times New Roman" w:cs="Times New Roman"/>
          <w:color w:val="000000" w:themeColor="text1"/>
        </w:rPr>
        <w:t>Egypt in microcosm’</w:t>
      </w:r>
      <w:r w:rsidRPr="0004651D">
        <w:rPr>
          <w:rFonts w:ascii="Times New Roman" w:hAnsi="Times New Roman" w:cs="Times New Roman"/>
          <w:color w:val="000000" w:themeColor="text1"/>
        </w:rPr>
        <w:t xml:space="preserve"> (Kemp, 20</w:t>
      </w:r>
      <w:r>
        <w:rPr>
          <w:rFonts w:ascii="Times New Roman" w:hAnsi="Times New Roman" w:cs="Times New Roman"/>
          <w:color w:val="000000" w:themeColor="text1"/>
        </w:rPr>
        <w:t>0</w:t>
      </w:r>
      <w:r w:rsidRPr="0004651D">
        <w:rPr>
          <w:rFonts w:ascii="Times New Roman" w:hAnsi="Times New Roman" w:cs="Times New Roman"/>
          <w:color w:val="000000" w:themeColor="text1"/>
        </w:rPr>
        <w:t>6</w:t>
      </w:r>
      <w:r>
        <w:rPr>
          <w:rFonts w:ascii="Times New Roman" w:hAnsi="Times New Roman" w:cs="Times New Roman"/>
          <w:color w:val="000000" w:themeColor="text1"/>
        </w:rPr>
        <w:t>, p.320</w:t>
      </w:r>
      <w:r w:rsidRPr="0004651D">
        <w:rPr>
          <w:rFonts w:ascii="Times New Roman" w:hAnsi="Times New Roman" w:cs="Times New Roman"/>
          <w:color w:val="000000" w:themeColor="text1"/>
        </w:rPr>
        <w:t xml:space="preserve">) </w:t>
      </w:r>
      <w:r>
        <w:rPr>
          <w:rFonts w:ascii="Times New Roman" w:hAnsi="Times New Roman" w:cs="Times New Roman"/>
          <w:color w:val="000000" w:themeColor="text1"/>
        </w:rPr>
        <w:t>they</w:t>
      </w:r>
      <w:r w:rsidRPr="0004651D">
        <w:rPr>
          <w:rFonts w:ascii="Times New Roman" w:hAnsi="Times New Roman" w:cs="Times New Roman"/>
          <w:color w:val="000000" w:themeColor="text1"/>
        </w:rPr>
        <w:t xml:space="preserve"> may not be representative of wider Egyptian society. </w:t>
      </w:r>
    </w:p>
    <w:p w14:paraId="02B04C9D" w14:textId="77777777" w:rsidR="00B93FBC" w:rsidRPr="0004651D" w:rsidRDefault="00B93FBC" w:rsidP="00B93FBC">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In contrast, evidence for elite women such as </w:t>
      </w:r>
      <w:proofErr w:type="spellStart"/>
      <w:r w:rsidRPr="0004651D">
        <w:rPr>
          <w:rFonts w:ascii="Times New Roman" w:hAnsi="Times New Roman" w:cs="Times New Roman"/>
          <w:color w:val="000000" w:themeColor="text1"/>
        </w:rPr>
        <w:t>Hetepet</w:t>
      </w:r>
      <w:proofErr w:type="spellEnd"/>
      <w:r w:rsidRPr="0004651D">
        <w:rPr>
          <w:rFonts w:ascii="Times New Roman" w:hAnsi="Times New Roman" w:cs="Times New Roman"/>
          <w:color w:val="000000" w:themeColor="text1"/>
        </w:rPr>
        <w:t xml:space="preserve"> is dominated by tomb decoration and formal inscriptions, which introduce different interpretive challenges (Meskell, 2002). Tomb scenes are highly representational, structured according to artistic and symbolic conventions rather than intended as documentary records</w:t>
      </w:r>
      <w:r>
        <w:rPr>
          <w:rFonts w:ascii="Times New Roman" w:hAnsi="Times New Roman" w:cs="Times New Roman"/>
          <w:color w:val="000000" w:themeColor="text1"/>
        </w:rPr>
        <w:t>. A</w:t>
      </w:r>
      <w:r w:rsidRPr="0004651D">
        <w:rPr>
          <w:rFonts w:ascii="Times New Roman" w:hAnsi="Times New Roman" w:cs="Times New Roman"/>
          <w:color w:val="000000" w:themeColor="text1"/>
        </w:rPr>
        <w:t xml:space="preserve">s Robins (1993) argues, Egyptian self-representation was concerned less with recording lived reality than with expressing ideal identities in accordance with social norms and the principle of Ma’at. As a result, depictions of </w:t>
      </w:r>
      <w:proofErr w:type="spellStart"/>
      <w:r w:rsidRPr="0004651D">
        <w:rPr>
          <w:rFonts w:ascii="Times New Roman" w:hAnsi="Times New Roman" w:cs="Times New Roman"/>
          <w:color w:val="000000" w:themeColor="text1"/>
        </w:rPr>
        <w:t>Hetepet</w:t>
      </w:r>
      <w:proofErr w:type="spellEnd"/>
      <w:r w:rsidRPr="0004651D">
        <w:rPr>
          <w:rFonts w:ascii="Times New Roman" w:hAnsi="Times New Roman" w:cs="Times New Roman"/>
          <w:color w:val="000000" w:themeColor="text1"/>
        </w:rPr>
        <w:t xml:space="preserve"> must be read as elite constructions of status, piety, and idealised gender</w:t>
      </w:r>
      <w:r>
        <w:rPr>
          <w:rFonts w:ascii="Times New Roman" w:hAnsi="Times New Roman" w:cs="Times New Roman"/>
          <w:color w:val="000000" w:themeColor="text1"/>
        </w:rPr>
        <w:t xml:space="preserve"> roles</w:t>
      </w:r>
      <w:r w:rsidRPr="0004651D">
        <w:rPr>
          <w:rFonts w:ascii="Times New Roman" w:hAnsi="Times New Roman" w:cs="Times New Roman"/>
          <w:color w:val="000000" w:themeColor="text1"/>
        </w:rPr>
        <w:t>, rather than transparent reflections of her everyday experience.</w:t>
      </w:r>
    </w:p>
    <w:p w14:paraId="4077CF9E" w14:textId="77777777" w:rsidR="00B93FBC" w:rsidRPr="0004651D" w:rsidRDefault="00B93FBC" w:rsidP="00B93FBC">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Textual evidence further reinforces this imbalance. Autobiographical inscriptions are overwhelmingly male-authored, and women’s voices are largely absent from the written record (Robins, 1993). This creates a structural bias in which male perspectives dominate our understanding of religious life. However, this does not mean that all women were illiterate, but that </w:t>
      </w:r>
      <w:r>
        <w:rPr>
          <w:rFonts w:ascii="Times New Roman" w:hAnsi="Times New Roman" w:cs="Times New Roman"/>
          <w:color w:val="000000" w:themeColor="text1"/>
        </w:rPr>
        <w:t>women appear to have had limited access to higher administrative roles within temple institutions</w:t>
      </w:r>
      <w:r w:rsidRPr="0004651D">
        <w:rPr>
          <w:rFonts w:ascii="Times New Roman" w:hAnsi="Times New Roman" w:cs="Times New Roman"/>
          <w:color w:val="000000" w:themeColor="text1"/>
        </w:rPr>
        <w:t xml:space="preserve"> (</w:t>
      </w:r>
      <w:proofErr w:type="spellStart"/>
      <w:r w:rsidRPr="0004651D">
        <w:rPr>
          <w:rFonts w:ascii="Times New Roman" w:hAnsi="Times New Roman" w:cs="Times New Roman"/>
          <w:color w:val="000000" w:themeColor="text1"/>
        </w:rPr>
        <w:t>Onstine</w:t>
      </w:r>
      <w:proofErr w:type="spellEnd"/>
      <w:r w:rsidRPr="0004651D">
        <w:rPr>
          <w:rFonts w:ascii="Times New Roman" w:hAnsi="Times New Roman" w:cs="Times New Roman"/>
          <w:color w:val="000000" w:themeColor="text1"/>
        </w:rPr>
        <w:t xml:space="preserve">, 2010). Not only is there a male bias in the evidence but also an elite one. As Baines (1991) points out, the lack of evidence of ‘ordinary’ people’s official religious roles is significant. </w:t>
      </w:r>
    </w:p>
    <w:p w14:paraId="4F64BD29" w14:textId="77777777" w:rsidR="00B93FBC" w:rsidRPr="0004651D" w:rsidRDefault="00B93FBC" w:rsidP="00B93FBC">
      <w:pPr>
        <w:rPr>
          <w:rFonts w:ascii="Times New Roman" w:hAnsi="Times New Roman" w:cs="Times New Roman"/>
          <w:color w:val="000000" w:themeColor="text1"/>
        </w:rPr>
      </w:pPr>
      <w:r>
        <w:rPr>
          <w:rFonts w:ascii="Times New Roman" w:hAnsi="Times New Roman" w:cs="Times New Roman"/>
          <w:color w:val="000000" w:themeColor="text1"/>
        </w:rPr>
        <w:t xml:space="preserve">Finally, this study stays mindful that modern ideas about gender, social position and power can easily shape how ancient evidence is read, particularly when viewed through modern Western assumptions. </w:t>
      </w:r>
    </w:p>
    <w:p w14:paraId="66B9B9CA" w14:textId="77777777" w:rsidR="00B93FBC" w:rsidRPr="0004651D" w:rsidRDefault="00B93FBC" w:rsidP="00B93FBC">
      <w:pPr>
        <w:rPr>
          <w:rFonts w:ascii="Times New Roman" w:hAnsi="Times New Roman" w:cs="Times New Roman"/>
          <w:b/>
          <w:bCs/>
          <w:u w:val="single"/>
        </w:rPr>
      </w:pPr>
      <w:r w:rsidRPr="0004651D">
        <w:rPr>
          <w:rFonts w:ascii="Times New Roman" w:hAnsi="Times New Roman" w:cs="Times New Roman"/>
          <w:b/>
          <w:bCs/>
          <w:u w:val="single"/>
        </w:rPr>
        <w:t xml:space="preserve">Women and Sacred Space in Institutional Religion </w:t>
      </w:r>
    </w:p>
    <w:p w14:paraId="7E1969CC"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Access to formal religious structures in ancient Egypt was not universally available, but instead carefully structured through hierarchies of gender, status, and institutional control. A </w:t>
      </w:r>
      <w:r w:rsidRPr="0004651D">
        <w:rPr>
          <w:rFonts w:ascii="Times New Roman" w:hAnsi="Times New Roman" w:cs="Times New Roman"/>
        </w:rPr>
        <w:lastRenderedPageBreak/>
        <w:t xml:space="preserve">comparison between the elite priestess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and the </w:t>
      </w:r>
      <w:r>
        <w:rPr>
          <w:rFonts w:ascii="Times New Roman" w:hAnsi="Times New Roman" w:cs="Times New Roman"/>
        </w:rPr>
        <w:t>wealthy non-priestly</w:t>
      </w:r>
      <w:r w:rsidRPr="0004651D">
        <w:rPr>
          <w:rFonts w:ascii="Times New Roman" w:hAnsi="Times New Roman" w:cs="Times New Roman"/>
        </w:rPr>
        <w:t xml:space="preserve"> wife Merit reveals that while both could participate in religious life, the nature, quality, and intensity of that participation differed significantly. These differences were not simply a matter of greater or lesser access but reflect fundamentally distinct modes of engagement with the divine.</w:t>
      </w:r>
    </w:p>
    <w:p w14:paraId="2FFCBB22" w14:textId="77777777" w:rsidR="00B93FBC" w:rsidRPr="0004651D" w:rsidRDefault="00B93FBC" w:rsidP="00B93FBC">
      <w:pPr>
        <w:rPr>
          <w:rFonts w:ascii="Times New Roman" w:hAnsi="Times New Roman" w:cs="Times New Roman"/>
        </w:rPr>
      </w:pP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role as </w:t>
      </w:r>
      <w:r w:rsidRPr="0004651D">
        <w:rPr>
          <w:rFonts w:ascii="Times New Roman" w:hAnsi="Times New Roman" w:cs="Times New Roman"/>
          <w:i/>
          <w:iCs/>
        </w:rPr>
        <w:t>Hemet Netjer</w:t>
      </w:r>
      <w:r w:rsidRPr="0004651D">
        <w:rPr>
          <w:rFonts w:ascii="Times New Roman" w:hAnsi="Times New Roman" w:cs="Times New Roman"/>
        </w:rPr>
        <w:t xml:space="preserve">, servant to the gods, positioned her within the formal structures of temple religion, granting her direct and institutionalised access to ritual practice (Gillam, 1995). Although the precise duties of female priestesses remain debated, such roles likely included participation in offering rituals, involvement in cultic performances, and possibly the recitation of hymns or the handling of sacred objects (Zhou, 2024). Crucially, this participation took place within the temple itself, a highly restricted and controlled environment that functioned as the central locus of divine presence. Entry into such spaces was limited to those with authorised roles, meaning that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position afforded her a degree of proximity to the god that was inaccessible to most individuals (</w:t>
      </w:r>
      <w:proofErr w:type="spellStart"/>
      <w:r w:rsidRPr="0004651D">
        <w:rPr>
          <w:rFonts w:ascii="Times New Roman" w:hAnsi="Times New Roman" w:cs="Times New Roman"/>
        </w:rPr>
        <w:t>Onstine</w:t>
      </w:r>
      <w:proofErr w:type="spellEnd"/>
      <w:r w:rsidRPr="0004651D">
        <w:rPr>
          <w:rFonts w:ascii="Times New Roman" w:hAnsi="Times New Roman" w:cs="Times New Roman"/>
        </w:rPr>
        <w:t xml:space="preserve">, 2010). </w:t>
      </w:r>
      <w:r>
        <w:rPr>
          <w:rFonts w:ascii="Times New Roman" w:hAnsi="Times New Roman" w:cs="Times New Roman"/>
        </w:rPr>
        <w:t xml:space="preserve">Physical proximity to the divine did not necessarily translate into autonomous religious authority. Although priestesses such as </w:t>
      </w:r>
      <w:proofErr w:type="spellStart"/>
      <w:r>
        <w:rPr>
          <w:rFonts w:ascii="Times New Roman" w:hAnsi="Times New Roman" w:cs="Times New Roman"/>
        </w:rPr>
        <w:t>Hetepet</w:t>
      </w:r>
      <w:proofErr w:type="spellEnd"/>
      <w:r>
        <w:rPr>
          <w:rFonts w:ascii="Times New Roman" w:hAnsi="Times New Roman" w:cs="Times New Roman"/>
        </w:rPr>
        <w:t xml:space="preserve"> occupied privileged ritual positions within temple space</w:t>
      </w:r>
      <w:r w:rsidRPr="0004651D">
        <w:rPr>
          <w:rFonts w:ascii="Times New Roman" w:hAnsi="Times New Roman" w:cs="Times New Roman"/>
        </w:rPr>
        <w:t>,</w:t>
      </w:r>
      <w:r>
        <w:rPr>
          <w:rFonts w:ascii="Times New Roman" w:hAnsi="Times New Roman" w:cs="Times New Roman"/>
        </w:rPr>
        <w:t xml:space="preserve"> their authority remained mediated through institutional structures controlled largely by men. </w:t>
      </w:r>
      <w:r w:rsidRPr="0004651D">
        <w:rPr>
          <w:rFonts w:ascii="Times New Roman" w:hAnsi="Times New Roman" w:cs="Times New Roman"/>
        </w:rPr>
        <w:t xml:space="preserve">Zhou (2024) </w:t>
      </w:r>
      <w:r>
        <w:rPr>
          <w:rFonts w:ascii="Times New Roman" w:hAnsi="Times New Roman" w:cs="Times New Roman"/>
        </w:rPr>
        <w:t>argues that</w:t>
      </w:r>
      <w:r w:rsidRPr="0004651D">
        <w:rPr>
          <w:rFonts w:ascii="Times New Roman" w:hAnsi="Times New Roman" w:cs="Times New Roman"/>
        </w:rPr>
        <w:t xml:space="preserve"> rather than having ‘divine authority’, most priestesses would have been simply employees of the temple. </w:t>
      </w:r>
    </w:p>
    <w:p w14:paraId="0DA3E34B"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To critically assess this proximity further, it is helpful to examine the evidence for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role, which derives primarily from her tomb decoration. This is inherently idealised and shaped by conventions of elite self-representation.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is portrayed alone in all the imagery in her tomb and is one of only a few female burials to do this (Woods </w:t>
      </w:r>
      <w:r>
        <w:rPr>
          <w:rFonts w:ascii="Times New Roman" w:hAnsi="Times New Roman" w:cs="Times New Roman"/>
        </w:rPr>
        <w:t>&amp;</w:t>
      </w:r>
      <w:r w:rsidRPr="0004651D">
        <w:rPr>
          <w:rFonts w:ascii="Times New Roman" w:hAnsi="Times New Roman" w:cs="Times New Roman"/>
        </w:rPr>
        <w:t xml:space="preserve"> Swinton, 2013). This tells us that she was of very high status, despite not being royal, and suggests high ranking connections (Woods </w:t>
      </w:r>
      <w:r>
        <w:rPr>
          <w:rFonts w:ascii="Times New Roman" w:hAnsi="Times New Roman" w:cs="Times New Roman"/>
        </w:rPr>
        <w:t>&amp;</w:t>
      </w:r>
      <w:r w:rsidRPr="0004651D">
        <w:rPr>
          <w:rFonts w:ascii="Times New Roman" w:hAnsi="Times New Roman" w:cs="Times New Roman"/>
        </w:rPr>
        <w:t xml:space="preserve"> Swinton, 2013). However, as Robins (1993) argues, such representations are less concerned with documenting lived reality than with expressing conformity to social norms and the maintenance of Ma’at. Baines (1991) supports this view, arguing that if the Egyptians would have allowed less fortunate people’s lives to be portrayed in art, this would have allowed disorder to disrupt the order o</w:t>
      </w:r>
      <w:r>
        <w:rPr>
          <w:rFonts w:ascii="Times New Roman" w:hAnsi="Times New Roman" w:cs="Times New Roman"/>
        </w:rPr>
        <w:t>f</w:t>
      </w:r>
      <w:r w:rsidRPr="0004651D">
        <w:rPr>
          <w:rFonts w:ascii="Times New Roman" w:hAnsi="Times New Roman" w:cs="Times New Roman"/>
        </w:rPr>
        <w:t xml:space="preserve"> Ma’at.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depiction as a priestess therefore communicates status, piety, and legitimacy, but does not necessarily reflect the full scope or nature of her daily activities. Furthermore, it remains unclear whether such roles were experienced as acts of personal devotion, institutional obligation, or a combination of both. </w:t>
      </w:r>
    </w:p>
    <w:p w14:paraId="635362DA"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In contrast, Merit’s social position illustrates the limitations placed on </w:t>
      </w:r>
      <w:r>
        <w:rPr>
          <w:rFonts w:ascii="Times New Roman" w:hAnsi="Times New Roman" w:cs="Times New Roman"/>
        </w:rPr>
        <w:t>non-institutional elite</w:t>
      </w:r>
      <w:r w:rsidRPr="0004651D">
        <w:rPr>
          <w:rFonts w:ascii="Times New Roman" w:hAnsi="Times New Roman" w:cs="Times New Roman"/>
        </w:rPr>
        <w:t xml:space="preserve"> women within formal religious hierarchies. By the </w:t>
      </w:r>
      <w:r>
        <w:rPr>
          <w:rFonts w:ascii="Times New Roman" w:hAnsi="Times New Roman" w:cs="Times New Roman"/>
        </w:rPr>
        <w:t>Eighteen</w:t>
      </w:r>
      <w:r w:rsidRPr="0004651D">
        <w:rPr>
          <w:rFonts w:ascii="Times New Roman" w:hAnsi="Times New Roman" w:cs="Times New Roman"/>
        </w:rPr>
        <w:t xml:space="preserve">th Dynasty, women </w:t>
      </w:r>
      <w:r>
        <w:rPr>
          <w:rFonts w:ascii="Times New Roman" w:hAnsi="Times New Roman" w:cs="Times New Roman"/>
        </w:rPr>
        <w:t>appear to have been</w:t>
      </w:r>
      <w:r w:rsidRPr="0004651D">
        <w:rPr>
          <w:rFonts w:ascii="Times New Roman" w:hAnsi="Times New Roman" w:cs="Times New Roman"/>
        </w:rPr>
        <w:t xml:space="preserve"> largely excluded from priestly roles, reflecting a broader shift toward increasing restriction within temple institutions. As a result, Merit would not have had direct access to the inner spaces of the temple or the authority associated with priesthood (Gillam, 1995). This exclusion highlights the extent to which formal religious structures were not only gendered but also stratified by status, restricting the most direct forms of divine engagement to a relatively small segment of the population.</w:t>
      </w:r>
    </w:p>
    <w:p w14:paraId="11041E4A"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lastRenderedPageBreak/>
        <w:t xml:space="preserve">Despite this exclusion, women like Merit were not entirely absent from formal religious contexts. Instead, their participation often took alternative forms, most notably as musicians in ritual and festival settings. Tomb scenes from the </w:t>
      </w:r>
      <w:r>
        <w:rPr>
          <w:rFonts w:ascii="Times New Roman" w:hAnsi="Times New Roman" w:cs="Times New Roman"/>
        </w:rPr>
        <w:t>Eighteen</w:t>
      </w:r>
      <w:r w:rsidRPr="0004651D">
        <w:rPr>
          <w:rFonts w:ascii="Times New Roman" w:hAnsi="Times New Roman" w:cs="Times New Roman"/>
        </w:rPr>
        <w:t xml:space="preserve">th Dynasty, depict women playing instruments such as the sistrum and wearing the </w:t>
      </w:r>
      <w:proofErr w:type="spellStart"/>
      <w:r w:rsidRPr="0004651D">
        <w:rPr>
          <w:rFonts w:ascii="Times New Roman" w:hAnsi="Times New Roman" w:cs="Times New Roman"/>
        </w:rPr>
        <w:t>men</w:t>
      </w:r>
      <w:r>
        <w:rPr>
          <w:rFonts w:ascii="Times New Roman" w:hAnsi="Times New Roman" w:cs="Times New Roman"/>
        </w:rPr>
        <w:t>a</w:t>
      </w:r>
      <w:r w:rsidRPr="0004651D">
        <w:rPr>
          <w:rFonts w:ascii="Times New Roman" w:hAnsi="Times New Roman" w:cs="Times New Roman"/>
        </w:rPr>
        <w:t>t</w:t>
      </w:r>
      <w:proofErr w:type="spellEnd"/>
      <w:r w:rsidRPr="0004651D">
        <w:rPr>
          <w:rFonts w:ascii="Times New Roman" w:hAnsi="Times New Roman" w:cs="Times New Roman"/>
        </w:rPr>
        <w:t xml:space="preserve"> necklace, both closely associated with the goddess Hathor. These objects were not merely decorative but held significant ritual meaning: the sound of the sistrum was believed to appease the gods and ward off chaos, while the rhythmic movement of performance contributed to the maintenance of cosmic order (Graves-Brown, 2010). Robins (1993) interprets these scenes as evidence of women’s ritual participation, while Gillam (1995) argues that such roles remained ancillary to the male-controlled structures of temple authority.</w:t>
      </w:r>
      <w:r>
        <w:rPr>
          <w:rFonts w:ascii="Times New Roman" w:hAnsi="Times New Roman" w:cs="Times New Roman"/>
        </w:rPr>
        <w:t xml:space="preserve"> Both scholars reinforce the view that while women’s ritual experience was significant, it was still structurally limited.</w:t>
      </w:r>
    </w:p>
    <w:p w14:paraId="660AAF3C"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Although there is no direct evidence identifying Merit specifically as a musician, the presence of such objects in burials at Deir </w:t>
      </w:r>
      <w:proofErr w:type="spellStart"/>
      <w:r w:rsidRPr="0004651D">
        <w:rPr>
          <w:rFonts w:ascii="Times New Roman" w:hAnsi="Times New Roman" w:cs="Times New Roman"/>
        </w:rPr>
        <w:t>el</w:t>
      </w:r>
      <w:proofErr w:type="spellEnd"/>
      <w:r w:rsidRPr="0004651D">
        <w:rPr>
          <w:rFonts w:ascii="Times New Roman" w:hAnsi="Times New Roman" w:cs="Times New Roman"/>
        </w:rPr>
        <w:t xml:space="preserve">-Medina suggests that this was a plausible and culturally significant role for </w:t>
      </w:r>
      <w:r>
        <w:rPr>
          <w:rFonts w:ascii="Times New Roman" w:hAnsi="Times New Roman" w:cs="Times New Roman"/>
        </w:rPr>
        <w:t>less</w:t>
      </w:r>
      <w:r w:rsidRPr="0004651D">
        <w:rPr>
          <w:rFonts w:ascii="Times New Roman" w:hAnsi="Times New Roman" w:cs="Times New Roman"/>
        </w:rPr>
        <w:t xml:space="preserve">-elite women (Weiss, 2009). More importantly, this form of participation challenges any simplistic distinction between </w:t>
      </w:r>
      <w:r>
        <w:rPr>
          <w:rFonts w:ascii="Times New Roman" w:hAnsi="Times New Roman" w:cs="Times New Roman"/>
        </w:rPr>
        <w:t>‘</w:t>
      </w:r>
      <w:r w:rsidRPr="0004651D">
        <w:rPr>
          <w:rFonts w:ascii="Times New Roman" w:hAnsi="Times New Roman" w:cs="Times New Roman"/>
        </w:rPr>
        <w:t>active</w:t>
      </w:r>
      <w:r>
        <w:rPr>
          <w:rFonts w:ascii="Times New Roman" w:hAnsi="Times New Roman" w:cs="Times New Roman"/>
        </w:rPr>
        <w:t>’</w:t>
      </w:r>
      <w:r w:rsidRPr="0004651D">
        <w:rPr>
          <w:rFonts w:ascii="Times New Roman" w:hAnsi="Times New Roman" w:cs="Times New Roman"/>
        </w:rPr>
        <w:t xml:space="preserve"> and </w:t>
      </w:r>
      <w:r>
        <w:rPr>
          <w:rFonts w:ascii="Times New Roman" w:hAnsi="Times New Roman" w:cs="Times New Roman"/>
        </w:rPr>
        <w:t>‘</w:t>
      </w:r>
      <w:r w:rsidRPr="0004651D">
        <w:rPr>
          <w:rFonts w:ascii="Times New Roman" w:hAnsi="Times New Roman" w:cs="Times New Roman"/>
        </w:rPr>
        <w:t>passive</w:t>
      </w:r>
      <w:r>
        <w:rPr>
          <w:rFonts w:ascii="Times New Roman" w:hAnsi="Times New Roman" w:cs="Times New Roman"/>
        </w:rPr>
        <w:t>’</w:t>
      </w:r>
      <w:r w:rsidRPr="0004651D">
        <w:rPr>
          <w:rFonts w:ascii="Times New Roman" w:hAnsi="Times New Roman" w:cs="Times New Roman"/>
        </w:rPr>
        <w:t xml:space="preserve"> religious roles. Musical performance was an embodied and sensory practice that required physical engagement and contributed directly to the ritual environment. In festival processions, musicians were not peripheral figures but integral participants, producing sound, rhythm, and atmosphere that shaped the collective experience of the divine (Hornung, 1982).</w:t>
      </w:r>
    </w:p>
    <w:p w14:paraId="42F16D09"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This raises an important point of comparison. While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access was spatially closer to the god, being situated within temple structures, Merit’s participation may in some respects have been more experientially immediate. The act of shaking the sistrum</w:t>
      </w:r>
      <w:r>
        <w:rPr>
          <w:rFonts w:ascii="Times New Roman" w:hAnsi="Times New Roman" w:cs="Times New Roman"/>
        </w:rPr>
        <w:t xml:space="preserve"> c</w:t>
      </w:r>
      <w:r w:rsidRPr="0004651D">
        <w:rPr>
          <w:rFonts w:ascii="Times New Roman" w:hAnsi="Times New Roman" w:cs="Times New Roman"/>
        </w:rPr>
        <w:t xml:space="preserve">reated a </w:t>
      </w:r>
      <w:r>
        <w:rPr>
          <w:rFonts w:ascii="Times New Roman" w:hAnsi="Times New Roman" w:cs="Times New Roman"/>
        </w:rPr>
        <w:t xml:space="preserve">sensory interaction </w:t>
      </w:r>
      <w:r w:rsidRPr="0004651D">
        <w:rPr>
          <w:rFonts w:ascii="Times New Roman" w:hAnsi="Times New Roman" w:cs="Times New Roman"/>
        </w:rPr>
        <w:t>with the divine that differed from the formalised routi</w:t>
      </w:r>
      <w:r>
        <w:rPr>
          <w:rFonts w:ascii="Times New Roman" w:hAnsi="Times New Roman" w:cs="Times New Roman"/>
        </w:rPr>
        <w:t>nes</w:t>
      </w:r>
      <w:r w:rsidRPr="0004651D">
        <w:rPr>
          <w:rFonts w:ascii="Times New Roman" w:hAnsi="Times New Roman" w:cs="Times New Roman"/>
        </w:rPr>
        <w:t xml:space="preserve"> of temple ritual, and Gillam (1995) argues that very few </w:t>
      </w:r>
      <w:r>
        <w:rPr>
          <w:rFonts w:ascii="Times New Roman" w:hAnsi="Times New Roman" w:cs="Times New Roman"/>
        </w:rPr>
        <w:t>p</w:t>
      </w:r>
      <w:r w:rsidRPr="0004651D">
        <w:rPr>
          <w:rFonts w:ascii="Times New Roman" w:hAnsi="Times New Roman" w:cs="Times New Roman"/>
        </w:rPr>
        <w:t xml:space="preserve">riestesses of Hathor would have likely played musical instruments. In this sense, non-elite participation was not necessarily less meaningful but differently configured—rooted in embodied practice rather than institutional authority. </w:t>
      </w:r>
    </w:p>
    <w:p w14:paraId="42F0BCC0"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Nevertheless, these differences ultimately reinforce the hierarchical organisation of religious access. Temple spaces remained restricted, and exclusion from priesthood roles limited women like Merit from engaging with the divine at its most controlled and symbolically potent point.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position, by contrast, granted her repeated, structured, and socially recognised access within these central religious institutions. Her role carried not only religious significance but also institutional authority, embedding her participation within broader systems of power and control.</w:t>
      </w:r>
    </w:p>
    <w:p w14:paraId="2885DA5B" w14:textId="77777777" w:rsidR="00B93FBC" w:rsidRPr="0004651D" w:rsidRDefault="00B93FBC" w:rsidP="00B93FBC">
      <w:pPr>
        <w:rPr>
          <w:rFonts w:ascii="Times New Roman" w:hAnsi="Times New Roman" w:cs="Times New Roman"/>
        </w:rPr>
      </w:pP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religious role appears to have aligned more closely with traditionally male forms of religious authority. She occupied a priestly office that, in later periods, became exclusively associated with men. Furthermore, archaeological and textual evidence suggests that she lived independently, with no indication that she was married or had children (Woods, 2012). In contrast, Merit’s religious participation reflects what may be considered a more conventional female role within ancient Egyptian society, characterised by forms of domestic and supportive religious activity. As Zhou (2024) </w:t>
      </w:r>
      <w:r>
        <w:rPr>
          <w:rFonts w:ascii="Times New Roman" w:hAnsi="Times New Roman" w:cs="Times New Roman"/>
        </w:rPr>
        <w:t>suggests</w:t>
      </w:r>
      <w:r w:rsidRPr="0004651D">
        <w:rPr>
          <w:rFonts w:ascii="Times New Roman" w:hAnsi="Times New Roman" w:cs="Times New Roman"/>
        </w:rPr>
        <w:t xml:space="preserve">, women’s participation in religious </w:t>
      </w:r>
      <w:r w:rsidRPr="0004651D">
        <w:rPr>
          <w:rFonts w:ascii="Times New Roman" w:hAnsi="Times New Roman" w:cs="Times New Roman"/>
        </w:rPr>
        <w:lastRenderedPageBreak/>
        <w:t xml:space="preserve">life was often expressed through ancillary and household-based practices rather than formal institutional authority. </w:t>
      </w:r>
    </w:p>
    <w:p w14:paraId="3216AF46"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It is therefore insufficient to describe elite women’s access as simply greater in degree. Rather, </w:t>
      </w:r>
      <w:r>
        <w:rPr>
          <w:rFonts w:ascii="Times New Roman" w:hAnsi="Times New Roman" w:cs="Times New Roman"/>
        </w:rPr>
        <w:t>the quality differed</w:t>
      </w:r>
      <w:r w:rsidRPr="0004651D">
        <w:rPr>
          <w:rFonts w:ascii="Times New Roman" w:hAnsi="Times New Roman" w:cs="Times New Roman"/>
        </w:rPr>
        <w:t>:</w:t>
      </w:r>
      <w:r>
        <w:rPr>
          <w:rFonts w:ascii="Times New Roman" w:hAnsi="Times New Roman" w:cs="Times New Roman"/>
        </w:rPr>
        <w:t xml:space="preserve"> it was</w:t>
      </w:r>
      <w:r w:rsidRPr="0004651D">
        <w:rPr>
          <w:rFonts w:ascii="Times New Roman" w:hAnsi="Times New Roman" w:cs="Times New Roman"/>
        </w:rPr>
        <w:t xml:space="preserve"> more regular, more authoritative, and more closely aligned with the central </w:t>
      </w:r>
      <w:r>
        <w:rPr>
          <w:rFonts w:ascii="Times New Roman" w:hAnsi="Times New Roman" w:cs="Times New Roman"/>
        </w:rPr>
        <w:t>state systems</w:t>
      </w:r>
      <w:r w:rsidRPr="0004651D">
        <w:rPr>
          <w:rFonts w:ascii="Times New Roman" w:hAnsi="Times New Roman" w:cs="Times New Roman"/>
        </w:rPr>
        <w:t xml:space="preserve"> through which divine presence was regulated and reproduced. Merit’s participation, while active and meaningful, remained </w:t>
      </w:r>
      <w:r>
        <w:rPr>
          <w:rFonts w:ascii="Times New Roman" w:hAnsi="Times New Roman" w:cs="Times New Roman"/>
        </w:rPr>
        <w:t>conditional</w:t>
      </w:r>
      <w:r w:rsidRPr="0004651D">
        <w:rPr>
          <w:rFonts w:ascii="Times New Roman" w:hAnsi="Times New Roman" w:cs="Times New Roman"/>
        </w:rPr>
        <w:t xml:space="preserve"> and indirect, shaped by the boundaries imposed by both gender and status. </w:t>
      </w:r>
    </w:p>
    <w:p w14:paraId="2B4EDE95" w14:textId="77777777" w:rsidR="00B93FBC" w:rsidRPr="0004651D" w:rsidRDefault="00B93FBC" w:rsidP="00B93FBC">
      <w:pPr>
        <w:rPr>
          <w:rFonts w:ascii="Times New Roman" w:hAnsi="Times New Roman" w:cs="Times New Roman"/>
          <w:b/>
          <w:bCs/>
          <w:u w:val="single"/>
        </w:rPr>
      </w:pPr>
      <w:r w:rsidRPr="0004651D">
        <w:rPr>
          <w:rFonts w:ascii="Times New Roman" w:hAnsi="Times New Roman" w:cs="Times New Roman"/>
          <w:b/>
          <w:bCs/>
          <w:u w:val="single"/>
        </w:rPr>
        <w:t xml:space="preserve">Domestic Religion and Expressions of Personal Piety </w:t>
      </w:r>
    </w:p>
    <w:p w14:paraId="0BBDBEEB" w14:textId="77777777" w:rsidR="00B93FBC" w:rsidRDefault="00B93FBC" w:rsidP="00B93FBC">
      <w:pPr>
        <w:rPr>
          <w:rFonts w:ascii="Times New Roman" w:hAnsi="Times New Roman" w:cs="Times New Roman"/>
        </w:rPr>
      </w:pPr>
      <w:r w:rsidRPr="0004651D">
        <w:rPr>
          <w:rFonts w:ascii="Times New Roman" w:hAnsi="Times New Roman" w:cs="Times New Roman"/>
        </w:rPr>
        <w:t xml:space="preserve">While access to formal religious structures in ancient Egypt was shaped by hierarchy and restriction, significant aspects of religious life took place outside the temple within the domestic sphere. At Deir </w:t>
      </w:r>
      <w:proofErr w:type="spellStart"/>
      <w:r w:rsidRPr="0004651D">
        <w:rPr>
          <w:rFonts w:ascii="Times New Roman" w:hAnsi="Times New Roman" w:cs="Times New Roman"/>
        </w:rPr>
        <w:t>el</w:t>
      </w:r>
      <w:proofErr w:type="spellEnd"/>
      <w:r w:rsidRPr="0004651D">
        <w:rPr>
          <w:rFonts w:ascii="Times New Roman" w:hAnsi="Times New Roman" w:cs="Times New Roman"/>
        </w:rPr>
        <w:t xml:space="preserve">-Medina, extensive evidence for domestic worship suggests that the household functioned as a primary site of religious engagement for </w:t>
      </w:r>
      <w:r>
        <w:rPr>
          <w:rFonts w:ascii="Times New Roman" w:hAnsi="Times New Roman" w:cs="Times New Roman"/>
        </w:rPr>
        <w:t>non-priestly</w:t>
      </w:r>
      <w:r w:rsidRPr="0004651D">
        <w:rPr>
          <w:rFonts w:ascii="Times New Roman" w:hAnsi="Times New Roman" w:cs="Times New Roman"/>
        </w:rPr>
        <w:t xml:space="preserve"> individuals such as Merit (Pinch, 1993; Weiss, 2009). Excavations reveal domestic shrines integrated into houses, typically comprising niches, offering tables, and wall decoration depicting deities or protective figures (</w:t>
      </w:r>
      <w:r>
        <w:rPr>
          <w:rFonts w:ascii="Times New Roman" w:hAnsi="Times New Roman" w:cs="Times New Roman"/>
        </w:rPr>
        <w:t>Weiss, 2009</w:t>
      </w:r>
      <w:r w:rsidRPr="0004651D">
        <w:rPr>
          <w:rFonts w:ascii="Times New Roman" w:hAnsi="Times New Roman" w:cs="Times New Roman"/>
        </w:rPr>
        <w:t xml:space="preserve">). </w:t>
      </w:r>
      <w:r>
        <w:rPr>
          <w:rFonts w:ascii="Times New Roman" w:hAnsi="Times New Roman" w:cs="Times New Roman"/>
        </w:rPr>
        <w:t xml:space="preserve">For example, Tawaret, goddess of protection, fertility and childbirth was often worshipped alongside Bes, who had similar associations, to protect the household (Lesko, 1991) and evidence has been found to support this in the form of statuettes and amulets (See Figure 1). </w:t>
      </w:r>
      <w:r w:rsidRPr="0004651D">
        <w:rPr>
          <w:rFonts w:ascii="Times New Roman" w:hAnsi="Times New Roman" w:cs="Times New Roman"/>
        </w:rPr>
        <w:t>However, this material must be interpreted carefully, as many objects were displaced when the village was abandoned and may not reflect their original ritual contexts.</w:t>
      </w:r>
    </w:p>
    <w:p w14:paraId="0951E71C" w14:textId="77777777" w:rsidR="00B93FBC" w:rsidRDefault="00B93FBC" w:rsidP="00B93FBC">
      <w:pPr>
        <w:rPr>
          <w:rFonts w:ascii="Times New Roman" w:hAnsi="Times New Roman" w:cs="Times New Roman"/>
        </w:rPr>
      </w:pPr>
    </w:p>
    <w:p w14:paraId="261BD751" w14:textId="77777777" w:rsidR="00B93FBC" w:rsidRDefault="00B93FBC" w:rsidP="00B93FBC">
      <w:pPr>
        <w:rPr>
          <w:rFonts w:ascii="Times New Roman" w:hAnsi="Times New Roman" w:cs="Times New Roman"/>
        </w:rPr>
      </w:pPr>
      <w:r w:rsidRPr="00BB7A0F">
        <w:rPr>
          <w:rFonts w:ascii="Times New Roman" w:hAnsi="Times New Roman" w:cs="Times New Roman"/>
        </w:rPr>
        <w:drawing>
          <wp:inline distT="0" distB="0" distL="0" distR="0" wp14:anchorId="69D03663" wp14:editId="73C37404">
            <wp:extent cx="4892634" cy="3237182"/>
            <wp:effectExtent l="0" t="0" r="3810" b="1905"/>
            <wp:docPr id="1407707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07902" name=""/>
                    <pic:cNvPicPr/>
                  </pic:nvPicPr>
                  <pic:blipFill>
                    <a:blip r:embed="rId4"/>
                    <a:stretch>
                      <a:fillRect/>
                    </a:stretch>
                  </pic:blipFill>
                  <pic:spPr>
                    <a:xfrm>
                      <a:off x="0" y="0"/>
                      <a:ext cx="4898321" cy="3240945"/>
                    </a:xfrm>
                    <a:prstGeom prst="rect">
                      <a:avLst/>
                    </a:prstGeom>
                  </pic:spPr>
                </pic:pic>
              </a:graphicData>
            </a:graphic>
          </wp:inline>
        </w:drawing>
      </w:r>
    </w:p>
    <w:p w14:paraId="15201678" w14:textId="77777777" w:rsidR="00B93FBC" w:rsidRPr="00187D75" w:rsidRDefault="00B93FBC" w:rsidP="00B93FBC">
      <w:pPr>
        <w:rPr>
          <w:rFonts w:ascii="Times New Roman" w:hAnsi="Times New Roman" w:cs="Times New Roman"/>
          <w:sz w:val="22"/>
          <w:szCs w:val="22"/>
        </w:rPr>
      </w:pPr>
      <w:r w:rsidRPr="00187D75">
        <w:rPr>
          <w:rFonts w:ascii="Times New Roman" w:hAnsi="Times New Roman" w:cs="Times New Roman"/>
          <w:b/>
          <w:bCs/>
          <w:sz w:val="22"/>
          <w:szCs w:val="22"/>
        </w:rPr>
        <w:t>Figure 1.</w:t>
      </w:r>
      <w:r w:rsidRPr="00187D75">
        <w:rPr>
          <w:rFonts w:ascii="Times New Roman" w:hAnsi="Times New Roman" w:cs="Times New Roman"/>
          <w:sz w:val="22"/>
          <w:szCs w:val="22"/>
        </w:rPr>
        <w:t xml:space="preserve"> </w:t>
      </w:r>
      <w:r w:rsidRPr="00187D75">
        <w:rPr>
          <w:rFonts w:ascii="Times New Roman" w:hAnsi="Times New Roman" w:cs="Times New Roman"/>
          <w:i/>
          <w:iCs/>
          <w:sz w:val="22"/>
          <w:szCs w:val="22"/>
        </w:rPr>
        <w:t xml:space="preserve">Faience statuette of Taweret and faience amulets from the Glencairn Museum Egyptian collection. </w:t>
      </w:r>
      <w:r w:rsidRPr="00187D75">
        <w:rPr>
          <w:rFonts w:ascii="Times New Roman" w:hAnsi="Times New Roman" w:cs="Times New Roman"/>
          <w:sz w:val="22"/>
          <w:szCs w:val="22"/>
        </w:rPr>
        <w:t xml:space="preserve">Note. Faience statuette of Taweret and faience amulets depicting Taweret. Reproduced from “The Goddess Taweret: Protector of Mothers and Children,” by Glencairn Museum, 2014. </w:t>
      </w:r>
    </w:p>
    <w:p w14:paraId="0B0ABD7B"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lastRenderedPageBreak/>
        <w:t>Despite these limitations, the evidence indicates that domestic space facilitated sustained interaction with the divine. In addition to the worship of deities, ancestors were also venerated within household shrines (Meskell, 2002). In contrast to temples, which were spatially and socially restricted, domestic shrines were accessible and personalised, embedding religious practice within everyday life rather than formal ritual settings (Stevens, 2003).</w:t>
      </w:r>
    </w:p>
    <w:p w14:paraId="3613E0E4"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This pattern can be contextualised through the differing social positions of Merit and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Merit, as a mother of three children, is likely to have experienced religion primarily through the household, whereas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who appears not to have married or had children, held a formal role as a priestess of Hathor. </w:t>
      </w:r>
      <w:r>
        <w:rPr>
          <w:rFonts w:ascii="Times New Roman" w:hAnsi="Times New Roman" w:cs="Times New Roman"/>
        </w:rPr>
        <w:t xml:space="preserve">The goddess Hathor was one of ancient Egypt’s most important deities, associated with love, music, fertility and joy, while also serving as a powerful protective goddess linked to kingship and the afterlife.  </w:t>
      </w:r>
    </w:p>
    <w:p w14:paraId="33A75010"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Both </w:t>
      </w:r>
      <w:r>
        <w:rPr>
          <w:rFonts w:ascii="Times New Roman" w:hAnsi="Times New Roman" w:cs="Times New Roman"/>
        </w:rPr>
        <w:t xml:space="preserve">women </w:t>
      </w:r>
      <w:r w:rsidRPr="0004651D">
        <w:rPr>
          <w:rFonts w:ascii="Times New Roman" w:hAnsi="Times New Roman" w:cs="Times New Roman"/>
        </w:rPr>
        <w:t xml:space="preserve">are associated with Hathor, though in distinct ways.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role placed her within formal cult practice, while Hathor’s prominence in domestic religion at Deir </w:t>
      </w:r>
      <w:proofErr w:type="spellStart"/>
      <w:r w:rsidRPr="0004651D">
        <w:rPr>
          <w:rFonts w:ascii="Times New Roman" w:hAnsi="Times New Roman" w:cs="Times New Roman"/>
        </w:rPr>
        <w:t>el</w:t>
      </w:r>
      <w:proofErr w:type="spellEnd"/>
      <w:r w:rsidRPr="0004651D">
        <w:rPr>
          <w:rFonts w:ascii="Times New Roman" w:hAnsi="Times New Roman" w:cs="Times New Roman"/>
        </w:rPr>
        <w:t xml:space="preserve">-Medina suggests that Merit would also have engaged with the goddess in a household context. </w:t>
      </w:r>
      <w:r>
        <w:rPr>
          <w:rFonts w:ascii="Times New Roman" w:hAnsi="Times New Roman" w:cs="Times New Roman"/>
        </w:rPr>
        <w:t>Hathor’s multiple functions reflect this accessibility; her</w:t>
      </w:r>
      <w:r w:rsidRPr="0004651D">
        <w:rPr>
          <w:rFonts w:ascii="Times New Roman" w:hAnsi="Times New Roman" w:cs="Times New Roman"/>
        </w:rPr>
        <w:t xml:space="preserve"> royal and cosmic associations, reflected in the title </w:t>
      </w:r>
      <w:r>
        <w:rPr>
          <w:rFonts w:ascii="Times New Roman" w:hAnsi="Times New Roman" w:cs="Times New Roman"/>
        </w:rPr>
        <w:t>‘</w:t>
      </w:r>
      <w:r w:rsidRPr="0004651D">
        <w:rPr>
          <w:rFonts w:ascii="Times New Roman" w:hAnsi="Times New Roman" w:cs="Times New Roman"/>
        </w:rPr>
        <w:t>House of Horus,</w:t>
      </w:r>
      <w:r>
        <w:rPr>
          <w:rFonts w:ascii="Times New Roman" w:hAnsi="Times New Roman" w:cs="Times New Roman"/>
        </w:rPr>
        <w:t>’</w:t>
      </w:r>
      <w:r w:rsidRPr="0004651D">
        <w:rPr>
          <w:rFonts w:ascii="Times New Roman" w:hAnsi="Times New Roman" w:cs="Times New Roman"/>
        </w:rPr>
        <w:t xml:space="preserve"> linked her to kingship and sacred authority, while her assimilation of fertility and childbirth deities made her accessible in domestic settings (</w:t>
      </w:r>
      <w:r>
        <w:rPr>
          <w:rFonts w:ascii="Times New Roman" w:hAnsi="Times New Roman" w:cs="Times New Roman"/>
        </w:rPr>
        <w:t xml:space="preserve">Gillam 1995; </w:t>
      </w:r>
      <w:r w:rsidRPr="0004651D">
        <w:rPr>
          <w:rFonts w:ascii="Times New Roman" w:hAnsi="Times New Roman" w:cs="Times New Roman"/>
        </w:rPr>
        <w:t>Wilkinson, 2003).</w:t>
      </w:r>
    </w:p>
    <w:p w14:paraId="34B7495C"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This domestic dimension is particularly evident </w:t>
      </w:r>
      <w:r>
        <w:rPr>
          <w:rFonts w:ascii="Times New Roman" w:hAnsi="Times New Roman" w:cs="Times New Roman"/>
        </w:rPr>
        <w:t>in the workmen’s villages of</w:t>
      </w:r>
      <w:r w:rsidRPr="0004651D">
        <w:rPr>
          <w:rFonts w:ascii="Times New Roman" w:hAnsi="Times New Roman" w:cs="Times New Roman"/>
        </w:rPr>
        <w:t xml:space="preserve"> Deir </w:t>
      </w:r>
      <w:proofErr w:type="spellStart"/>
      <w:r w:rsidRPr="0004651D">
        <w:rPr>
          <w:rFonts w:ascii="Times New Roman" w:hAnsi="Times New Roman" w:cs="Times New Roman"/>
        </w:rPr>
        <w:t>el</w:t>
      </w:r>
      <w:proofErr w:type="spellEnd"/>
      <w:r w:rsidRPr="0004651D">
        <w:rPr>
          <w:rFonts w:ascii="Times New Roman" w:hAnsi="Times New Roman" w:cs="Times New Roman"/>
        </w:rPr>
        <w:t>-Medina</w:t>
      </w:r>
      <w:r>
        <w:rPr>
          <w:rFonts w:ascii="Times New Roman" w:hAnsi="Times New Roman" w:cs="Times New Roman"/>
        </w:rPr>
        <w:t xml:space="preserve"> and Amarna</w:t>
      </w:r>
      <w:r w:rsidRPr="0004651D">
        <w:rPr>
          <w:rFonts w:ascii="Times New Roman" w:hAnsi="Times New Roman" w:cs="Times New Roman"/>
        </w:rPr>
        <w:t>, where childbirth-related imagery and votive material are well attested (Friedman, 1994). Kemp (2006) identifies</w:t>
      </w:r>
      <w:r>
        <w:rPr>
          <w:rFonts w:ascii="Times New Roman" w:hAnsi="Times New Roman" w:cs="Times New Roman"/>
        </w:rPr>
        <w:t xml:space="preserve"> at Amarna,</w:t>
      </w:r>
      <w:r w:rsidRPr="0004651D">
        <w:rPr>
          <w:rFonts w:ascii="Times New Roman" w:hAnsi="Times New Roman" w:cs="Times New Roman"/>
        </w:rPr>
        <w:t xml:space="preserve"> scenes of women dancing and performing music in celebration of childbirth, practices associated with Hathor’s protective role in fertility and family life. As a mother, Merit is therefore more likely to have engaged with these aspects of Hathor’s cult than </w:t>
      </w:r>
      <w:proofErr w:type="spellStart"/>
      <w:r w:rsidRPr="0004651D">
        <w:rPr>
          <w:rFonts w:ascii="Times New Roman" w:hAnsi="Times New Roman" w:cs="Times New Roman"/>
        </w:rPr>
        <w:t>Hetepet</w:t>
      </w:r>
      <w:proofErr w:type="spellEnd"/>
      <w:r w:rsidRPr="0004651D">
        <w:rPr>
          <w:rFonts w:ascii="Times New Roman" w:hAnsi="Times New Roman" w:cs="Times New Roman"/>
        </w:rPr>
        <w:t>, whose religious role was primarily institutional.</w:t>
      </w:r>
    </w:p>
    <w:p w14:paraId="76861633"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Material culture further demonstrates the embedded nature of domestic religion. Amulets, votive offerings, and protective figurines were widely used in household contexts, serving both devotional and apotropaic functions (Pinch, 1993). Their significance lay in their continual presence within daily life, mediating relationships between individuals and the divine. Archaeological evidence from Deir </w:t>
      </w:r>
      <w:proofErr w:type="spellStart"/>
      <w:r w:rsidRPr="0004651D">
        <w:rPr>
          <w:rFonts w:ascii="Times New Roman" w:hAnsi="Times New Roman" w:cs="Times New Roman"/>
        </w:rPr>
        <w:t>el</w:t>
      </w:r>
      <w:proofErr w:type="spellEnd"/>
      <w:r w:rsidRPr="0004651D">
        <w:rPr>
          <w:rFonts w:ascii="Times New Roman" w:hAnsi="Times New Roman" w:cs="Times New Roman"/>
        </w:rPr>
        <w:t>-Medina</w:t>
      </w:r>
      <w:r>
        <w:rPr>
          <w:rFonts w:ascii="Times New Roman" w:hAnsi="Times New Roman" w:cs="Times New Roman"/>
        </w:rPr>
        <w:t xml:space="preserve"> and Amarna</w:t>
      </w:r>
      <w:r w:rsidRPr="0004651D">
        <w:rPr>
          <w:rFonts w:ascii="Times New Roman" w:hAnsi="Times New Roman" w:cs="Times New Roman"/>
        </w:rPr>
        <w:t>, including traces of incense, plants, and ritual deposits, further supports the integration of ritual activity into domestic space (Stevens, 2003). Such practices suggest a form of religiosity grounded in personal need rather than institutional obligation, although they are less visible in formal sources. Household religion also appears to have been more directly tied to immediate concerns such as health, fertility, protection, and family wellbeing.</w:t>
      </w:r>
    </w:p>
    <w:p w14:paraId="110EA32F"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By contrast,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priestly role would have involved formal temple rituals such as purification, offerings, hymn recitation, and the use of ritual instruments including the sistrum. Evidence for domestic religious practice among elite women such as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is limited. This reflects both preservation bias and the representational priorities of elite culture, which emphasised formal identity and institutional roles over private devotional practice. As </w:t>
      </w:r>
      <w:r w:rsidRPr="0004651D">
        <w:rPr>
          <w:rFonts w:ascii="Times New Roman" w:hAnsi="Times New Roman" w:cs="Times New Roman"/>
        </w:rPr>
        <w:lastRenderedPageBreak/>
        <w:t>Robins (1993) argues, elite self-representation in ancient Egypt was shaped by idealised status rather than lived experience, meaning that domestic religious activity was rarely recorded or monumentalised.</w:t>
      </w:r>
    </w:p>
    <w:p w14:paraId="7996F0E7"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This absence does not indicate that elite women were excluded from domestic religion, but rather that such practices are underrepresented in the archaeological record. Consequently, visibility in surviving evidence does not equate to importance in lived experience.</w:t>
      </w:r>
    </w:p>
    <w:p w14:paraId="2EA4BBEA"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The contrast between Merit and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therefore reveals not a divide between religious and non-religious lives, but different modes of engagement within the same religious system.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religious identity is institutionally visible, structured through formal roles and public ritual. Merit’s religious experience, by contrast, is less formally documented but likely more continuous and embedded in daily life, shaped by household practice, material culture, and personal devotion.</w:t>
      </w:r>
    </w:p>
    <w:p w14:paraId="00C9CC5D"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This comparison supports a broader argument that ancient Egyptian religion cannot be understood solely through temple institutions or elite representation. While formal structures articulated theological and political order, they coexisted with domestic and personal forms of practice that were equally significant in shaping lived religious experience. </w:t>
      </w:r>
      <w:r>
        <w:rPr>
          <w:rFonts w:ascii="Times New Roman" w:hAnsi="Times New Roman" w:cs="Times New Roman"/>
        </w:rPr>
        <w:t>Household</w:t>
      </w:r>
      <w:r w:rsidRPr="0004651D">
        <w:rPr>
          <w:rFonts w:ascii="Times New Roman" w:hAnsi="Times New Roman" w:cs="Times New Roman"/>
        </w:rPr>
        <w:t xml:space="preserve"> religion, though less visible, may therefore have been more immediate and pervasive.</w:t>
      </w:r>
    </w:p>
    <w:p w14:paraId="58B1C2C8"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Ultimately, the study of domestic religion complicates hierarchical models of access by showing that exclusion from formal structures did not equate to exclusion from religious life. Instead, religious experience operated across multiple levels, producing different but overlapping forms of engagement. </w:t>
      </w:r>
      <w:r>
        <w:rPr>
          <w:rFonts w:ascii="Times New Roman" w:hAnsi="Times New Roman" w:cs="Times New Roman"/>
        </w:rPr>
        <w:t>Therefore</w:t>
      </w:r>
      <w:r w:rsidRPr="0004651D">
        <w:rPr>
          <w:rFonts w:ascii="Times New Roman" w:hAnsi="Times New Roman" w:cs="Times New Roman"/>
        </w:rPr>
        <w:t>, Merit’s religious world, though less monumentalised, may have been more continuous and embedded in everyday life.</w:t>
      </w:r>
    </w:p>
    <w:p w14:paraId="368A58EF" w14:textId="77777777" w:rsidR="00B93FBC" w:rsidRPr="0004651D" w:rsidRDefault="00B93FBC" w:rsidP="00B93FBC">
      <w:pPr>
        <w:rPr>
          <w:rFonts w:ascii="Times New Roman" w:hAnsi="Times New Roman" w:cs="Times New Roman"/>
          <w:b/>
          <w:bCs/>
          <w:u w:val="single"/>
        </w:rPr>
      </w:pPr>
      <w:r w:rsidRPr="0004651D">
        <w:rPr>
          <w:rFonts w:ascii="Times New Roman" w:hAnsi="Times New Roman" w:cs="Times New Roman"/>
          <w:b/>
          <w:bCs/>
          <w:u w:val="single"/>
        </w:rPr>
        <w:t>Funerary Ritual and Female Religious Identity</w:t>
      </w:r>
    </w:p>
    <w:p w14:paraId="7482ABCD" w14:textId="77777777" w:rsidR="00B93FBC" w:rsidRPr="001A3452" w:rsidRDefault="00B93FBC" w:rsidP="00B93FBC">
      <w:pPr>
        <w:rPr>
          <w:rFonts w:ascii="Times New Roman" w:hAnsi="Times New Roman" w:cs="Times New Roman"/>
        </w:rPr>
      </w:pPr>
      <w:r w:rsidRPr="001A3452">
        <w:rPr>
          <w:rFonts w:ascii="Times New Roman" w:hAnsi="Times New Roman" w:cs="Times New Roman"/>
        </w:rPr>
        <w:t xml:space="preserve">Funerary practice reveals notable differences in how </w:t>
      </w:r>
      <w:proofErr w:type="spellStart"/>
      <w:r w:rsidRPr="001A3452">
        <w:rPr>
          <w:rFonts w:ascii="Times New Roman" w:hAnsi="Times New Roman" w:cs="Times New Roman"/>
        </w:rPr>
        <w:t>Hetepet</w:t>
      </w:r>
      <w:proofErr w:type="spellEnd"/>
      <w:r w:rsidRPr="001A3452">
        <w:rPr>
          <w:rFonts w:ascii="Times New Roman" w:hAnsi="Times New Roman" w:cs="Times New Roman"/>
        </w:rPr>
        <w:t xml:space="preserve"> and Merit’s religious beliefs were expressed in their burials, as well as the degree of control they may have had over their planning. While there was broad consistency in underlying religious aims – particularly protection, continuity, and a successful transition to the afterlife – the ways in which these were pursued differed in material form and scale. </w:t>
      </w:r>
    </w:p>
    <w:p w14:paraId="5405D5A7" w14:textId="77777777" w:rsidR="00B93FBC" w:rsidRPr="0004651D" w:rsidRDefault="00B93FBC" w:rsidP="00B93FBC">
      <w:pPr>
        <w:pStyle w:val="NormalWeb"/>
        <w:rPr>
          <w:rFonts w:eastAsiaTheme="minorHAnsi"/>
          <w:kern w:val="2"/>
          <w:lang w:eastAsia="en-US"/>
          <w14:ligatures w14:val="standardContextual"/>
        </w:rPr>
      </w:pPr>
      <w:r w:rsidRPr="0004651D">
        <w:rPr>
          <w:noProof/>
        </w:rPr>
        <w:lastRenderedPageBreak/>
        <w:drawing>
          <wp:inline distT="0" distB="0" distL="0" distR="0" wp14:anchorId="2C46A78E" wp14:editId="2D96ADDB">
            <wp:extent cx="4483330" cy="2400423"/>
            <wp:effectExtent l="0" t="0" r="0" b="0"/>
            <wp:docPr id="531584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84723" name=""/>
                    <pic:cNvPicPr/>
                  </pic:nvPicPr>
                  <pic:blipFill>
                    <a:blip r:embed="rId5"/>
                    <a:stretch>
                      <a:fillRect/>
                    </a:stretch>
                  </pic:blipFill>
                  <pic:spPr>
                    <a:xfrm>
                      <a:off x="0" y="0"/>
                      <a:ext cx="4483330" cy="2400423"/>
                    </a:xfrm>
                    <a:prstGeom prst="rect">
                      <a:avLst/>
                    </a:prstGeom>
                  </pic:spPr>
                </pic:pic>
              </a:graphicData>
            </a:graphic>
          </wp:inline>
        </w:drawing>
      </w:r>
    </w:p>
    <w:p w14:paraId="7EE23D02" w14:textId="77777777" w:rsidR="00B93FBC" w:rsidRPr="00187D75" w:rsidRDefault="00B93FBC" w:rsidP="00B93FBC">
      <w:pPr>
        <w:rPr>
          <w:rFonts w:ascii="Times New Roman" w:hAnsi="Times New Roman" w:cs="Times New Roman"/>
          <w:b/>
          <w:bCs/>
          <w:sz w:val="22"/>
          <w:szCs w:val="22"/>
        </w:rPr>
      </w:pPr>
      <w:r w:rsidRPr="00187D75">
        <w:rPr>
          <w:rFonts w:ascii="Times New Roman" w:hAnsi="Times New Roman" w:cs="Times New Roman"/>
          <w:b/>
          <w:bCs/>
          <w:sz w:val="22"/>
          <w:szCs w:val="22"/>
        </w:rPr>
        <w:t>Figure 2</w:t>
      </w:r>
      <w:r>
        <w:rPr>
          <w:rFonts w:ascii="Times New Roman" w:hAnsi="Times New Roman" w:cs="Times New Roman"/>
          <w:b/>
          <w:bCs/>
          <w:sz w:val="22"/>
          <w:szCs w:val="22"/>
        </w:rPr>
        <w:t xml:space="preserve">. </w:t>
      </w:r>
      <w:r w:rsidRPr="00187D75">
        <w:rPr>
          <w:rFonts w:ascii="Times New Roman" w:hAnsi="Times New Roman" w:cs="Times New Roman"/>
          <w:i/>
          <w:iCs/>
          <w:sz w:val="22"/>
          <w:szCs w:val="22"/>
        </w:rPr>
        <w:t xml:space="preserve">Relief from the tomb of </w:t>
      </w:r>
      <w:proofErr w:type="spellStart"/>
      <w:r w:rsidRPr="00187D75">
        <w:rPr>
          <w:rFonts w:ascii="Times New Roman" w:hAnsi="Times New Roman" w:cs="Times New Roman"/>
          <w:i/>
          <w:iCs/>
          <w:sz w:val="22"/>
          <w:szCs w:val="22"/>
        </w:rPr>
        <w:t>Hetepet</w:t>
      </w:r>
      <w:proofErr w:type="spellEnd"/>
      <w:r w:rsidRPr="00187D75">
        <w:rPr>
          <w:rFonts w:ascii="Times New Roman" w:hAnsi="Times New Roman" w:cs="Times New Roman"/>
          <w:i/>
          <w:iCs/>
          <w:sz w:val="22"/>
          <w:szCs w:val="22"/>
        </w:rPr>
        <w:t>: Boat ride on the lotus pond.</w:t>
      </w:r>
      <w:r w:rsidRPr="00187D75">
        <w:rPr>
          <w:rFonts w:ascii="Times New Roman" w:hAnsi="Times New Roman" w:cs="Times New Roman"/>
          <w:sz w:val="22"/>
          <w:szCs w:val="22"/>
        </w:rPr>
        <w:br/>
        <w:t>Note. Limestone relief, c. 2300 BCE, from the collection of the Egyptian Museum and Papyrus Collection, National Museum in Berlin.</w:t>
      </w:r>
      <w:r w:rsidRPr="00187D75">
        <w:rPr>
          <w:rFonts w:ascii="Times New Roman" w:hAnsi="Times New Roman" w:cs="Times New Roman"/>
          <w:b/>
          <w:bCs/>
          <w:sz w:val="22"/>
          <w:szCs w:val="22"/>
        </w:rPr>
        <w:t xml:space="preserve"> </w:t>
      </w:r>
    </w:p>
    <w:p w14:paraId="484B71A8" w14:textId="77777777" w:rsidR="00B93FBC" w:rsidRPr="0004651D" w:rsidRDefault="00B93FBC" w:rsidP="00B93FBC">
      <w:pPr>
        <w:rPr>
          <w:rFonts w:ascii="Times New Roman" w:hAnsi="Times New Roman" w:cs="Times New Roman"/>
        </w:rPr>
      </w:pP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tomb</w:t>
      </w:r>
      <w:r>
        <w:rPr>
          <w:rFonts w:ascii="Times New Roman" w:hAnsi="Times New Roman" w:cs="Times New Roman"/>
        </w:rPr>
        <w:t xml:space="preserve">, whilst containing well-preserved artwork, did not include any funerary items. However, the images </w:t>
      </w:r>
      <w:r w:rsidRPr="0004651D">
        <w:rPr>
          <w:rFonts w:ascii="Times New Roman" w:hAnsi="Times New Roman" w:cs="Times New Roman"/>
        </w:rPr>
        <w:t xml:space="preserve">demonstrate how elite status shaped women’s access to religious expression and preparation for the afterlife. </w:t>
      </w:r>
      <w:r>
        <w:rPr>
          <w:rFonts w:ascii="Times New Roman" w:hAnsi="Times New Roman" w:cs="Times New Roman"/>
        </w:rPr>
        <w:t>The tomb’s</w:t>
      </w:r>
      <w:r w:rsidRPr="0004651D">
        <w:rPr>
          <w:rFonts w:ascii="Times New Roman" w:hAnsi="Times New Roman" w:cs="Times New Roman"/>
        </w:rPr>
        <w:t xml:space="preserve"> extensive decoration and ritual imagery suggest that elite women could materially construct their eternal identity in ways unavailable to most Egyptians. The repeated depictions of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alone, further emphasise her religious importance and individual status</w:t>
      </w:r>
      <w:r>
        <w:rPr>
          <w:rFonts w:ascii="Times New Roman" w:hAnsi="Times New Roman" w:cs="Times New Roman"/>
        </w:rPr>
        <w:t xml:space="preserve"> (</w:t>
      </w:r>
      <w:r w:rsidRPr="0004651D">
        <w:rPr>
          <w:rFonts w:ascii="Times New Roman" w:hAnsi="Times New Roman" w:cs="Times New Roman"/>
        </w:rPr>
        <w:t>Woods, 201</w:t>
      </w:r>
      <w:r>
        <w:rPr>
          <w:rFonts w:ascii="Times New Roman" w:hAnsi="Times New Roman" w:cs="Times New Roman"/>
        </w:rPr>
        <w:t>2)</w:t>
      </w:r>
      <w:r w:rsidRPr="0004651D">
        <w:rPr>
          <w:rFonts w:ascii="Times New Roman" w:hAnsi="Times New Roman" w:cs="Times New Roman"/>
        </w:rPr>
        <w:t xml:space="preserve">. </w:t>
      </w:r>
      <w:r>
        <w:rPr>
          <w:rFonts w:ascii="Times New Roman" w:hAnsi="Times New Roman" w:cs="Times New Roman"/>
        </w:rPr>
        <w:t>Images</w:t>
      </w:r>
      <w:r w:rsidRPr="0004651D">
        <w:rPr>
          <w:rFonts w:ascii="Times New Roman" w:hAnsi="Times New Roman" w:cs="Times New Roman"/>
        </w:rPr>
        <w:t xml:space="preserve"> such as the lotus flower</w:t>
      </w:r>
      <w:r>
        <w:rPr>
          <w:rFonts w:ascii="Times New Roman" w:hAnsi="Times New Roman" w:cs="Times New Roman"/>
        </w:rPr>
        <w:t xml:space="preserve"> (see Figure 2)</w:t>
      </w:r>
      <w:r w:rsidRPr="0004651D">
        <w:rPr>
          <w:rFonts w:ascii="Times New Roman" w:hAnsi="Times New Roman" w:cs="Times New Roman"/>
        </w:rPr>
        <w:t>, symbolising rebirth, reinforced ideas of regeneration and divine favour. Rather than serving a purely decorative purpose, these scenes functioned as a means of securing continuity, status, and spiritual protection in the afterlife (Assmann, 2001; Taylor, 2001).</w:t>
      </w:r>
    </w:p>
    <w:p w14:paraId="115424A8" w14:textId="77777777" w:rsidR="00B93FBC" w:rsidRPr="0004651D" w:rsidRDefault="00B93FBC" w:rsidP="00B93FBC">
      <w:pPr>
        <w:pStyle w:val="NormalWeb"/>
        <w:rPr>
          <w:rFonts w:eastAsiaTheme="minorHAnsi"/>
          <w:kern w:val="2"/>
          <w:lang w:eastAsia="en-US"/>
          <w14:ligatures w14:val="standardContextual"/>
        </w:rPr>
      </w:pPr>
      <w:r w:rsidRPr="0004651D">
        <w:rPr>
          <w:rFonts w:eastAsiaTheme="minorHAnsi"/>
          <w:noProof/>
          <w:kern w:val="2"/>
          <w:lang w:eastAsia="en-US"/>
          <w14:ligatures w14:val="standardContextual"/>
        </w:rPr>
        <w:drawing>
          <wp:inline distT="0" distB="0" distL="0" distR="0" wp14:anchorId="0898780A" wp14:editId="5C41C410">
            <wp:extent cx="2604977" cy="3538426"/>
            <wp:effectExtent l="0" t="0" r="5080" b="5080"/>
            <wp:docPr id="165105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54497" name=""/>
                    <pic:cNvPicPr/>
                  </pic:nvPicPr>
                  <pic:blipFill>
                    <a:blip r:embed="rId6"/>
                    <a:stretch>
                      <a:fillRect/>
                    </a:stretch>
                  </pic:blipFill>
                  <pic:spPr>
                    <a:xfrm>
                      <a:off x="0" y="0"/>
                      <a:ext cx="2608277" cy="3542909"/>
                    </a:xfrm>
                    <a:prstGeom prst="rect">
                      <a:avLst/>
                    </a:prstGeom>
                  </pic:spPr>
                </pic:pic>
              </a:graphicData>
            </a:graphic>
          </wp:inline>
        </w:drawing>
      </w:r>
    </w:p>
    <w:p w14:paraId="640F06B6" w14:textId="77777777" w:rsidR="00B93FBC" w:rsidRPr="00187D75" w:rsidRDefault="00B93FBC" w:rsidP="00B93FBC">
      <w:pPr>
        <w:pStyle w:val="NormalWeb"/>
        <w:rPr>
          <w:sz w:val="22"/>
          <w:szCs w:val="22"/>
        </w:rPr>
      </w:pPr>
      <w:r w:rsidRPr="00187D75">
        <w:rPr>
          <w:rFonts w:eastAsiaTheme="minorHAnsi"/>
          <w:b/>
          <w:bCs/>
          <w:kern w:val="2"/>
          <w:sz w:val="22"/>
          <w:szCs w:val="22"/>
          <w:lang w:eastAsia="en-US"/>
          <w14:ligatures w14:val="standardContextual"/>
        </w:rPr>
        <w:lastRenderedPageBreak/>
        <w:t>Figure 3</w:t>
      </w:r>
      <w:r w:rsidRPr="00187D75">
        <w:rPr>
          <w:rFonts w:eastAsiaTheme="minorHAnsi"/>
          <w:kern w:val="2"/>
          <w:sz w:val="22"/>
          <w:szCs w:val="22"/>
          <w:lang w:eastAsia="en-US"/>
          <w14:ligatures w14:val="standardContextual"/>
        </w:rPr>
        <w:t xml:space="preserve">. </w:t>
      </w:r>
      <w:r w:rsidRPr="00187D75">
        <w:rPr>
          <w:rFonts w:eastAsiaTheme="minorHAnsi"/>
          <w:i/>
          <w:iCs/>
          <w:kern w:val="2"/>
          <w:sz w:val="22"/>
          <w:szCs w:val="22"/>
          <w:lang w:eastAsia="en-US"/>
          <w14:ligatures w14:val="standardContextual"/>
        </w:rPr>
        <w:t xml:space="preserve">Funerary mask of Merit (S.8473). </w:t>
      </w:r>
      <w:r w:rsidRPr="00187D75">
        <w:rPr>
          <w:rFonts w:eastAsiaTheme="minorHAnsi"/>
          <w:kern w:val="2"/>
          <w:sz w:val="22"/>
          <w:szCs w:val="22"/>
          <w:lang w:eastAsia="en-US"/>
          <w14:ligatures w14:val="standardContextual"/>
        </w:rPr>
        <w:t xml:space="preserve">Note. From </w:t>
      </w:r>
      <w:r w:rsidRPr="00187D75">
        <w:rPr>
          <w:i/>
          <w:iCs/>
          <w:sz w:val="22"/>
          <w:szCs w:val="22"/>
        </w:rPr>
        <w:t xml:space="preserve">Gilded Flesh: Coffins and Afterlife in Ancient Egypt. </w:t>
      </w:r>
      <w:r w:rsidRPr="00187D75">
        <w:rPr>
          <w:sz w:val="22"/>
          <w:szCs w:val="22"/>
        </w:rPr>
        <w:t>(p.82</w:t>
      </w:r>
      <w:r w:rsidRPr="00187D75">
        <w:rPr>
          <w:i/>
          <w:iCs/>
          <w:sz w:val="22"/>
          <w:szCs w:val="22"/>
        </w:rPr>
        <w:t xml:space="preserve">), </w:t>
      </w:r>
      <w:r w:rsidRPr="00187D75">
        <w:rPr>
          <w:sz w:val="22"/>
          <w:szCs w:val="22"/>
        </w:rPr>
        <w:t>by R. Sousa, 2019,</w:t>
      </w:r>
      <w:r w:rsidRPr="00187D75">
        <w:rPr>
          <w:i/>
          <w:iCs/>
          <w:sz w:val="22"/>
          <w:szCs w:val="22"/>
        </w:rPr>
        <w:t xml:space="preserve"> </w:t>
      </w:r>
      <w:r w:rsidRPr="00187D75">
        <w:rPr>
          <w:sz w:val="22"/>
          <w:szCs w:val="22"/>
        </w:rPr>
        <w:t>Oxford: Oxbow Books</w:t>
      </w:r>
    </w:p>
    <w:p w14:paraId="2F817179"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In contrast, </w:t>
      </w:r>
      <w:r>
        <w:rPr>
          <w:rFonts w:ascii="Times New Roman" w:hAnsi="Times New Roman" w:cs="Times New Roman"/>
        </w:rPr>
        <w:t xml:space="preserve">although Merit and Kha’s burial reflected their wealthy status, </w:t>
      </w:r>
      <w:r w:rsidRPr="0004651D">
        <w:rPr>
          <w:rFonts w:ascii="Times New Roman" w:hAnsi="Times New Roman" w:cs="Times New Roman"/>
        </w:rPr>
        <w:t xml:space="preserve">Merit’s funerary practices were more modest and reflect the limitations placed on non-priestly women’s religious expression. Unlike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tomb, which centred solely on her status and identity, Merit was buried alongside her husband, whose burial goods were more elaborate and visually dominant</w:t>
      </w:r>
      <w:r>
        <w:rPr>
          <w:rFonts w:ascii="Times New Roman" w:hAnsi="Times New Roman" w:cs="Times New Roman"/>
        </w:rPr>
        <w:t xml:space="preserve"> than hers</w:t>
      </w:r>
      <w:r w:rsidRPr="0004651D">
        <w:rPr>
          <w:rFonts w:ascii="Times New Roman" w:hAnsi="Times New Roman" w:cs="Times New Roman"/>
        </w:rPr>
        <w:t xml:space="preserve">, reinforcing his higher social position (Meskell, 1998). The joint burial contained many household items, such as food, </w:t>
      </w:r>
      <w:r>
        <w:rPr>
          <w:rFonts w:ascii="Times New Roman" w:hAnsi="Times New Roman" w:cs="Times New Roman"/>
        </w:rPr>
        <w:t>cosmetic</w:t>
      </w:r>
      <w:r w:rsidRPr="0004651D">
        <w:rPr>
          <w:rFonts w:ascii="Times New Roman" w:hAnsi="Times New Roman" w:cs="Times New Roman"/>
        </w:rPr>
        <w:t xml:space="preserve"> items, clothing and ornaments</w:t>
      </w:r>
      <w:r>
        <w:rPr>
          <w:rFonts w:ascii="Times New Roman" w:hAnsi="Times New Roman" w:cs="Times New Roman"/>
        </w:rPr>
        <w:t>,</w:t>
      </w:r>
      <w:r w:rsidRPr="0004651D">
        <w:rPr>
          <w:rFonts w:ascii="Times New Roman" w:hAnsi="Times New Roman" w:cs="Times New Roman"/>
        </w:rPr>
        <w:t xml:space="preserve"> suggesting that Kha was trying to recreate his home in the afterlife (Sousa, 2019), Nevertheless, Merit’s burial demonstrates meaningful engagement with afterlife beliefs. Her beautiful funerary mask </w:t>
      </w:r>
      <w:r>
        <w:rPr>
          <w:rFonts w:ascii="Times New Roman" w:hAnsi="Times New Roman" w:cs="Times New Roman"/>
        </w:rPr>
        <w:t xml:space="preserve">(see Figure 3) </w:t>
      </w:r>
      <w:r w:rsidRPr="0004651D">
        <w:rPr>
          <w:rFonts w:ascii="Times New Roman" w:hAnsi="Times New Roman" w:cs="Times New Roman"/>
        </w:rPr>
        <w:t xml:space="preserve">symbolises protection and resurrection of the deceased (Sousa, 2019). Further objects such as amulets, jewellery, and her girdle of gold cowrie shells were intended to provide protection and spiritual security in the afterlife (Meskell, 1998; Meskell, 2002). These items acted as smaller-scale expressions of the same religious concerns seen in elite tombs, though without the architectural scale or ritual prominence available to women such as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(Taylor, 2001).</w:t>
      </w:r>
    </w:p>
    <w:p w14:paraId="13EB0461"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Importantly, these differences should not be understood as reflecting fundamentally different beliefs about the afterlife. Both</w:t>
      </w:r>
      <w:r>
        <w:rPr>
          <w:rFonts w:ascii="Times New Roman" w:hAnsi="Times New Roman" w:cs="Times New Roman"/>
        </w:rPr>
        <w:t xml:space="preserve"> women </w:t>
      </w:r>
      <w:r w:rsidRPr="0004651D">
        <w:rPr>
          <w:rFonts w:ascii="Times New Roman" w:hAnsi="Times New Roman" w:cs="Times New Roman"/>
        </w:rPr>
        <w:t xml:space="preserve">appear to have shared a common desire for protection, sustenance, and continuity beyond death. </w:t>
      </w:r>
    </w:p>
    <w:p w14:paraId="3A13B36A" w14:textId="77777777" w:rsidR="00B93FBC" w:rsidRPr="0004651D" w:rsidRDefault="00B93FBC" w:rsidP="00B93FBC">
      <w:pPr>
        <w:rPr>
          <w:rFonts w:ascii="Times New Roman" w:hAnsi="Times New Roman" w:cs="Times New Roman"/>
        </w:rPr>
      </w:pPr>
      <w:r>
        <w:rPr>
          <w:rFonts w:ascii="Times New Roman" w:hAnsi="Times New Roman" w:cs="Times New Roman"/>
        </w:rPr>
        <w:t xml:space="preserve">However, the </w:t>
      </w:r>
      <w:r w:rsidRPr="0004651D">
        <w:rPr>
          <w:rFonts w:ascii="Times New Roman" w:hAnsi="Times New Roman" w:cs="Times New Roman"/>
        </w:rPr>
        <w:t>distincti</w:t>
      </w:r>
      <w:r>
        <w:rPr>
          <w:rFonts w:ascii="Times New Roman" w:hAnsi="Times New Roman" w:cs="Times New Roman"/>
        </w:rPr>
        <w:t>ve differences between the tombs</w:t>
      </w:r>
      <w:r w:rsidRPr="0004651D">
        <w:rPr>
          <w:rFonts w:ascii="Times New Roman" w:hAnsi="Times New Roman" w:cs="Times New Roman"/>
        </w:rPr>
        <w:t xml:space="preserve"> highlights the extent to which access to funerary provision was shaped by social and economic factors.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tomb, with its extensive decoration, represents a form of afterlife preparation that was socially visible. Merit’s burial, by contrast, relied on smaller-scale, portable objects that condensed similar religious functions into more accessible forms.</w:t>
      </w:r>
      <w:r>
        <w:rPr>
          <w:rFonts w:ascii="Times New Roman" w:hAnsi="Times New Roman" w:cs="Times New Roman"/>
        </w:rPr>
        <w:t xml:space="preserve"> Therefore</w:t>
      </w:r>
      <w:r w:rsidRPr="0004651D">
        <w:rPr>
          <w:rFonts w:ascii="Times New Roman" w:hAnsi="Times New Roman" w:cs="Times New Roman"/>
        </w:rPr>
        <w:t xml:space="preserve">, </w:t>
      </w:r>
      <w:r>
        <w:rPr>
          <w:rFonts w:ascii="Times New Roman" w:hAnsi="Times New Roman" w:cs="Times New Roman"/>
        </w:rPr>
        <w:t xml:space="preserve">less </w:t>
      </w:r>
      <w:r w:rsidRPr="0004651D">
        <w:rPr>
          <w:rFonts w:ascii="Times New Roman" w:hAnsi="Times New Roman" w:cs="Times New Roman"/>
        </w:rPr>
        <w:t>elite funerary practice can be seen as adaptive rather than deficient, translating shared religious concerns into materially achievable expressions.</w:t>
      </w:r>
    </w:p>
    <w:p w14:paraId="20D6A980"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At the same time, the representational nature of elite tombs must be critically considered. As Robins (1993) and Meskell (2002) have argued, such environments reflect idealised identities rather than lived realities, raising questions about how far they correspond to actual expectations or experiences of the afterlife. While elite tombs suggest a high degree of control over post-mortem existence, they also reveal the importance of conforming to established visual and cultural norms.</w:t>
      </w:r>
    </w:p>
    <w:p w14:paraId="66314B9F"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Ultimately, the comparison between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and Merit reinforces the argument that religious belief in ancient Egypt was broadly shared but expressed</w:t>
      </w:r>
      <w:r>
        <w:rPr>
          <w:rFonts w:ascii="Times New Roman" w:hAnsi="Times New Roman" w:cs="Times New Roman"/>
        </w:rPr>
        <w:t xml:space="preserve"> in different ways</w:t>
      </w:r>
      <w:r w:rsidRPr="0004651D">
        <w:rPr>
          <w:rFonts w:ascii="Times New Roman" w:hAnsi="Times New Roman" w:cs="Times New Roman"/>
        </w:rPr>
        <w:t xml:space="preserve">. Both women sought continuity, protection and stability in the afterlife, yet their ability to secure these outcomes was shaped by their access to material and institutional resources. This demonstrates that while the goals of religion may have been universal, the means of achieving them remained structured by hierarchy, reflecting wider inequalities within Egyptian society. </w:t>
      </w:r>
    </w:p>
    <w:p w14:paraId="0C2EEE7A" w14:textId="77777777" w:rsidR="00B93FBC" w:rsidRPr="0004651D" w:rsidRDefault="00B93FBC" w:rsidP="00B93FBC">
      <w:pPr>
        <w:pStyle w:val="NormalWeb"/>
        <w:rPr>
          <w:rFonts w:eastAsiaTheme="minorHAnsi"/>
          <w:b/>
          <w:bCs/>
          <w:kern w:val="2"/>
          <w:u w:val="single"/>
          <w:lang w:eastAsia="en-US"/>
          <w14:ligatures w14:val="standardContextual"/>
        </w:rPr>
      </w:pPr>
      <w:r w:rsidRPr="0004651D">
        <w:rPr>
          <w:rFonts w:eastAsiaTheme="minorHAnsi"/>
          <w:b/>
          <w:bCs/>
          <w:kern w:val="2"/>
          <w:u w:val="single"/>
          <w:lang w:eastAsia="en-US"/>
          <w14:ligatures w14:val="standardContextual"/>
        </w:rPr>
        <w:t>Conclusion: Social Status and the Diversity of Female Religious Experience</w:t>
      </w:r>
    </w:p>
    <w:p w14:paraId="7F7F7E61"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lastRenderedPageBreak/>
        <w:t xml:space="preserve">This study has examined the religious experiences of </w:t>
      </w:r>
      <w:proofErr w:type="spellStart"/>
      <w:r w:rsidRPr="0004651D">
        <w:rPr>
          <w:rFonts w:ascii="Times New Roman" w:hAnsi="Times New Roman" w:cs="Times New Roman"/>
        </w:rPr>
        <w:t>Hetepet</w:t>
      </w:r>
      <w:proofErr w:type="spellEnd"/>
      <w:r w:rsidRPr="0004651D">
        <w:rPr>
          <w:rFonts w:ascii="Times New Roman" w:hAnsi="Times New Roman" w:cs="Times New Roman"/>
        </w:rPr>
        <w:t xml:space="preserve"> and Merit across formal religious structures, domestic practice, and funerary belief to assess how gender and social status shaped access to the divine in Old and New Kingdom Egypt. Although both women participated in a shared religious system concerned with protection, divine favour, and continuity beyond death, their experiences of religion differed significantly according to social position. These differences reflected not only varying degrees of participation, but fundamentally different modes of religious engagement shaped by institutional access and material resources.</w:t>
      </w:r>
    </w:p>
    <w:p w14:paraId="59205B0E" w14:textId="77777777" w:rsidR="00B93FBC" w:rsidRPr="0004651D" w:rsidRDefault="00B93FBC" w:rsidP="00B93FBC">
      <w:pPr>
        <w:rPr>
          <w:rFonts w:ascii="Times New Roman" w:hAnsi="Times New Roman" w:cs="Times New Roman"/>
        </w:rPr>
      </w:pPr>
      <w:r w:rsidRPr="0004651D">
        <w:rPr>
          <w:rFonts w:ascii="Times New Roman" w:hAnsi="Times New Roman" w:cs="Times New Roman"/>
        </w:rPr>
        <w:t xml:space="preserve">A key distinction explored throughout this thesis is the contrast between institutional and personal religion. </w:t>
      </w: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religious experience was defined by her integration into elite temple structures, which granted access to sacred spaces, ritual authority, and highly </w:t>
      </w:r>
      <w:r>
        <w:rPr>
          <w:rFonts w:ascii="Times New Roman" w:hAnsi="Times New Roman" w:cs="Times New Roman"/>
        </w:rPr>
        <w:t>visible</w:t>
      </w:r>
      <w:r w:rsidRPr="0004651D">
        <w:rPr>
          <w:rFonts w:ascii="Times New Roman" w:hAnsi="Times New Roman" w:cs="Times New Roman"/>
        </w:rPr>
        <w:t xml:space="preserve"> forms of devotion. Merit’s experience, by contrast, was centred within domestic and localised practices, including household worship, music, and amuletic protection. </w:t>
      </w:r>
    </w:p>
    <w:p w14:paraId="4951FFD4" w14:textId="77777777" w:rsidR="00B93FBC" w:rsidRDefault="00B93FBC" w:rsidP="00B93FBC">
      <w:pPr>
        <w:rPr>
          <w:rFonts w:ascii="Times New Roman" w:hAnsi="Times New Roman" w:cs="Times New Roman"/>
        </w:rPr>
      </w:pPr>
      <w:r w:rsidRPr="0004287D">
        <w:rPr>
          <w:rFonts w:ascii="Times New Roman" w:hAnsi="Times New Roman" w:cs="Times New Roman"/>
        </w:rPr>
        <w:t>The comparison between these women demonstrates that religious belief itself was broadly shared across society, but access to the structures through which religion was expressed remained unequal. Elite</w:t>
      </w:r>
      <w:r>
        <w:rPr>
          <w:rFonts w:ascii="Times New Roman" w:hAnsi="Times New Roman" w:cs="Times New Roman"/>
        </w:rPr>
        <w:t xml:space="preserve">, priestly </w:t>
      </w:r>
      <w:r w:rsidRPr="0004287D">
        <w:rPr>
          <w:rFonts w:ascii="Times New Roman" w:hAnsi="Times New Roman" w:cs="Times New Roman"/>
        </w:rPr>
        <w:t xml:space="preserve">women such as </w:t>
      </w:r>
      <w:proofErr w:type="spellStart"/>
      <w:r w:rsidRPr="0004287D">
        <w:rPr>
          <w:rFonts w:ascii="Times New Roman" w:hAnsi="Times New Roman" w:cs="Times New Roman"/>
        </w:rPr>
        <w:t>Hetepet</w:t>
      </w:r>
      <w:proofErr w:type="spellEnd"/>
      <w:r w:rsidRPr="0004287D">
        <w:rPr>
          <w:rFonts w:ascii="Times New Roman" w:hAnsi="Times New Roman" w:cs="Times New Roman"/>
        </w:rPr>
        <w:t xml:space="preserve"> could engage with religion through institutionally sanctioned and materially privileged forms, whereas women like Merit relied on smaller-scale and domestic expressions of the same beliefs. </w:t>
      </w:r>
      <w:r>
        <w:rPr>
          <w:rFonts w:ascii="Times New Roman" w:hAnsi="Times New Roman" w:cs="Times New Roman"/>
        </w:rPr>
        <w:t xml:space="preserve">Women’s religious experience in ancient Egypt was therefore neither uniform nor universally accessible but, structured through systems of hierarchy that shaped how individuals encountered, performed, and imagined the divine. </w:t>
      </w:r>
    </w:p>
    <w:p w14:paraId="07538AFA" w14:textId="77777777" w:rsidR="00DF67CF" w:rsidRDefault="00DF67CF"/>
    <w:sectPr w:rsidR="00DF67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FBC"/>
    <w:rsid w:val="00122CDF"/>
    <w:rsid w:val="00381012"/>
    <w:rsid w:val="00493C6F"/>
    <w:rsid w:val="00757B80"/>
    <w:rsid w:val="00B93FBC"/>
    <w:rsid w:val="00DF6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9D020"/>
  <w15:chartTrackingRefBased/>
  <w15:docId w15:val="{80C3E70F-4DAF-4D1F-8151-B4CC9C75B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FBC"/>
  </w:style>
  <w:style w:type="paragraph" w:styleId="Heading1">
    <w:name w:val="heading 1"/>
    <w:basedOn w:val="Normal"/>
    <w:next w:val="Normal"/>
    <w:link w:val="Heading1Char"/>
    <w:uiPriority w:val="9"/>
    <w:qFormat/>
    <w:rsid w:val="00B93F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F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F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F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F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F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F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F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F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F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F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F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F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F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F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F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F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FBC"/>
    <w:rPr>
      <w:rFonts w:eastAsiaTheme="majorEastAsia" w:cstheme="majorBidi"/>
      <w:color w:val="272727" w:themeColor="text1" w:themeTint="D8"/>
    </w:rPr>
  </w:style>
  <w:style w:type="paragraph" w:styleId="Title">
    <w:name w:val="Title"/>
    <w:basedOn w:val="Normal"/>
    <w:next w:val="Normal"/>
    <w:link w:val="TitleChar"/>
    <w:uiPriority w:val="10"/>
    <w:qFormat/>
    <w:rsid w:val="00B93F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F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F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FBC"/>
    <w:pPr>
      <w:spacing w:before="160"/>
      <w:jc w:val="center"/>
    </w:pPr>
    <w:rPr>
      <w:i/>
      <w:iCs/>
      <w:color w:val="404040" w:themeColor="text1" w:themeTint="BF"/>
    </w:rPr>
  </w:style>
  <w:style w:type="character" w:customStyle="1" w:styleId="QuoteChar">
    <w:name w:val="Quote Char"/>
    <w:basedOn w:val="DefaultParagraphFont"/>
    <w:link w:val="Quote"/>
    <w:uiPriority w:val="29"/>
    <w:rsid w:val="00B93FBC"/>
    <w:rPr>
      <w:i/>
      <w:iCs/>
      <w:color w:val="404040" w:themeColor="text1" w:themeTint="BF"/>
    </w:rPr>
  </w:style>
  <w:style w:type="paragraph" w:styleId="ListParagraph">
    <w:name w:val="List Paragraph"/>
    <w:basedOn w:val="Normal"/>
    <w:uiPriority w:val="34"/>
    <w:qFormat/>
    <w:rsid w:val="00B93FBC"/>
    <w:pPr>
      <w:ind w:left="720"/>
      <w:contextualSpacing/>
    </w:pPr>
  </w:style>
  <w:style w:type="character" w:styleId="IntenseEmphasis">
    <w:name w:val="Intense Emphasis"/>
    <w:basedOn w:val="DefaultParagraphFont"/>
    <w:uiPriority w:val="21"/>
    <w:qFormat/>
    <w:rsid w:val="00B93FBC"/>
    <w:rPr>
      <w:i/>
      <w:iCs/>
      <w:color w:val="0F4761" w:themeColor="accent1" w:themeShade="BF"/>
    </w:rPr>
  </w:style>
  <w:style w:type="paragraph" w:styleId="IntenseQuote">
    <w:name w:val="Intense Quote"/>
    <w:basedOn w:val="Normal"/>
    <w:next w:val="Normal"/>
    <w:link w:val="IntenseQuoteChar"/>
    <w:uiPriority w:val="30"/>
    <w:qFormat/>
    <w:rsid w:val="00B93F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FBC"/>
    <w:rPr>
      <w:i/>
      <w:iCs/>
      <w:color w:val="0F4761" w:themeColor="accent1" w:themeShade="BF"/>
    </w:rPr>
  </w:style>
  <w:style w:type="character" w:styleId="IntenseReference">
    <w:name w:val="Intense Reference"/>
    <w:basedOn w:val="DefaultParagraphFont"/>
    <w:uiPriority w:val="32"/>
    <w:qFormat/>
    <w:rsid w:val="00B93FBC"/>
    <w:rPr>
      <w:b/>
      <w:bCs/>
      <w:smallCaps/>
      <w:color w:val="0F4761" w:themeColor="accent1" w:themeShade="BF"/>
      <w:spacing w:val="5"/>
    </w:rPr>
  </w:style>
  <w:style w:type="paragraph" w:styleId="NormalWeb">
    <w:name w:val="Normal (Web)"/>
    <w:basedOn w:val="Normal"/>
    <w:uiPriority w:val="99"/>
    <w:unhideWhenUsed/>
    <w:rsid w:val="00B93F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3864</Words>
  <Characters>23532</Characters>
  <Application>Microsoft Office Word</Application>
  <DocSecurity>0</DocSecurity>
  <Lines>346</Lines>
  <Paragraphs>84</Paragraphs>
  <ScaleCrop>false</ScaleCrop>
  <Company/>
  <LinksUpToDate>false</LinksUpToDate>
  <CharactersWithSpaces>27312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Davey</dc:creator>
  <cp:keywords/>
  <dc:description/>
  <cp:lastModifiedBy>Rosie Davey</cp:lastModifiedBy>
  <cp:revision>2</cp:revision>
  <dcterms:created xsi:type="dcterms:W3CDTF">2026-05-15T13:26:00Z</dcterms:created>
  <dcterms:modified xsi:type="dcterms:W3CDTF">2026-05-15T13:26:00Z</dcterms:modified>
</cp:coreProperties>
</file>