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E7D50" w14:textId="77777777" w:rsidR="00CB0AC0" w:rsidRPr="00CB0AC0" w:rsidRDefault="00CB0AC0" w:rsidP="00CB0AC0">
      <w:pPr>
        <w:suppressAutoHyphens/>
        <w:spacing w:after="0"/>
        <w:jc w:val="center"/>
        <w:rPr>
          <w:rFonts w:ascii="Arial" w:eastAsia="Droid Sans" w:hAnsi="Arial" w:cs="Arial"/>
          <w:b/>
          <w:i/>
          <w:color w:val="000000"/>
          <w:sz w:val="96"/>
          <w:szCs w:val="96"/>
          <w:u w:val="single"/>
          <w:lang w:eastAsia="hi-IN" w:bidi="hi-IN"/>
        </w:rPr>
      </w:pPr>
      <w:r w:rsidRPr="00CB0AC0">
        <w:rPr>
          <w:rFonts w:ascii="Arial" w:eastAsia="Droid Sans" w:hAnsi="Arial" w:cs="Arial"/>
          <w:b/>
          <w:noProof/>
          <w:sz w:val="28"/>
          <w:szCs w:val="28"/>
          <w:lang w:eastAsia="hi-IN" w:bidi="hi-IN"/>
        </w:rPr>
        <w:drawing>
          <wp:inline distT="0" distB="0" distL="0" distR="0" wp14:anchorId="3CC06B70" wp14:editId="3CE669ED">
            <wp:extent cx="2994660" cy="1676400"/>
            <wp:effectExtent l="0" t="0" r="0" b="0"/>
            <wp:docPr id="5" name="Picture 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4660" cy="1676400"/>
                    </a:xfrm>
                    <a:prstGeom prst="rect">
                      <a:avLst/>
                    </a:prstGeom>
                    <a:noFill/>
                    <a:ln>
                      <a:noFill/>
                    </a:ln>
                  </pic:spPr>
                </pic:pic>
              </a:graphicData>
            </a:graphic>
          </wp:inline>
        </w:drawing>
      </w:r>
    </w:p>
    <w:p w14:paraId="466A22D4" w14:textId="77777777" w:rsidR="00CB0AC0" w:rsidRPr="00CB0AC0" w:rsidRDefault="00CB0AC0" w:rsidP="00CB0AC0">
      <w:pPr>
        <w:suppressAutoHyphens/>
        <w:spacing w:after="0"/>
        <w:jc w:val="center"/>
        <w:rPr>
          <w:rFonts w:ascii="Arial" w:eastAsia="Droid Sans" w:hAnsi="Arial" w:cs="Arial"/>
          <w:b/>
          <w:bCs/>
          <w:color w:val="000000"/>
          <w:sz w:val="40"/>
          <w:szCs w:val="40"/>
          <w:lang w:eastAsia="hi-IN" w:bidi="hi-IN"/>
        </w:rPr>
      </w:pPr>
      <w:r w:rsidRPr="00CB0AC0">
        <w:rPr>
          <w:rFonts w:ascii="Arial" w:eastAsia="Droid Sans" w:hAnsi="Arial" w:cs="Arial"/>
          <w:b/>
          <w:bCs/>
          <w:color w:val="000000"/>
          <w:sz w:val="40"/>
          <w:szCs w:val="40"/>
          <w:lang w:eastAsia="hi-IN" w:bidi="hi-IN"/>
        </w:rPr>
        <w:t>BA Business Management</w:t>
      </w:r>
    </w:p>
    <w:p w14:paraId="70C704C4" w14:textId="77777777" w:rsidR="00CB0AC0" w:rsidRDefault="00CB0AC0" w:rsidP="00CB0AC0">
      <w:pPr>
        <w:suppressAutoHyphens/>
        <w:spacing w:after="0"/>
        <w:jc w:val="center"/>
        <w:rPr>
          <w:rFonts w:ascii="Arial" w:eastAsia="Droid Sans" w:hAnsi="Arial" w:cs="Arial"/>
          <w:b/>
          <w:bCs/>
          <w:color w:val="000000"/>
          <w:sz w:val="40"/>
          <w:szCs w:val="40"/>
          <w:lang w:eastAsia="hi-IN" w:bidi="hi-IN"/>
        </w:rPr>
      </w:pPr>
      <w:r w:rsidRPr="00CB0AC0">
        <w:rPr>
          <w:rFonts w:ascii="Arial" w:eastAsia="Droid Sans" w:hAnsi="Arial" w:cs="Arial"/>
          <w:b/>
          <w:bCs/>
          <w:color w:val="000000"/>
          <w:sz w:val="40"/>
          <w:szCs w:val="40"/>
          <w:lang w:eastAsia="hi-IN" w:bidi="hi-IN"/>
        </w:rPr>
        <w:t>Community Engagement</w:t>
      </w:r>
    </w:p>
    <w:p w14:paraId="1E0EC6AC" w14:textId="77777777" w:rsidR="00CB0AC0" w:rsidRDefault="00CB0AC0" w:rsidP="00CB0AC0">
      <w:pPr>
        <w:suppressAutoHyphens/>
        <w:spacing w:after="0"/>
        <w:jc w:val="center"/>
        <w:rPr>
          <w:rFonts w:ascii="Arial" w:eastAsia="Droid Sans" w:hAnsi="Arial" w:cs="Arial"/>
          <w:b/>
          <w:bCs/>
          <w:color w:val="000000"/>
          <w:sz w:val="40"/>
          <w:szCs w:val="40"/>
          <w:lang w:eastAsia="hi-IN" w:bidi="hi-IN"/>
        </w:rPr>
      </w:pPr>
      <w:r w:rsidRPr="00CB0AC0">
        <w:rPr>
          <w:rFonts w:ascii="Arial" w:eastAsia="Droid Sans" w:hAnsi="Arial" w:cs="Arial"/>
          <w:b/>
          <w:bCs/>
          <w:color w:val="000000"/>
          <w:sz w:val="40"/>
          <w:szCs w:val="40"/>
          <w:lang w:eastAsia="hi-IN" w:bidi="hi-IN"/>
        </w:rPr>
        <w:t xml:space="preserve">Coursework </w:t>
      </w:r>
      <w:r>
        <w:rPr>
          <w:rFonts w:ascii="Arial" w:eastAsia="Droid Sans" w:hAnsi="Arial" w:cs="Arial"/>
          <w:b/>
          <w:bCs/>
          <w:color w:val="000000"/>
          <w:sz w:val="40"/>
          <w:szCs w:val="40"/>
          <w:lang w:eastAsia="hi-IN" w:bidi="hi-IN"/>
        </w:rPr>
        <w:t>–</w:t>
      </w:r>
      <w:r w:rsidRPr="00CB0AC0">
        <w:rPr>
          <w:rFonts w:ascii="Arial" w:eastAsia="Droid Sans" w:hAnsi="Arial" w:cs="Arial"/>
          <w:b/>
          <w:bCs/>
          <w:color w:val="000000"/>
          <w:sz w:val="40"/>
          <w:szCs w:val="40"/>
          <w:lang w:eastAsia="hi-IN" w:bidi="hi-IN"/>
        </w:rPr>
        <w:t xml:space="preserve"> Portfolio</w:t>
      </w:r>
    </w:p>
    <w:p w14:paraId="37E86484" w14:textId="77777777" w:rsidR="00CB0AC0" w:rsidRPr="00CB0AC0" w:rsidRDefault="00CB0AC0" w:rsidP="00CB0AC0">
      <w:pPr>
        <w:suppressAutoHyphens/>
        <w:spacing w:after="0"/>
        <w:jc w:val="center"/>
        <w:rPr>
          <w:rFonts w:ascii="Arial" w:eastAsia="Droid Sans" w:hAnsi="Arial" w:cs="Arial"/>
          <w:b/>
          <w:bCs/>
          <w:color w:val="000000"/>
          <w:sz w:val="40"/>
          <w:szCs w:val="40"/>
          <w:lang w:eastAsia="hi-IN" w:bidi="hi-IN"/>
        </w:rPr>
      </w:pPr>
      <w:r w:rsidRPr="00CB0AC0">
        <w:rPr>
          <w:rFonts w:ascii="Arial" w:eastAsia="Droid Sans" w:hAnsi="Arial" w:cs="Arial"/>
          <w:b/>
          <w:noProof/>
          <w:color w:val="000000"/>
          <w:sz w:val="40"/>
          <w:szCs w:val="40"/>
          <w:lang w:eastAsia="hi-IN" w:bidi="hi-IN"/>
        </w:rPr>
        <w:drawing>
          <wp:inline distT="0" distB="0" distL="0" distR="0" wp14:anchorId="6E7A7273" wp14:editId="6A859F4F">
            <wp:extent cx="1836420" cy="1036320"/>
            <wp:effectExtent l="0" t="0" r="0" b="0"/>
            <wp:docPr id="6" name="Picture 1" descr="A drawing of two hea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drawing of two hea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36420" cy="1036320"/>
                    </a:xfrm>
                    <a:prstGeom prst="rect">
                      <a:avLst/>
                    </a:prstGeom>
                    <a:noFill/>
                    <a:ln>
                      <a:noFill/>
                    </a:ln>
                  </pic:spPr>
                </pic:pic>
              </a:graphicData>
            </a:graphic>
          </wp:inline>
        </w:drawing>
      </w:r>
    </w:p>
    <w:p w14:paraId="6964DFFC" w14:textId="77777777" w:rsidR="00CB0AC0" w:rsidRPr="00CB0AC0" w:rsidRDefault="00CB0AC0" w:rsidP="00CB0AC0">
      <w:pPr>
        <w:widowControl w:val="0"/>
        <w:suppressAutoHyphens/>
        <w:spacing w:after="0" w:line="240" w:lineRule="auto"/>
        <w:jc w:val="left"/>
        <w:rPr>
          <w:rFonts w:ascii="Arial" w:eastAsia="DejaVu Sans Mono" w:hAnsi="Arial" w:cs="Arial"/>
          <w:b/>
          <w:bCs/>
          <w:sz w:val="32"/>
          <w:szCs w:val="32"/>
          <w:lang w:eastAsia="hi-IN" w:bidi="hi-IN"/>
        </w:rPr>
      </w:pPr>
    </w:p>
    <w:p w14:paraId="5DF1C40D"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p>
    <w:p w14:paraId="1EFB0A14"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r w:rsidRPr="00CB0AC0">
        <w:rPr>
          <w:rFonts w:ascii="Arial" w:eastAsia="DejaVu Sans Mono" w:hAnsi="Arial" w:cs="Arial"/>
          <w:sz w:val="28"/>
          <w:szCs w:val="28"/>
          <w:lang w:eastAsia="hi-IN" w:bidi="hi-IN"/>
        </w:rPr>
        <w:t xml:space="preserve">Student Name </w:t>
      </w:r>
      <w:r>
        <w:rPr>
          <w:rFonts w:ascii="Arial" w:eastAsia="DejaVu Sans Mono" w:hAnsi="Arial" w:cs="Arial"/>
          <w:sz w:val="28"/>
          <w:szCs w:val="28"/>
          <w:lang w:eastAsia="hi-IN" w:bidi="hi-IN"/>
        </w:rPr>
        <w:t>and</w:t>
      </w:r>
      <w:r w:rsidRPr="00CB0AC0">
        <w:rPr>
          <w:rFonts w:ascii="Arial" w:eastAsia="DejaVu Sans Mono" w:hAnsi="Arial" w:cs="Arial"/>
          <w:sz w:val="28"/>
          <w:szCs w:val="28"/>
          <w:lang w:eastAsia="hi-IN" w:bidi="hi-IN"/>
        </w:rPr>
        <w:t xml:space="preserve"> ID: Andreea Alina Balan, 2213951</w:t>
      </w:r>
    </w:p>
    <w:p w14:paraId="1FBE7590"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r w:rsidRPr="00CB0AC0">
        <w:rPr>
          <w:rFonts w:ascii="Arial" w:eastAsia="DejaVu Sans Mono" w:hAnsi="Arial" w:cs="Arial"/>
          <w:sz w:val="28"/>
          <w:szCs w:val="28"/>
          <w:lang w:eastAsia="hi-IN" w:bidi="hi-IN"/>
        </w:rPr>
        <w:t>Lecturer Name: Dr Molly Jack</w:t>
      </w:r>
    </w:p>
    <w:p w14:paraId="68B0D60C"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r w:rsidRPr="00CB0AC0">
        <w:rPr>
          <w:rFonts w:ascii="Arial" w:eastAsia="DejaVu Sans Mono" w:hAnsi="Arial" w:cs="Arial"/>
          <w:sz w:val="28"/>
          <w:szCs w:val="28"/>
          <w:lang w:eastAsia="hi-IN" w:bidi="hi-IN"/>
        </w:rPr>
        <w:t xml:space="preserve">Assessment 1- Individual Report </w:t>
      </w:r>
    </w:p>
    <w:p w14:paraId="6310882A"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r w:rsidRPr="00CB0AC0">
        <w:rPr>
          <w:rFonts w:ascii="Arial" w:eastAsia="DejaVu Sans Mono" w:hAnsi="Arial" w:cs="Arial"/>
          <w:sz w:val="28"/>
          <w:szCs w:val="28"/>
          <w:lang w:eastAsia="hi-IN" w:bidi="hi-IN"/>
        </w:rPr>
        <w:t xml:space="preserve">Submission Deadline: </w:t>
      </w:r>
      <w:r>
        <w:rPr>
          <w:rFonts w:ascii="Arial" w:eastAsia="DejaVu Sans Mono" w:hAnsi="Arial" w:cs="Arial"/>
          <w:sz w:val="28"/>
          <w:szCs w:val="28"/>
          <w:lang w:eastAsia="hi-IN" w:bidi="hi-IN"/>
        </w:rPr>
        <w:t>30/08/2024</w:t>
      </w:r>
    </w:p>
    <w:p w14:paraId="0C448C20" w14:textId="77777777" w:rsidR="00CB0AC0" w:rsidRPr="00CB0AC0" w:rsidRDefault="00CB0AC0" w:rsidP="00CB0AC0">
      <w:pPr>
        <w:widowControl w:val="0"/>
        <w:suppressAutoHyphens/>
        <w:spacing w:after="0" w:line="240" w:lineRule="auto"/>
        <w:jc w:val="left"/>
        <w:rPr>
          <w:rFonts w:ascii="Arial" w:eastAsia="DejaVu Sans Mono" w:hAnsi="Arial" w:cs="Arial"/>
          <w:sz w:val="28"/>
          <w:szCs w:val="28"/>
          <w:lang w:eastAsia="hi-IN" w:bidi="hi-IN"/>
        </w:rPr>
      </w:pPr>
      <w:r w:rsidRPr="00CB0AC0">
        <w:rPr>
          <w:rFonts w:ascii="Arial" w:eastAsia="DejaVu Sans Mono" w:hAnsi="Arial" w:cs="Arial"/>
          <w:sz w:val="28"/>
          <w:szCs w:val="28"/>
          <w:lang w:eastAsia="hi-IN" w:bidi="hi-IN"/>
        </w:rPr>
        <w:t xml:space="preserve">Word Count: </w:t>
      </w:r>
      <w:r>
        <w:rPr>
          <w:rFonts w:ascii="Arial" w:eastAsia="DejaVu Sans Mono" w:hAnsi="Arial" w:cs="Arial"/>
          <w:sz w:val="28"/>
          <w:szCs w:val="28"/>
          <w:lang w:eastAsia="hi-IN" w:bidi="hi-IN"/>
        </w:rPr>
        <w:t>30</w:t>
      </w:r>
      <w:r w:rsidRPr="00CB0AC0">
        <w:rPr>
          <w:rFonts w:ascii="Arial" w:eastAsia="DejaVu Sans Mono" w:hAnsi="Arial" w:cs="Arial"/>
          <w:sz w:val="28"/>
          <w:szCs w:val="28"/>
          <w:lang w:eastAsia="hi-IN" w:bidi="hi-IN"/>
        </w:rPr>
        <w:t xml:space="preserve">00 words </w:t>
      </w:r>
    </w:p>
    <w:p w14:paraId="10BA2DCE" w14:textId="428864C4" w:rsidR="00313954" w:rsidRPr="00CB0AC0" w:rsidRDefault="00313954" w:rsidP="00313954">
      <w:pPr>
        <w:spacing w:line="259" w:lineRule="auto"/>
        <w:jc w:val="center"/>
        <w:rPr>
          <w:rFonts w:ascii="Arial" w:eastAsiaTheme="majorEastAsia" w:hAnsi="Arial" w:cs="Arial"/>
          <w:b/>
          <w:color w:val="000000" w:themeColor="text1"/>
          <w:sz w:val="72"/>
          <w:szCs w:val="72"/>
        </w:rPr>
      </w:pPr>
      <w:r w:rsidRPr="00CB0AC0">
        <w:rPr>
          <w:rFonts w:ascii="Arial" w:hAnsi="Arial" w:cs="Arial"/>
          <w:b/>
          <w:sz w:val="72"/>
          <w:szCs w:val="72"/>
        </w:rPr>
        <w:br w:type="page"/>
      </w:r>
    </w:p>
    <w:sdt>
      <w:sdtPr>
        <w:rPr>
          <w:rFonts w:ascii="Arial" w:eastAsiaTheme="minorHAnsi" w:hAnsi="Arial" w:cs="Arial"/>
          <w:color w:val="auto"/>
          <w:sz w:val="24"/>
          <w:szCs w:val="24"/>
          <w:lang w:val="en-GB"/>
        </w:rPr>
        <w:id w:val="2129038101"/>
        <w:docPartObj>
          <w:docPartGallery w:val="Table of Contents"/>
          <w:docPartUnique/>
        </w:docPartObj>
      </w:sdtPr>
      <w:sdtEndPr>
        <w:rPr>
          <w:b/>
          <w:bCs/>
          <w:noProof/>
        </w:rPr>
      </w:sdtEndPr>
      <w:sdtContent>
        <w:p w14:paraId="517BF234" w14:textId="77777777" w:rsidR="00313954" w:rsidRPr="00CB0AC0" w:rsidRDefault="00313954" w:rsidP="00313954">
          <w:pPr>
            <w:pStyle w:val="TOCHeading"/>
            <w:spacing w:line="360" w:lineRule="auto"/>
            <w:jc w:val="both"/>
            <w:rPr>
              <w:rFonts w:ascii="Arial" w:hAnsi="Arial" w:cs="Arial"/>
              <w:lang w:val="en-GB"/>
            </w:rPr>
          </w:pPr>
          <w:r w:rsidRPr="00CB0AC0">
            <w:rPr>
              <w:rFonts w:ascii="Arial" w:hAnsi="Arial" w:cs="Arial"/>
              <w:lang w:val="en-GB"/>
            </w:rPr>
            <w:t>Table of Contents</w:t>
          </w:r>
        </w:p>
        <w:p w14:paraId="40D695A7" w14:textId="021C58F9" w:rsidR="00CB0AC0" w:rsidRPr="00CB0AC0" w:rsidRDefault="00313954">
          <w:pPr>
            <w:pStyle w:val="TOC1"/>
            <w:tabs>
              <w:tab w:val="right" w:leader="dot" w:pos="9350"/>
            </w:tabs>
            <w:rPr>
              <w:rFonts w:ascii="Arial" w:eastAsiaTheme="minorEastAsia" w:hAnsi="Arial" w:cs="Arial"/>
              <w:noProof/>
              <w:kern w:val="2"/>
              <w:lang w:eastAsia="en-GB"/>
              <w14:ligatures w14:val="standardContextual"/>
            </w:rPr>
          </w:pPr>
          <w:r w:rsidRPr="00CB0AC0">
            <w:rPr>
              <w:rFonts w:ascii="Arial" w:hAnsi="Arial" w:cs="Arial"/>
            </w:rPr>
            <w:fldChar w:fldCharType="begin"/>
          </w:r>
          <w:r w:rsidRPr="00CB0AC0">
            <w:rPr>
              <w:rFonts w:ascii="Arial" w:hAnsi="Arial" w:cs="Arial"/>
            </w:rPr>
            <w:instrText xml:space="preserve"> TOC \o "1-3" \h \z \u </w:instrText>
          </w:r>
          <w:r w:rsidRPr="00CB0AC0">
            <w:rPr>
              <w:rFonts w:ascii="Arial" w:hAnsi="Arial" w:cs="Arial"/>
            </w:rPr>
            <w:fldChar w:fldCharType="separate"/>
          </w:r>
          <w:hyperlink w:anchor="_Toc174649607" w:history="1">
            <w:r w:rsidR="00CB0AC0" w:rsidRPr="00CB0AC0">
              <w:rPr>
                <w:rStyle w:val="Hyperlink"/>
                <w:rFonts w:ascii="Arial" w:hAnsi="Arial" w:cs="Arial"/>
                <w:noProof/>
              </w:rPr>
              <w:t>INTRODUCTION</w:t>
            </w:r>
            <w:r w:rsidR="00CB0AC0" w:rsidRPr="00CB0AC0">
              <w:rPr>
                <w:rFonts w:ascii="Arial" w:hAnsi="Arial" w:cs="Arial"/>
                <w:noProof/>
                <w:webHidden/>
              </w:rPr>
              <w:tab/>
            </w:r>
            <w:r w:rsidR="00CB0AC0" w:rsidRPr="00CB0AC0">
              <w:rPr>
                <w:rFonts w:ascii="Arial" w:hAnsi="Arial" w:cs="Arial"/>
                <w:noProof/>
                <w:webHidden/>
              </w:rPr>
              <w:fldChar w:fldCharType="begin"/>
            </w:r>
            <w:r w:rsidR="00CB0AC0" w:rsidRPr="00CB0AC0">
              <w:rPr>
                <w:rFonts w:ascii="Arial" w:hAnsi="Arial" w:cs="Arial"/>
                <w:noProof/>
                <w:webHidden/>
              </w:rPr>
              <w:instrText xml:space="preserve"> PAGEREF _Toc174649607 \h </w:instrText>
            </w:r>
            <w:r w:rsidR="00CB0AC0" w:rsidRPr="00CB0AC0">
              <w:rPr>
                <w:rFonts w:ascii="Arial" w:hAnsi="Arial" w:cs="Arial"/>
                <w:noProof/>
                <w:webHidden/>
              </w:rPr>
            </w:r>
            <w:r w:rsidR="00CB0AC0" w:rsidRPr="00CB0AC0">
              <w:rPr>
                <w:rFonts w:ascii="Arial" w:hAnsi="Arial" w:cs="Arial"/>
                <w:noProof/>
                <w:webHidden/>
              </w:rPr>
              <w:fldChar w:fldCharType="separate"/>
            </w:r>
            <w:r w:rsidR="00CB0AC0" w:rsidRPr="00CB0AC0">
              <w:rPr>
                <w:rFonts w:ascii="Arial" w:hAnsi="Arial" w:cs="Arial"/>
                <w:noProof/>
                <w:webHidden/>
              </w:rPr>
              <w:t>3</w:t>
            </w:r>
            <w:r w:rsidR="00CB0AC0" w:rsidRPr="00CB0AC0">
              <w:rPr>
                <w:rFonts w:ascii="Arial" w:hAnsi="Arial" w:cs="Arial"/>
                <w:noProof/>
                <w:webHidden/>
              </w:rPr>
              <w:fldChar w:fldCharType="end"/>
            </w:r>
          </w:hyperlink>
        </w:p>
        <w:p w14:paraId="03380E53" w14:textId="2556349A"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08" w:history="1">
            <w:r w:rsidRPr="00CB0AC0">
              <w:rPr>
                <w:rStyle w:val="Hyperlink"/>
                <w:rFonts w:ascii="Arial" w:hAnsi="Arial" w:cs="Arial"/>
                <w:noProof/>
              </w:rPr>
              <w:t>Community Outreach</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_Toc174649608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4</w:t>
            </w:r>
            <w:r w:rsidRPr="00CB0AC0">
              <w:rPr>
                <w:rFonts w:ascii="Arial" w:hAnsi="Arial" w:cs="Arial"/>
                <w:noProof/>
                <w:webHidden/>
              </w:rPr>
              <w:fldChar w:fldCharType="end"/>
            </w:r>
          </w:hyperlink>
        </w:p>
        <w:p w14:paraId="188A33C9" w14:textId="04DB7A57"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09" w:history="1">
            <w:r w:rsidRPr="00CB0AC0">
              <w:rPr>
                <w:rStyle w:val="Hyperlink"/>
                <w:rFonts w:ascii="Arial" w:hAnsi="Arial" w:cs="Arial"/>
                <w:bCs/>
                <w:noProof/>
              </w:rPr>
              <w:t>Methodology</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_Toc174649609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4</w:t>
            </w:r>
            <w:r w:rsidRPr="00CB0AC0">
              <w:rPr>
                <w:rFonts w:ascii="Arial" w:hAnsi="Arial" w:cs="Arial"/>
                <w:noProof/>
                <w:webHidden/>
              </w:rPr>
              <w:fldChar w:fldCharType="end"/>
            </w:r>
          </w:hyperlink>
        </w:p>
        <w:p w14:paraId="08F17141" w14:textId="0236978A"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0" w:history="1">
            <w:r w:rsidRPr="00CB0AC0">
              <w:rPr>
                <w:rStyle w:val="Hyperlink"/>
                <w:rFonts w:ascii="Arial" w:hAnsi="Arial" w:cs="Arial"/>
                <w:bCs/>
                <w:noProof/>
              </w:rPr>
              <w:t>Demographics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_Toc174649610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4</w:t>
            </w:r>
            <w:r w:rsidRPr="00CB0AC0">
              <w:rPr>
                <w:rFonts w:ascii="Arial" w:hAnsi="Arial" w:cs="Arial"/>
                <w:noProof/>
                <w:webHidden/>
              </w:rPr>
              <w:fldChar w:fldCharType="end"/>
            </w:r>
          </w:hyperlink>
        </w:p>
        <w:p w14:paraId="31927CD1" w14:textId="378393B0"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1" w:history="1">
            <w:r w:rsidRPr="00CB0AC0">
              <w:rPr>
                <w:rStyle w:val="Hyperlink"/>
                <w:rFonts w:ascii="Arial" w:hAnsi="Arial" w:cs="Arial"/>
                <w:bCs/>
                <w:noProof/>
              </w:rPr>
              <w:t>Ethical Considerations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_Toc174649611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5</w:t>
            </w:r>
            <w:r w:rsidRPr="00CB0AC0">
              <w:rPr>
                <w:rFonts w:ascii="Arial" w:hAnsi="Arial" w:cs="Arial"/>
                <w:noProof/>
                <w:webHidden/>
              </w:rPr>
              <w:fldChar w:fldCharType="end"/>
            </w:r>
          </w:hyperlink>
        </w:p>
        <w:p w14:paraId="5BCB2C39" w14:textId="1D62E824"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2" w:history="1">
            <w:r w:rsidRPr="00CB0AC0">
              <w:rPr>
                <w:rStyle w:val="Hyperlink"/>
                <w:rFonts w:ascii="Arial" w:hAnsi="Arial" w:cs="Arial"/>
                <w:bCs/>
                <w:noProof/>
              </w:rPr>
              <w:t>Findings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_Toc174649612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5</w:t>
            </w:r>
            <w:r w:rsidRPr="00CB0AC0">
              <w:rPr>
                <w:rFonts w:ascii="Arial" w:hAnsi="Arial" w:cs="Arial"/>
                <w:noProof/>
                <w:webHidden/>
              </w:rPr>
              <w:fldChar w:fldCharType="end"/>
            </w:r>
          </w:hyperlink>
        </w:p>
        <w:p w14:paraId="1C6C7FCB" w14:textId="2A6335D9"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13" w:history="1">
            <w:r w:rsidRPr="00CB0AC0">
              <w:rPr>
                <w:rStyle w:val="Hyperlink"/>
                <w:rFonts w:ascii="Arial" w:hAnsi="Arial" w:cs="Arial"/>
                <w:noProof/>
              </w:rPr>
              <w:t>Stakeholder Mapping Exercise</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_Toc174649613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6</w:t>
            </w:r>
            <w:r w:rsidRPr="00CB0AC0">
              <w:rPr>
                <w:rFonts w:ascii="Arial" w:hAnsi="Arial" w:cs="Arial"/>
                <w:noProof/>
                <w:webHidden/>
              </w:rPr>
              <w:fldChar w:fldCharType="end"/>
            </w:r>
          </w:hyperlink>
        </w:p>
        <w:p w14:paraId="096F569B" w14:textId="112032A5"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14" w:history="1">
            <w:r w:rsidRPr="00CB0AC0">
              <w:rPr>
                <w:rStyle w:val="Hyperlink"/>
                <w:rFonts w:ascii="Arial" w:hAnsi="Arial" w:cs="Arial"/>
                <w:noProof/>
              </w:rPr>
              <w:t>Community Engagement Plan</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_Toc174649614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6</w:t>
            </w:r>
            <w:r w:rsidRPr="00CB0AC0">
              <w:rPr>
                <w:rFonts w:ascii="Arial" w:hAnsi="Arial" w:cs="Arial"/>
                <w:noProof/>
                <w:webHidden/>
              </w:rPr>
              <w:fldChar w:fldCharType="end"/>
            </w:r>
          </w:hyperlink>
        </w:p>
        <w:p w14:paraId="0F5A3335" w14:textId="12BAEC85"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15" w:history="1">
            <w:r w:rsidRPr="00CB0AC0">
              <w:rPr>
                <w:rStyle w:val="Hyperlink"/>
                <w:rFonts w:ascii="Arial" w:hAnsi="Arial" w:cs="Arial"/>
                <w:noProof/>
              </w:rPr>
              <w:t>Practical Discussion</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_Toc174649615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9</w:t>
            </w:r>
            <w:r w:rsidRPr="00CB0AC0">
              <w:rPr>
                <w:rFonts w:ascii="Arial" w:hAnsi="Arial" w:cs="Arial"/>
                <w:noProof/>
                <w:webHidden/>
              </w:rPr>
              <w:fldChar w:fldCharType="end"/>
            </w:r>
          </w:hyperlink>
        </w:p>
        <w:p w14:paraId="126B22E4" w14:textId="56F79F58"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6" w:history="1">
            <w:r w:rsidRPr="00CB0AC0">
              <w:rPr>
                <w:rStyle w:val="Hyperlink"/>
                <w:rFonts w:ascii="Arial" w:hAnsi="Arial" w:cs="Arial"/>
                <w:bCs/>
                <w:noProof/>
              </w:rPr>
              <w:t>Benefits of Engagement</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_Toc174649616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9</w:t>
            </w:r>
            <w:r w:rsidRPr="00CB0AC0">
              <w:rPr>
                <w:rFonts w:ascii="Arial" w:hAnsi="Arial" w:cs="Arial"/>
                <w:noProof/>
                <w:webHidden/>
              </w:rPr>
              <w:fldChar w:fldCharType="end"/>
            </w:r>
          </w:hyperlink>
        </w:p>
        <w:p w14:paraId="332645DE" w14:textId="317914C1"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7" w:history="1">
            <w:r w:rsidRPr="00CB0AC0">
              <w:rPr>
                <w:rStyle w:val="Hyperlink"/>
                <w:rFonts w:ascii="Arial" w:hAnsi="Arial" w:cs="Arial"/>
                <w:bCs/>
                <w:noProof/>
              </w:rPr>
              <w:t>Personal Experiences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_Toc174649617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10</w:t>
            </w:r>
            <w:r w:rsidRPr="00CB0AC0">
              <w:rPr>
                <w:rFonts w:ascii="Arial" w:hAnsi="Arial" w:cs="Arial"/>
                <w:noProof/>
                <w:webHidden/>
              </w:rPr>
              <w:fldChar w:fldCharType="end"/>
            </w:r>
          </w:hyperlink>
        </w:p>
        <w:p w14:paraId="5E532299" w14:textId="16D3541F"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8" w:history="1">
            <w:r w:rsidRPr="00CB0AC0">
              <w:rPr>
                <w:rStyle w:val="Hyperlink"/>
                <w:rFonts w:ascii="Arial" w:hAnsi="Arial" w:cs="Arial"/>
                <w:bCs/>
                <w:noProof/>
              </w:rPr>
              <w:t>Techniques and Principles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_Toc174649618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11</w:t>
            </w:r>
            <w:r w:rsidRPr="00CB0AC0">
              <w:rPr>
                <w:rFonts w:ascii="Arial" w:hAnsi="Arial" w:cs="Arial"/>
                <w:noProof/>
                <w:webHidden/>
              </w:rPr>
              <w:fldChar w:fldCharType="end"/>
            </w:r>
          </w:hyperlink>
        </w:p>
        <w:p w14:paraId="36633654" w14:textId="55D2F694" w:rsidR="00CB0AC0" w:rsidRPr="00CB0AC0" w:rsidRDefault="00CB0AC0">
          <w:pPr>
            <w:pStyle w:val="TOC2"/>
            <w:tabs>
              <w:tab w:val="right" w:leader="dot" w:pos="9350"/>
            </w:tabs>
            <w:rPr>
              <w:rFonts w:ascii="Arial" w:eastAsiaTheme="minorEastAsia" w:hAnsi="Arial" w:cs="Arial"/>
              <w:noProof/>
              <w:kern w:val="2"/>
              <w:lang w:eastAsia="en-GB"/>
              <w14:ligatures w14:val="standardContextual"/>
            </w:rPr>
          </w:pPr>
          <w:hyperlink w:anchor="_Toc174649619" w:history="1">
            <w:r w:rsidRPr="00CB0AC0">
              <w:rPr>
                <w:rStyle w:val="Hyperlink"/>
                <w:rFonts w:ascii="Arial" w:hAnsi="Arial" w:cs="Arial"/>
                <w:bCs/>
                <w:noProof/>
              </w:rPr>
              <w:t>Recommendations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_Toc174649619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11</w:t>
            </w:r>
            <w:r w:rsidRPr="00CB0AC0">
              <w:rPr>
                <w:rFonts w:ascii="Arial" w:hAnsi="Arial" w:cs="Arial"/>
                <w:noProof/>
                <w:webHidden/>
              </w:rPr>
              <w:fldChar w:fldCharType="end"/>
            </w:r>
          </w:hyperlink>
        </w:p>
        <w:p w14:paraId="1727F9D4" w14:textId="0B933F17"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20" w:history="1">
            <w:r w:rsidRPr="00CB0AC0">
              <w:rPr>
                <w:rStyle w:val="Hyperlink"/>
                <w:rFonts w:ascii="Arial" w:hAnsi="Arial" w:cs="Arial"/>
                <w:noProof/>
              </w:rPr>
              <w:t>CONCLUSION</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_Toc174649620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12</w:t>
            </w:r>
            <w:r w:rsidRPr="00CB0AC0">
              <w:rPr>
                <w:rFonts w:ascii="Arial" w:hAnsi="Arial" w:cs="Arial"/>
                <w:noProof/>
                <w:webHidden/>
              </w:rPr>
              <w:fldChar w:fldCharType="end"/>
            </w:r>
          </w:hyperlink>
        </w:p>
        <w:p w14:paraId="73A7EE2A" w14:textId="5303D6A7" w:rsidR="00CB0AC0" w:rsidRPr="00CB0AC0" w:rsidRDefault="00CB0AC0">
          <w:pPr>
            <w:pStyle w:val="TOC1"/>
            <w:tabs>
              <w:tab w:val="right" w:leader="dot" w:pos="9350"/>
            </w:tabs>
            <w:rPr>
              <w:rFonts w:ascii="Arial" w:eastAsiaTheme="minorEastAsia" w:hAnsi="Arial" w:cs="Arial"/>
              <w:noProof/>
              <w:kern w:val="2"/>
              <w:lang w:eastAsia="en-GB"/>
              <w14:ligatures w14:val="standardContextual"/>
            </w:rPr>
          </w:pPr>
          <w:hyperlink w:anchor="_Toc174649621" w:history="1">
            <w:r w:rsidRPr="00CB0AC0">
              <w:rPr>
                <w:rStyle w:val="Hyperlink"/>
                <w:rFonts w:ascii="Arial" w:hAnsi="Arial" w:cs="Arial"/>
                <w:noProof/>
              </w:rPr>
              <w:t>REFERENCES</w:t>
            </w:r>
            <w:r w:rsidRPr="00CB0AC0">
              <w:rPr>
                <w:rFonts w:ascii="Arial" w:hAnsi="Arial" w:cs="Arial"/>
                <w:noProof/>
                <w:webHidden/>
              </w:rPr>
              <w:tab/>
            </w:r>
            <w:r w:rsidRPr="00CB0AC0">
              <w:rPr>
                <w:rFonts w:ascii="Arial" w:hAnsi="Arial" w:cs="Arial"/>
                <w:noProof/>
                <w:webHidden/>
              </w:rPr>
              <w:fldChar w:fldCharType="begin"/>
            </w:r>
            <w:r w:rsidRPr="00CB0AC0">
              <w:rPr>
                <w:rFonts w:ascii="Arial" w:hAnsi="Arial" w:cs="Arial"/>
                <w:noProof/>
                <w:webHidden/>
              </w:rPr>
              <w:instrText xml:space="preserve"> PAGEREF _Toc174649621 \h </w:instrText>
            </w:r>
            <w:r w:rsidRPr="00CB0AC0">
              <w:rPr>
                <w:rFonts w:ascii="Arial" w:hAnsi="Arial" w:cs="Arial"/>
                <w:noProof/>
                <w:webHidden/>
              </w:rPr>
            </w:r>
            <w:r w:rsidRPr="00CB0AC0">
              <w:rPr>
                <w:rFonts w:ascii="Arial" w:hAnsi="Arial" w:cs="Arial"/>
                <w:noProof/>
                <w:webHidden/>
              </w:rPr>
              <w:fldChar w:fldCharType="separate"/>
            </w:r>
            <w:r w:rsidRPr="00CB0AC0">
              <w:rPr>
                <w:rFonts w:ascii="Arial" w:hAnsi="Arial" w:cs="Arial"/>
                <w:noProof/>
                <w:webHidden/>
              </w:rPr>
              <w:t>12</w:t>
            </w:r>
            <w:r w:rsidRPr="00CB0AC0">
              <w:rPr>
                <w:rFonts w:ascii="Arial" w:hAnsi="Arial" w:cs="Arial"/>
                <w:noProof/>
                <w:webHidden/>
              </w:rPr>
              <w:fldChar w:fldCharType="end"/>
            </w:r>
          </w:hyperlink>
        </w:p>
        <w:p w14:paraId="5844AAEB" w14:textId="0C68AB49" w:rsidR="00313954" w:rsidRPr="00CB0AC0" w:rsidRDefault="00313954" w:rsidP="00313954">
          <w:pPr>
            <w:rPr>
              <w:rFonts w:ascii="Arial" w:hAnsi="Arial" w:cs="Arial"/>
            </w:rPr>
          </w:pPr>
          <w:r w:rsidRPr="00CB0AC0">
            <w:rPr>
              <w:rFonts w:ascii="Arial" w:hAnsi="Arial" w:cs="Arial"/>
              <w:b/>
              <w:bCs/>
              <w:noProof/>
            </w:rPr>
            <w:fldChar w:fldCharType="end"/>
          </w:r>
        </w:p>
      </w:sdtContent>
    </w:sdt>
    <w:p w14:paraId="5D5DD6E1" w14:textId="77777777" w:rsidR="00313954" w:rsidRPr="00CB0AC0" w:rsidRDefault="00313954">
      <w:pPr>
        <w:spacing w:line="259" w:lineRule="auto"/>
        <w:jc w:val="left"/>
        <w:rPr>
          <w:rFonts w:ascii="Arial" w:eastAsiaTheme="majorEastAsia" w:hAnsi="Arial" w:cs="Arial"/>
          <w:b/>
          <w:color w:val="000000" w:themeColor="text1"/>
          <w:sz w:val="28"/>
          <w:szCs w:val="32"/>
        </w:rPr>
      </w:pPr>
      <w:r w:rsidRPr="00CB0AC0">
        <w:rPr>
          <w:rFonts w:ascii="Arial" w:hAnsi="Arial" w:cs="Arial"/>
        </w:rPr>
        <w:br w:type="page"/>
      </w:r>
    </w:p>
    <w:p w14:paraId="740969F3" w14:textId="77777777" w:rsidR="00313954" w:rsidRPr="00CB0AC0" w:rsidRDefault="00313954" w:rsidP="00313954">
      <w:pPr>
        <w:pStyle w:val="Heading1"/>
        <w:rPr>
          <w:rFonts w:ascii="Arial" w:hAnsi="Arial" w:cs="Arial"/>
        </w:rPr>
      </w:pPr>
      <w:bookmarkStart w:id="0" w:name="_Toc174649607"/>
      <w:r w:rsidRPr="00CB0AC0">
        <w:rPr>
          <w:rFonts w:ascii="Arial" w:hAnsi="Arial" w:cs="Arial"/>
        </w:rPr>
        <w:t>INTRODUCTION</w:t>
      </w:r>
      <w:bookmarkEnd w:id="0"/>
    </w:p>
    <w:p w14:paraId="283284EB" w14:textId="77777777" w:rsidR="006D57E6" w:rsidRPr="00CB0AC0" w:rsidRDefault="000C572D" w:rsidP="006D57E6">
      <w:pPr>
        <w:rPr>
          <w:rFonts w:ascii="Arial" w:hAnsi="Arial" w:cs="Arial"/>
        </w:rPr>
      </w:pPr>
      <w:r w:rsidRPr="00CB0AC0">
        <w:rPr>
          <w:rFonts w:ascii="Arial" w:hAnsi="Arial" w:cs="Arial"/>
        </w:rPr>
        <w:tab/>
      </w:r>
      <w:r w:rsidR="006D57E6" w:rsidRPr="00CB0AC0">
        <w:rPr>
          <w:rFonts w:ascii="Arial" w:hAnsi="Arial" w:cs="Arial"/>
        </w:rPr>
        <w:t>Spalding is a dynamic town situated in Peterborough, and famous for being a cultural melting pot due to its many immigrants</w:t>
      </w:r>
      <w:r w:rsidRPr="00CB0AC0">
        <w:rPr>
          <w:rFonts w:ascii="Arial" w:hAnsi="Arial" w:cs="Arial"/>
        </w:rPr>
        <w:t xml:space="preserve"> (Boyce, 2020)</w:t>
      </w:r>
      <w:r w:rsidR="006D57E6" w:rsidRPr="00CB0AC0">
        <w:rPr>
          <w:rFonts w:ascii="Arial" w:hAnsi="Arial" w:cs="Arial"/>
        </w:rPr>
        <w:t xml:space="preserve">. Of these, the immigrant group of Eastern European especially those of Polish and Lithuanian origin is quite influential in the social and economic framework of the town. This community is engaged in production and processing of crops and crops-related products that are vital to </w:t>
      </w:r>
      <w:r w:rsidRPr="00CB0AC0">
        <w:rPr>
          <w:rFonts w:ascii="Arial" w:hAnsi="Arial" w:cs="Arial"/>
        </w:rPr>
        <w:t>Spalding</w:t>
      </w:r>
      <w:r w:rsidR="006D57E6" w:rsidRPr="00CB0AC0">
        <w:rPr>
          <w:rFonts w:ascii="Arial" w:hAnsi="Arial" w:cs="Arial"/>
        </w:rPr>
        <w:t xml:space="preserve"> economy.</w:t>
      </w:r>
    </w:p>
    <w:p w14:paraId="3521E5BE" w14:textId="77777777" w:rsidR="006D57E6" w:rsidRPr="00CB0AC0" w:rsidRDefault="000C572D" w:rsidP="006D57E6">
      <w:pPr>
        <w:rPr>
          <w:rFonts w:ascii="Arial" w:hAnsi="Arial" w:cs="Arial"/>
        </w:rPr>
      </w:pPr>
      <w:r w:rsidRPr="00CB0AC0">
        <w:rPr>
          <w:rFonts w:ascii="Arial" w:hAnsi="Arial" w:cs="Arial"/>
        </w:rPr>
        <w:tab/>
      </w:r>
      <w:r w:rsidR="006D57E6" w:rsidRPr="00CB0AC0">
        <w:rPr>
          <w:rFonts w:ascii="Arial" w:hAnsi="Arial" w:cs="Arial"/>
        </w:rPr>
        <w:t>This portfolio involves notifying the residents of the Eastern Europe region in order to determine their needs and issues in the society. These groups were selected because of their large economic contribution within this area and the possibility of improving their reintegration and interaction with society.</w:t>
      </w:r>
    </w:p>
    <w:p w14:paraId="7077709A" w14:textId="77777777" w:rsidR="00313954" w:rsidRPr="00CB0AC0" w:rsidRDefault="006D57E6" w:rsidP="006D57E6">
      <w:pPr>
        <w:rPr>
          <w:rFonts w:ascii="Arial" w:hAnsi="Arial" w:cs="Arial"/>
        </w:rPr>
      </w:pPr>
      <w:r w:rsidRPr="00CB0AC0">
        <w:rPr>
          <w:rFonts w:ascii="Arial" w:hAnsi="Arial" w:cs="Arial"/>
        </w:rPr>
        <w:t>This portfolio’s primary goals include the definition of community characteristics, recognition of stakeholders, and determination of ways for appropriate intervention. The goal of engaging the Eastern European community is to tackle challenges relevant to the community, including language, services, and assimilation. The concept of engaging the community is significant because this creates common unity, acknowledging one another and encouraging the constituents to be responsible and be useful to the community and others.</w:t>
      </w:r>
    </w:p>
    <w:p w14:paraId="3C9F5D85" w14:textId="77777777" w:rsidR="00CB0AC0" w:rsidRPr="00CB0AC0" w:rsidRDefault="00CB0AC0" w:rsidP="006D57E6">
      <w:pPr>
        <w:rPr>
          <w:rFonts w:ascii="Arial" w:hAnsi="Arial" w:cs="Arial"/>
        </w:rPr>
      </w:pPr>
    </w:p>
    <w:p w14:paraId="77E77807" w14:textId="77777777" w:rsidR="00CB0AC0" w:rsidRPr="00CB0AC0" w:rsidRDefault="00CB0AC0" w:rsidP="006D57E6">
      <w:pPr>
        <w:rPr>
          <w:rFonts w:ascii="Arial" w:hAnsi="Arial" w:cs="Arial"/>
        </w:rPr>
      </w:pPr>
    </w:p>
    <w:p w14:paraId="36BF0B89" w14:textId="77777777" w:rsidR="00CB0AC0" w:rsidRPr="00CB0AC0" w:rsidRDefault="00CB0AC0" w:rsidP="006D57E6">
      <w:pPr>
        <w:rPr>
          <w:rFonts w:ascii="Arial" w:hAnsi="Arial" w:cs="Arial"/>
        </w:rPr>
      </w:pPr>
    </w:p>
    <w:p w14:paraId="798DE0C4" w14:textId="77777777" w:rsidR="00CB0AC0" w:rsidRPr="00CB0AC0" w:rsidRDefault="00CB0AC0" w:rsidP="006D57E6">
      <w:pPr>
        <w:rPr>
          <w:rFonts w:ascii="Arial" w:hAnsi="Arial" w:cs="Arial"/>
        </w:rPr>
      </w:pPr>
    </w:p>
    <w:p w14:paraId="7FFA0F7D" w14:textId="77777777" w:rsidR="00CB0AC0" w:rsidRPr="00CB0AC0" w:rsidRDefault="00CB0AC0" w:rsidP="006D57E6">
      <w:pPr>
        <w:rPr>
          <w:rFonts w:ascii="Arial" w:hAnsi="Arial" w:cs="Arial"/>
        </w:rPr>
      </w:pPr>
    </w:p>
    <w:p w14:paraId="21A7DCDE" w14:textId="77777777" w:rsidR="00CB0AC0" w:rsidRPr="00CB0AC0" w:rsidRDefault="00CB0AC0" w:rsidP="006D57E6">
      <w:pPr>
        <w:rPr>
          <w:rFonts w:ascii="Arial" w:hAnsi="Arial" w:cs="Arial"/>
        </w:rPr>
      </w:pPr>
    </w:p>
    <w:p w14:paraId="3D380061" w14:textId="77777777" w:rsidR="00CB0AC0" w:rsidRPr="00CB0AC0" w:rsidRDefault="00CB0AC0" w:rsidP="006D57E6">
      <w:pPr>
        <w:rPr>
          <w:rFonts w:ascii="Arial" w:hAnsi="Arial" w:cs="Arial"/>
        </w:rPr>
      </w:pPr>
    </w:p>
    <w:p w14:paraId="597E9C32" w14:textId="77777777" w:rsidR="00CB0AC0" w:rsidRPr="00CB0AC0" w:rsidRDefault="00CB0AC0" w:rsidP="006D57E6">
      <w:pPr>
        <w:rPr>
          <w:rFonts w:ascii="Arial" w:hAnsi="Arial" w:cs="Arial"/>
        </w:rPr>
      </w:pPr>
    </w:p>
    <w:p w14:paraId="3127C832" w14:textId="77777777" w:rsidR="00313954" w:rsidRPr="00CB0AC0" w:rsidRDefault="00313954" w:rsidP="00CB0AC0">
      <w:pPr>
        <w:pStyle w:val="Heading1"/>
        <w:rPr>
          <w:rFonts w:ascii="Arial" w:hAnsi="Arial" w:cs="Arial"/>
        </w:rPr>
      </w:pPr>
      <w:bookmarkStart w:id="1" w:name="_Toc174649608"/>
      <w:r w:rsidRPr="00CB0AC0">
        <w:rPr>
          <w:rFonts w:ascii="Arial" w:hAnsi="Arial" w:cs="Arial"/>
        </w:rPr>
        <w:t>Community Outreach</w:t>
      </w:r>
      <w:bookmarkEnd w:id="1"/>
    </w:p>
    <w:p w14:paraId="5E37F091" w14:textId="69DE0BF4" w:rsidR="00313954" w:rsidRPr="00CB0AC0" w:rsidRDefault="000C572D" w:rsidP="00313954">
      <w:pPr>
        <w:rPr>
          <w:rFonts w:ascii="Arial" w:hAnsi="Arial" w:cs="Arial"/>
        </w:rPr>
      </w:pPr>
      <w:r w:rsidRPr="00CB0AC0">
        <w:rPr>
          <w:rFonts w:ascii="Arial" w:hAnsi="Arial" w:cs="Arial"/>
        </w:rPr>
        <w:tab/>
      </w:r>
      <w:r w:rsidR="006D57E6" w:rsidRPr="00CB0AC0">
        <w:rPr>
          <w:rFonts w:ascii="Arial" w:hAnsi="Arial" w:cs="Arial"/>
        </w:rPr>
        <w:t>The community outreach part of this assignment was devoted to interaction with the Eastern European immigrants living in the town of Spalding, Peterborough</w:t>
      </w:r>
      <w:r w:rsidRPr="00CB0AC0">
        <w:rPr>
          <w:rFonts w:ascii="Arial" w:hAnsi="Arial" w:cs="Arial"/>
        </w:rPr>
        <w:t xml:space="preserve"> (Barraclough, 2024)</w:t>
      </w:r>
      <w:r w:rsidR="006D57E6" w:rsidRPr="00CB0AC0">
        <w:rPr>
          <w:rFonts w:ascii="Arial" w:hAnsi="Arial" w:cs="Arial"/>
        </w:rPr>
        <w:t xml:space="preserve">. This community consists of the Poles and Lithuanians who have moved to this region in search of jobs in some of the growing sectors including horticulture and food industries. The goal of such efforts was to learn more about their social, </w:t>
      </w:r>
      <w:r w:rsidR="00CB0AC0" w:rsidRPr="00CB0AC0">
        <w:rPr>
          <w:rFonts w:ascii="Arial" w:hAnsi="Arial" w:cs="Arial"/>
        </w:rPr>
        <w:t>economic,</w:t>
      </w:r>
      <w:r w:rsidR="006D57E6" w:rsidRPr="00CB0AC0">
        <w:rPr>
          <w:rFonts w:ascii="Arial" w:hAnsi="Arial" w:cs="Arial"/>
        </w:rPr>
        <w:t xml:space="preserve"> and cultural situations and to explore how organizations could improve community relations.</w:t>
      </w:r>
    </w:p>
    <w:p w14:paraId="2314D2AE" w14:textId="77777777" w:rsidR="00313954" w:rsidRPr="00CB0AC0" w:rsidRDefault="00313954" w:rsidP="00CB0AC0">
      <w:pPr>
        <w:pStyle w:val="Heading2"/>
        <w:rPr>
          <w:rFonts w:ascii="Arial" w:hAnsi="Arial" w:cs="Arial"/>
        </w:rPr>
      </w:pPr>
      <w:bookmarkStart w:id="2" w:name="_Toc174649609"/>
      <w:r w:rsidRPr="00CB0AC0">
        <w:rPr>
          <w:rFonts w:ascii="Arial" w:hAnsi="Arial" w:cs="Arial"/>
          <w:bCs/>
        </w:rPr>
        <w:t>Methodology</w:t>
      </w:r>
      <w:bookmarkEnd w:id="2"/>
    </w:p>
    <w:p w14:paraId="70E3152E" w14:textId="77777777" w:rsidR="00313954" w:rsidRPr="00CB0AC0" w:rsidRDefault="000C572D" w:rsidP="00313954">
      <w:pPr>
        <w:rPr>
          <w:rFonts w:ascii="Arial" w:hAnsi="Arial" w:cs="Arial"/>
        </w:rPr>
      </w:pPr>
      <w:r w:rsidRPr="00CB0AC0">
        <w:rPr>
          <w:rFonts w:ascii="Arial" w:hAnsi="Arial" w:cs="Arial"/>
        </w:rPr>
        <w:tab/>
      </w:r>
      <w:r w:rsidR="006D57E6" w:rsidRPr="00CB0AC0">
        <w:rPr>
          <w:rFonts w:ascii="Arial" w:hAnsi="Arial" w:cs="Arial"/>
        </w:rPr>
        <w:t>Consequently, both quantitative and qualitative data collection procedures were applied in the study. This entailed engaging community leaders and groups in face-to-face interviews, using questionnaires, as well as attending the social functions organized by Eastern European ethnic groups. Among the strengths of the study, the use of semi-structured interviews, which enable having in-depth discussion with the stakeholders, such as local NGOs and cultural associations, to get insights into the community. The questionnaire was both online and on paper to get as many people as possible participating and hence different views. Also, observations made during cultural festivals and other social events provided explicit information on the experiences and struggles faced by the communities.</w:t>
      </w:r>
    </w:p>
    <w:p w14:paraId="52B079D9" w14:textId="77777777" w:rsidR="00313954" w:rsidRPr="00CB0AC0" w:rsidRDefault="00313954" w:rsidP="00CB0AC0">
      <w:pPr>
        <w:pStyle w:val="Heading2"/>
        <w:rPr>
          <w:rFonts w:ascii="Arial" w:hAnsi="Arial" w:cs="Arial"/>
        </w:rPr>
      </w:pPr>
      <w:bookmarkStart w:id="3" w:name="_Toc174649610"/>
      <w:r w:rsidRPr="00CB0AC0">
        <w:rPr>
          <w:rFonts w:ascii="Arial" w:hAnsi="Arial" w:cs="Arial"/>
          <w:bCs/>
        </w:rPr>
        <w:t>Demographics</w:t>
      </w:r>
      <w:bookmarkEnd w:id="3"/>
    </w:p>
    <w:p w14:paraId="573F68A6" w14:textId="77777777" w:rsidR="00313954" w:rsidRPr="00CB0AC0" w:rsidRDefault="000C572D" w:rsidP="00313954">
      <w:pPr>
        <w:rPr>
          <w:rFonts w:ascii="Arial" w:hAnsi="Arial" w:cs="Arial"/>
        </w:rPr>
      </w:pPr>
      <w:r w:rsidRPr="00CB0AC0">
        <w:rPr>
          <w:rFonts w:ascii="Arial" w:hAnsi="Arial" w:cs="Arial"/>
        </w:rPr>
        <w:tab/>
      </w:r>
      <w:r w:rsidR="006D57E6" w:rsidRPr="00CB0AC0">
        <w:rPr>
          <w:rFonts w:ascii="Arial" w:hAnsi="Arial" w:cs="Arial"/>
        </w:rPr>
        <w:t>The largest immigrant group that resides in Spalding is Eastern Europeans, and this group adds on the multicultural population in the town</w:t>
      </w:r>
      <w:r w:rsidRPr="00CB0AC0">
        <w:rPr>
          <w:rFonts w:ascii="Arial" w:hAnsi="Arial" w:cs="Arial"/>
        </w:rPr>
        <w:t xml:space="preserve"> (Zaban, 2022)</w:t>
      </w:r>
      <w:r w:rsidR="006D57E6" w:rsidRPr="00CB0AC0">
        <w:rPr>
          <w:rFonts w:ascii="Arial" w:hAnsi="Arial" w:cs="Arial"/>
        </w:rPr>
        <w:t>. Currently, it is believed that 10-15% of Spalding’s community has its roots in Eastern Europe with a great number of them being of Polish and Lithuanian origin. The community has youth, families with children, working population and few people of the retired age. The biggest portion of the population is engaged in low-skilled jobs in agricultural and food production sectors, which can explain migration in the context of the area. This demographic information reveals the community’s vital contribution to the economic base of the community, yet at the same time, shows that specific service requirements.</w:t>
      </w:r>
    </w:p>
    <w:p w14:paraId="369E9AF2" w14:textId="77777777" w:rsidR="00313954" w:rsidRPr="00CB0AC0" w:rsidRDefault="00313954" w:rsidP="00CB0AC0">
      <w:pPr>
        <w:pStyle w:val="Heading2"/>
        <w:rPr>
          <w:rFonts w:ascii="Arial" w:hAnsi="Arial" w:cs="Arial"/>
        </w:rPr>
      </w:pPr>
      <w:bookmarkStart w:id="4" w:name="_Toc174649611"/>
      <w:r w:rsidRPr="00CB0AC0">
        <w:rPr>
          <w:rFonts w:ascii="Arial" w:hAnsi="Arial" w:cs="Arial"/>
          <w:bCs/>
        </w:rPr>
        <w:t>Ethical Considerations</w:t>
      </w:r>
      <w:bookmarkEnd w:id="4"/>
    </w:p>
    <w:p w14:paraId="7DAB0C4E" w14:textId="77777777" w:rsidR="00313954" w:rsidRPr="00CB0AC0" w:rsidRDefault="000C572D" w:rsidP="00313954">
      <w:pPr>
        <w:rPr>
          <w:rFonts w:ascii="Arial" w:hAnsi="Arial" w:cs="Arial"/>
        </w:rPr>
      </w:pPr>
      <w:r w:rsidRPr="00CB0AC0">
        <w:rPr>
          <w:rFonts w:ascii="Arial" w:hAnsi="Arial" w:cs="Arial"/>
        </w:rPr>
        <w:tab/>
      </w:r>
      <w:r w:rsidR="006D57E6" w:rsidRPr="00CB0AC0">
        <w:rPr>
          <w:rFonts w:ascii="Arial" w:hAnsi="Arial" w:cs="Arial"/>
        </w:rPr>
        <w:t>Several factors of ethical consideration were exercised during the outreach in order to maintain the research and participants as well. All the interview and survey participants consented to their details being used in the study under anonymity and confidentiality. Cultural and language backgrounds were appreciated especially when it came to mam’s status in the country, job offers, and sharing of experiences. The participants were told of their privilege to withdraw from the study at any time with no repercussions being taken against them. Furthermore, the focus was made on the outreach activities which were developed with the possibilities of language barriers by offering a translation service when needed</w:t>
      </w:r>
      <w:r w:rsidR="00313954" w:rsidRPr="00CB0AC0">
        <w:rPr>
          <w:rFonts w:ascii="Arial" w:hAnsi="Arial" w:cs="Arial"/>
        </w:rPr>
        <w:t>.</w:t>
      </w:r>
    </w:p>
    <w:p w14:paraId="2603F6BC" w14:textId="77777777" w:rsidR="00313954" w:rsidRPr="00CB0AC0" w:rsidRDefault="00313954" w:rsidP="00CB0AC0">
      <w:pPr>
        <w:pStyle w:val="Heading2"/>
        <w:rPr>
          <w:rFonts w:ascii="Arial" w:hAnsi="Arial" w:cs="Arial"/>
        </w:rPr>
      </w:pPr>
      <w:bookmarkStart w:id="5" w:name="_Toc174649612"/>
      <w:r w:rsidRPr="00CB0AC0">
        <w:rPr>
          <w:rFonts w:ascii="Arial" w:hAnsi="Arial" w:cs="Arial"/>
          <w:bCs/>
        </w:rPr>
        <w:t>Findings</w:t>
      </w:r>
      <w:bookmarkEnd w:id="5"/>
    </w:p>
    <w:p w14:paraId="011D6171" w14:textId="77777777" w:rsidR="006D57E6" w:rsidRPr="00CB0AC0" w:rsidRDefault="000C572D" w:rsidP="006D57E6">
      <w:pPr>
        <w:rPr>
          <w:rFonts w:ascii="Arial" w:hAnsi="Arial" w:cs="Arial"/>
        </w:rPr>
      </w:pPr>
      <w:r w:rsidRPr="00CB0AC0">
        <w:rPr>
          <w:rFonts w:ascii="Arial" w:hAnsi="Arial" w:cs="Arial"/>
        </w:rPr>
        <w:tab/>
      </w:r>
      <w:r w:rsidR="006D57E6" w:rsidRPr="00CB0AC0">
        <w:rPr>
          <w:rFonts w:ascii="Arial" w:hAnsi="Arial" w:cs="Arial"/>
        </w:rPr>
        <w:t>The outreach established the following findings about the social, economic, and cultural context of the Eastern European community in Spalding</w:t>
      </w:r>
      <w:r w:rsidRPr="00CB0AC0">
        <w:rPr>
          <w:rFonts w:ascii="Arial" w:hAnsi="Arial" w:cs="Arial"/>
        </w:rPr>
        <w:t xml:space="preserve"> (Ramli et al, 2024)</w:t>
      </w:r>
      <w:r w:rsidR="006D57E6" w:rsidRPr="00CB0AC0">
        <w:rPr>
          <w:rFonts w:ascii="Arial" w:hAnsi="Arial" w:cs="Arial"/>
        </w:rPr>
        <w:t>. In economic area, most of them get employed in various industries in the community, however social issue concerning job insecurity, working conditions, and promotions are issues of worry. HIMA Socially, the challenge of language is still a problem, which limits the access to social services such as health and schooling. At a cultural level, the people gainfully endeavor at preserving their ethnicity and cultural practices by organizing cultural festivals and get-togethers. There are concerns for more absorption into other societies and more engagements with them for social integration health.</w:t>
      </w:r>
    </w:p>
    <w:p w14:paraId="5F2FE90A" w14:textId="77777777" w:rsidR="00313954" w:rsidRPr="00CB0AC0" w:rsidRDefault="000C572D" w:rsidP="006D57E6">
      <w:pPr>
        <w:rPr>
          <w:rFonts w:ascii="Arial" w:hAnsi="Arial" w:cs="Arial"/>
        </w:rPr>
      </w:pPr>
      <w:r w:rsidRPr="00CB0AC0">
        <w:rPr>
          <w:rFonts w:ascii="Arial" w:hAnsi="Arial" w:cs="Arial"/>
        </w:rPr>
        <w:tab/>
      </w:r>
      <w:r w:rsidR="006D57E6" w:rsidRPr="00CB0AC0">
        <w:rPr>
          <w:rFonts w:ascii="Arial" w:hAnsi="Arial" w:cs="Arial"/>
        </w:rPr>
        <w:t>In general, the participants’ testimonies demonstrated the successful and sometimes struggling Eastern Europeans’ role in the community of Spalding. Therefore, it is vital to design specific methods to serve their needs, for example, language, support programs, enhanced services, and cultural bridging programs. Thus, the following parts of the portfolio will expand on these observations and suggest ways to improve community engagement and help the Eastern European community in Spalding</w:t>
      </w:r>
      <w:r w:rsidR="00313954" w:rsidRPr="00CB0AC0">
        <w:rPr>
          <w:rFonts w:ascii="Arial" w:hAnsi="Arial" w:cs="Arial"/>
        </w:rPr>
        <w:t>.</w:t>
      </w:r>
    </w:p>
    <w:p w14:paraId="4C0C1F4B" w14:textId="77777777" w:rsidR="00313954" w:rsidRPr="00CB0AC0" w:rsidRDefault="00313954" w:rsidP="00CB0AC0">
      <w:pPr>
        <w:pStyle w:val="Heading1"/>
        <w:rPr>
          <w:rFonts w:ascii="Arial" w:hAnsi="Arial" w:cs="Arial"/>
        </w:rPr>
      </w:pPr>
      <w:bookmarkStart w:id="6" w:name="_Toc174649613"/>
      <w:r w:rsidRPr="00CB0AC0">
        <w:rPr>
          <w:rFonts w:ascii="Arial" w:hAnsi="Arial" w:cs="Arial"/>
        </w:rPr>
        <w:t>Stakeholder Mapping Exercise</w:t>
      </w:r>
      <w:bookmarkEnd w:id="6"/>
    </w:p>
    <w:p w14:paraId="08194C74" w14:textId="77777777" w:rsidR="00C6719D" w:rsidRPr="00CB0AC0" w:rsidRDefault="00C6719D" w:rsidP="00C6719D">
      <w:pPr>
        <w:rPr>
          <w:rFonts w:ascii="Arial" w:hAnsi="Arial" w:cs="Arial"/>
        </w:rPr>
      </w:pPr>
      <w:r w:rsidRPr="00CB0AC0">
        <w:rPr>
          <w:rFonts w:ascii="Arial" w:hAnsi="Arial" w:cs="Arial"/>
          <w:noProof/>
        </w:rPr>
        <w:drawing>
          <wp:inline distT="0" distB="0" distL="0" distR="0" wp14:anchorId="488B2E95" wp14:editId="1E86DC2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4D96A733" w14:textId="77777777" w:rsidR="00313954" w:rsidRPr="00CB0AC0" w:rsidRDefault="00313954" w:rsidP="00CB0AC0">
      <w:pPr>
        <w:pStyle w:val="Heading1"/>
        <w:rPr>
          <w:rFonts w:ascii="Arial" w:hAnsi="Arial" w:cs="Arial"/>
        </w:rPr>
      </w:pPr>
      <w:bookmarkStart w:id="7" w:name="_Toc174649614"/>
      <w:r w:rsidRPr="00CB0AC0">
        <w:rPr>
          <w:rFonts w:ascii="Arial" w:hAnsi="Arial" w:cs="Arial"/>
        </w:rPr>
        <w:t>Community Engagement Plan</w:t>
      </w:r>
      <w:bookmarkEnd w:id="7"/>
    </w:p>
    <w:p w14:paraId="27993E0C" w14:textId="77777777" w:rsidR="00C6719D" w:rsidRPr="00CB0AC0" w:rsidRDefault="00C6719D" w:rsidP="00C6719D">
      <w:pPr>
        <w:rPr>
          <w:rFonts w:ascii="Arial" w:hAnsi="Arial" w:cs="Arial"/>
          <w:b/>
        </w:rPr>
      </w:pPr>
      <w:r w:rsidRPr="00CB0AC0">
        <w:rPr>
          <w:rFonts w:ascii="Arial" w:hAnsi="Arial" w:cs="Arial"/>
          <w:b/>
        </w:rPr>
        <w:t>Slide 1</w:t>
      </w:r>
    </w:p>
    <w:p w14:paraId="3CEE2920" w14:textId="56D9DA17" w:rsidR="00CD08B3" w:rsidRPr="00CB0AC0" w:rsidRDefault="00CB0AC0" w:rsidP="000C572D">
      <w:pPr>
        <w:rPr>
          <w:rFonts w:ascii="Arial" w:hAnsi="Arial" w:cs="Arial"/>
        </w:rPr>
      </w:pPr>
      <w:r w:rsidRPr="00CB0AC0">
        <w:rPr>
          <w:noProof/>
        </w:rPr>
        <w:drawing>
          <wp:inline distT="0" distB="0" distL="0" distR="0" wp14:anchorId="7E908336" wp14:editId="1922D104">
            <wp:extent cx="5943600" cy="3343275"/>
            <wp:effectExtent l="0" t="0" r="0" b="9525"/>
            <wp:docPr id="9818367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83672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17AC9781" w14:textId="77777777" w:rsidR="00C6719D" w:rsidRPr="00CB0AC0" w:rsidRDefault="00C6719D" w:rsidP="000C572D">
      <w:pPr>
        <w:rPr>
          <w:rFonts w:ascii="Arial" w:hAnsi="Arial" w:cs="Arial"/>
          <w:b/>
        </w:rPr>
      </w:pPr>
      <w:r w:rsidRPr="00CB0AC0">
        <w:rPr>
          <w:rFonts w:ascii="Arial" w:hAnsi="Arial" w:cs="Arial"/>
          <w:b/>
        </w:rPr>
        <w:t>Slide 2</w:t>
      </w:r>
    </w:p>
    <w:p w14:paraId="533CF266" w14:textId="7444E1E7" w:rsidR="00C6719D" w:rsidRPr="00CB0AC0" w:rsidRDefault="00CB0AC0" w:rsidP="000C572D">
      <w:pPr>
        <w:rPr>
          <w:rFonts w:ascii="Arial" w:hAnsi="Arial" w:cs="Arial"/>
        </w:rPr>
      </w:pPr>
      <w:r w:rsidRPr="00CB0AC0">
        <w:rPr>
          <w:noProof/>
        </w:rPr>
        <w:drawing>
          <wp:inline distT="0" distB="0" distL="0" distR="0" wp14:anchorId="119B623E" wp14:editId="109D5C6A">
            <wp:extent cx="5943600" cy="3343275"/>
            <wp:effectExtent l="0" t="0" r="0" b="9525"/>
            <wp:docPr id="199929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9674"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642C1848" w14:textId="77777777" w:rsidR="00C6719D" w:rsidRPr="00CB0AC0" w:rsidRDefault="00C6719D" w:rsidP="000C572D">
      <w:pPr>
        <w:rPr>
          <w:rFonts w:ascii="Arial" w:hAnsi="Arial" w:cs="Arial"/>
          <w:b/>
        </w:rPr>
      </w:pPr>
      <w:r w:rsidRPr="00CB0AC0">
        <w:rPr>
          <w:rFonts w:ascii="Arial" w:hAnsi="Arial" w:cs="Arial"/>
          <w:b/>
        </w:rPr>
        <w:t>Slide 3</w:t>
      </w:r>
    </w:p>
    <w:p w14:paraId="0AAC6B36" w14:textId="60F25935" w:rsidR="00C6719D" w:rsidRPr="00CB0AC0" w:rsidRDefault="00CB0AC0" w:rsidP="000C572D">
      <w:pPr>
        <w:rPr>
          <w:rFonts w:ascii="Arial" w:hAnsi="Arial" w:cs="Arial"/>
        </w:rPr>
      </w:pPr>
      <w:r w:rsidRPr="00CB0AC0">
        <w:rPr>
          <w:noProof/>
        </w:rPr>
        <w:drawing>
          <wp:inline distT="0" distB="0" distL="0" distR="0" wp14:anchorId="4C552EEE" wp14:editId="6AC90DDD">
            <wp:extent cx="5943600" cy="3343275"/>
            <wp:effectExtent l="0" t="0" r="0" b="9525"/>
            <wp:docPr id="19148310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31005"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13999D0F" w14:textId="77777777" w:rsidR="00C6719D" w:rsidRPr="00CB0AC0" w:rsidRDefault="00C6719D" w:rsidP="000C572D">
      <w:pPr>
        <w:rPr>
          <w:rFonts w:ascii="Arial" w:hAnsi="Arial" w:cs="Arial"/>
          <w:b/>
        </w:rPr>
      </w:pPr>
      <w:r w:rsidRPr="00CB0AC0">
        <w:rPr>
          <w:rFonts w:ascii="Arial" w:hAnsi="Arial" w:cs="Arial"/>
          <w:b/>
        </w:rPr>
        <w:t xml:space="preserve">Notes: </w:t>
      </w:r>
    </w:p>
    <w:p w14:paraId="072B02E6" w14:textId="77777777" w:rsidR="00C6719D" w:rsidRPr="00CB0AC0" w:rsidRDefault="00C6719D" w:rsidP="00C6719D">
      <w:pPr>
        <w:rPr>
          <w:rFonts w:ascii="Arial" w:hAnsi="Arial" w:cs="Arial"/>
        </w:rPr>
      </w:pPr>
      <w:r w:rsidRPr="00CB0AC0">
        <w:rPr>
          <w:rFonts w:ascii="Arial" w:hAnsi="Arial" w:cs="Arial"/>
          <w:b/>
          <w:bCs/>
        </w:rPr>
        <w:t>Enhance Access to Services:</w:t>
      </w:r>
      <w:r w:rsidRPr="00CB0AC0">
        <w:rPr>
          <w:rFonts w:ascii="Arial" w:hAnsi="Arial" w:cs="Arial"/>
        </w:rPr>
        <w:t xml:space="preserve"> The latest standard aims to help the East European community receive the required degree of health care, education, and social services with/without addressing the related impediments (Llena-Nozal et al, 2022).</w:t>
      </w:r>
    </w:p>
    <w:p w14:paraId="181AD8BF" w14:textId="77777777" w:rsidR="00C6719D" w:rsidRPr="00CB0AC0" w:rsidRDefault="00C6719D" w:rsidP="00C6719D">
      <w:pPr>
        <w:rPr>
          <w:rFonts w:ascii="Arial" w:hAnsi="Arial" w:cs="Arial"/>
        </w:rPr>
      </w:pPr>
      <w:r w:rsidRPr="00CB0AC0">
        <w:rPr>
          <w:rFonts w:ascii="Arial" w:hAnsi="Arial" w:cs="Arial"/>
          <w:b/>
          <w:bCs/>
        </w:rPr>
        <w:t>Promote Cultural Integration:</w:t>
      </w:r>
      <w:r w:rsidRPr="00CB0AC0">
        <w:rPr>
          <w:rFonts w:ascii="Arial" w:hAnsi="Arial" w:cs="Arial"/>
        </w:rPr>
        <w:t xml:space="preserve"> Seek to promote appreciation of diversity and create a healthy relation between the Eastern Europeans and the rest of the Spalding community through interaction.</w:t>
      </w:r>
    </w:p>
    <w:p w14:paraId="58F9CAC9" w14:textId="77777777" w:rsidR="00C6719D" w:rsidRPr="00CB0AC0" w:rsidRDefault="00C6719D" w:rsidP="00C6719D">
      <w:pPr>
        <w:rPr>
          <w:rFonts w:ascii="Arial" w:hAnsi="Arial" w:cs="Arial"/>
        </w:rPr>
      </w:pPr>
      <w:r w:rsidRPr="00CB0AC0">
        <w:rPr>
          <w:rFonts w:ascii="Arial" w:hAnsi="Arial" w:cs="Arial"/>
          <w:b/>
          <w:bCs/>
        </w:rPr>
        <w:t>Empower Community Members:</w:t>
      </w:r>
      <w:r w:rsidRPr="00CB0AC0">
        <w:rPr>
          <w:rFonts w:ascii="Arial" w:hAnsi="Arial" w:cs="Arial"/>
        </w:rPr>
        <w:t xml:space="preserve"> Promote skill-building and opportunities for the members of the Eastern Europe for engaging in the local economy and contributing to the community.</w:t>
      </w:r>
    </w:p>
    <w:p w14:paraId="01E57217" w14:textId="77777777" w:rsidR="00C6719D" w:rsidRPr="00CB0AC0" w:rsidRDefault="00C6719D" w:rsidP="00C6719D">
      <w:pPr>
        <w:rPr>
          <w:rFonts w:ascii="Arial" w:hAnsi="Arial" w:cs="Arial"/>
        </w:rPr>
      </w:pPr>
      <w:r w:rsidRPr="00CB0AC0">
        <w:rPr>
          <w:rFonts w:ascii="Arial" w:hAnsi="Arial" w:cs="Arial"/>
          <w:b/>
          <w:bCs/>
        </w:rPr>
        <w:t>Foster Social Cohesion:</w:t>
      </w:r>
      <w:r w:rsidRPr="00CB0AC0">
        <w:rPr>
          <w:rFonts w:ascii="Arial" w:hAnsi="Arial" w:cs="Arial"/>
        </w:rPr>
        <w:t xml:space="preserve"> The inserted sign should also incorporate concepts of inclusion and community pride.</w:t>
      </w:r>
    </w:p>
    <w:p w14:paraId="5A569380" w14:textId="77777777" w:rsidR="00C6719D" w:rsidRPr="00CB0AC0" w:rsidRDefault="00C6719D" w:rsidP="00C6719D">
      <w:pPr>
        <w:rPr>
          <w:rFonts w:ascii="Arial" w:hAnsi="Arial" w:cs="Arial"/>
        </w:rPr>
      </w:pPr>
    </w:p>
    <w:p w14:paraId="466589B7" w14:textId="77777777" w:rsidR="00C6719D" w:rsidRPr="00CB0AC0" w:rsidRDefault="00C6719D" w:rsidP="000C572D">
      <w:pPr>
        <w:rPr>
          <w:rFonts w:ascii="Arial" w:hAnsi="Arial" w:cs="Arial"/>
        </w:rPr>
      </w:pPr>
    </w:p>
    <w:p w14:paraId="406117C2" w14:textId="12F4836E" w:rsidR="00C6719D" w:rsidRPr="00CB0AC0" w:rsidRDefault="00C6719D" w:rsidP="00C6719D">
      <w:pPr>
        <w:jc w:val="left"/>
        <w:rPr>
          <w:rFonts w:ascii="Arial" w:hAnsi="Arial" w:cs="Arial"/>
        </w:rPr>
      </w:pPr>
      <w:r w:rsidRPr="00CB0AC0">
        <w:rPr>
          <w:rFonts w:ascii="Arial" w:hAnsi="Arial" w:cs="Arial"/>
          <w:b/>
        </w:rPr>
        <w:t>Slide 4</w:t>
      </w:r>
      <w:r w:rsidRPr="00CB0AC0">
        <w:rPr>
          <w:rFonts w:ascii="Arial" w:hAnsi="Arial" w:cs="Arial"/>
        </w:rPr>
        <w:t xml:space="preserve"> </w:t>
      </w:r>
    </w:p>
    <w:p w14:paraId="4D4162BA" w14:textId="2534BAD7" w:rsidR="00CB0AC0" w:rsidRPr="00CB0AC0" w:rsidRDefault="00CB0AC0" w:rsidP="00C6719D">
      <w:pPr>
        <w:jc w:val="left"/>
        <w:rPr>
          <w:rFonts w:ascii="Arial" w:hAnsi="Arial" w:cs="Arial"/>
        </w:rPr>
      </w:pPr>
      <w:r w:rsidRPr="00CB0AC0">
        <w:rPr>
          <w:noProof/>
        </w:rPr>
        <w:drawing>
          <wp:inline distT="0" distB="0" distL="0" distR="0" wp14:anchorId="72F09FBF" wp14:editId="40023C88">
            <wp:extent cx="5943600" cy="3343275"/>
            <wp:effectExtent l="0" t="0" r="0" b="9525"/>
            <wp:docPr id="8557363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3631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67D944FE" w14:textId="77777777" w:rsidR="00C6719D" w:rsidRPr="00CB0AC0" w:rsidRDefault="00C6719D" w:rsidP="00C6719D">
      <w:pPr>
        <w:rPr>
          <w:rFonts w:ascii="Arial" w:hAnsi="Arial" w:cs="Arial"/>
          <w:b/>
          <w:bCs/>
        </w:rPr>
      </w:pPr>
      <w:r w:rsidRPr="00CB0AC0">
        <w:rPr>
          <w:rFonts w:ascii="Arial" w:hAnsi="Arial" w:cs="Arial"/>
          <w:b/>
          <w:bCs/>
        </w:rPr>
        <w:t>Notes:</w:t>
      </w:r>
    </w:p>
    <w:p w14:paraId="1538A41C" w14:textId="77777777" w:rsidR="00C6719D" w:rsidRPr="00CB0AC0" w:rsidRDefault="00C6719D" w:rsidP="00C6719D">
      <w:pPr>
        <w:rPr>
          <w:rFonts w:ascii="Arial" w:hAnsi="Arial" w:cs="Arial"/>
        </w:rPr>
      </w:pPr>
      <w:r w:rsidRPr="00CB0AC0">
        <w:rPr>
          <w:rFonts w:ascii="Arial" w:hAnsi="Arial" w:cs="Arial"/>
          <w:b/>
          <w:bCs/>
        </w:rPr>
        <w:t>Inclusivity:</w:t>
      </w:r>
      <w:r w:rsidRPr="00CB0AC0">
        <w:rPr>
          <w:rFonts w:ascii="Arial" w:hAnsi="Arial" w:cs="Arial"/>
        </w:rPr>
        <w:t xml:space="preserve"> It should be possible for every person residing in the community irrespective of their color or language ability to be a part of the community and enjoy services from the community (Oliver et al, 2020).</w:t>
      </w:r>
    </w:p>
    <w:p w14:paraId="38FC85DD" w14:textId="77777777" w:rsidR="00C6719D" w:rsidRPr="00CB0AC0" w:rsidRDefault="00C6719D" w:rsidP="00C6719D">
      <w:pPr>
        <w:rPr>
          <w:rFonts w:ascii="Arial" w:hAnsi="Arial" w:cs="Arial"/>
        </w:rPr>
      </w:pPr>
      <w:r w:rsidRPr="00CB0AC0">
        <w:rPr>
          <w:rFonts w:ascii="Arial" w:hAnsi="Arial" w:cs="Arial"/>
          <w:b/>
          <w:bCs/>
        </w:rPr>
        <w:t>Diversity:</w:t>
      </w:r>
      <w:r w:rsidRPr="00CB0AC0">
        <w:rPr>
          <w:rFonts w:ascii="Arial" w:hAnsi="Arial" w:cs="Arial"/>
        </w:rPr>
        <w:t xml:space="preserve"> They should respect the multicultural population of the Eastern Europeans while acknowledging that they are an asset to the social and economic life of Spalding.</w:t>
      </w:r>
    </w:p>
    <w:p w14:paraId="4AA831E5" w14:textId="77777777" w:rsidR="00C6719D" w:rsidRPr="00CB0AC0" w:rsidRDefault="00C6719D" w:rsidP="00C6719D">
      <w:pPr>
        <w:rPr>
          <w:rFonts w:ascii="Arial" w:hAnsi="Arial" w:cs="Arial"/>
        </w:rPr>
      </w:pPr>
      <w:r w:rsidRPr="00CB0AC0">
        <w:rPr>
          <w:rFonts w:ascii="Arial" w:hAnsi="Arial" w:cs="Arial"/>
          <w:b/>
          <w:bCs/>
        </w:rPr>
        <w:t>Sustainability:</w:t>
      </w:r>
      <w:r w:rsidRPr="00CB0AC0">
        <w:rPr>
          <w:rFonts w:ascii="Arial" w:hAnsi="Arial" w:cs="Arial"/>
        </w:rPr>
        <w:t xml:space="preserve"> Create management plans that are on the long-term objectives that will ensure sustainable development and substantive strength of the community.</w:t>
      </w:r>
    </w:p>
    <w:p w14:paraId="765F156E" w14:textId="3E81AB63" w:rsidR="00C6719D" w:rsidRPr="00CB0AC0" w:rsidRDefault="00C6719D" w:rsidP="00C6719D">
      <w:pPr>
        <w:rPr>
          <w:rFonts w:ascii="Arial" w:hAnsi="Arial" w:cs="Arial"/>
        </w:rPr>
      </w:pPr>
      <w:r w:rsidRPr="00CB0AC0">
        <w:rPr>
          <w:rFonts w:ascii="Arial" w:hAnsi="Arial" w:cs="Arial"/>
          <w:b/>
          <w:bCs/>
        </w:rPr>
        <w:t>Collaboration:</w:t>
      </w:r>
      <w:r w:rsidRPr="00CB0AC0">
        <w:rPr>
          <w:rFonts w:ascii="Arial" w:hAnsi="Arial" w:cs="Arial"/>
        </w:rPr>
        <w:t xml:space="preserve"> Build cooperation and synergy between the actors of a project and combine efforts and know-how in the benefit of a project.</w:t>
      </w:r>
    </w:p>
    <w:p w14:paraId="38C622A2" w14:textId="77777777" w:rsidR="00C6719D" w:rsidRPr="00CB0AC0" w:rsidRDefault="00C6719D" w:rsidP="00C6719D">
      <w:pPr>
        <w:rPr>
          <w:rFonts w:ascii="Arial" w:hAnsi="Arial" w:cs="Arial"/>
        </w:rPr>
      </w:pPr>
    </w:p>
    <w:p w14:paraId="242B7C7E" w14:textId="77777777" w:rsidR="00C6719D" w:rsidRPr="00CB0AC0" w:rsidRDefault="00C6719D" w:rsidP="00C6719D">
      <w:pPr>
        <w:rPr>
          <w:rFonts w:ascii="Arial" w:hAnsi="Arial" w:cs="Arial"/>
          <w:b/>
        </w:rPr>
      </w:pPr>
      <w:r w:rsidRPr="00CB0AC0">
        <w:rPr>
          <w:rFonts w:ascii="Arial" w:hAnsi="Arial" w:cs="Arial"/>
          <w:b/>
        </w:rPr>
        <w:t>Slide 5</w:t>
      </w:r>
    </w:p>
    <w:p w14:paraId="3353A6DF" w14:textId="769A8915" w:rsidR="00C6719D" w:rsidRPr="00CB0AC0" w:rsidRDefault="00CB0AC0" w:rsidP="000C572D">
      <w:pPr>
        <w:rPr>
          <w:rFonts w:ascii="Arial" w:hAnsi="Arial" w:cs="Arial"/>
        </w:rPr>
      </w:pPr>
      <w:r w:rsidRPr="00CB0AC0">
        <w:rPr>
          <w:noProof/>
        </w:rPr>
        <w:drawing>
          <wp:inline distT="0" distB="0" distL="0" distR="0" wp14:anchorId="2189D6AD" wp14:editId="5338A0E7">
            <wp:extent cx="5943600" cy="3343275"/>
            <wp:effectExtent l="0" t="0" r="0" b="9525"/>
            <wp:docPr id="57759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5949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B357C39" w14:textId="77777777" w:rsidR="00C6719D" w:rsidRPr="00CB0AC0" w:rsidRDefault="00C6719D" w:rsidP="00C6719D">
      <w:pPr>
        <w:rPr>
          <w:rFonts w:ascii="Arial" w:hAnsi="Arial" w:cs="Arial"/>
          <w:b/>
          <w:bCs/>
        </w:rPr>
      </w:pPr>
      <w:r w:rsidRPr="00CB0AC0">
        <w:rPr>
          <w:rFonts w:ascii="Arial" w:hAnsi="Arial" w:cs="Arial"/>
          <w:b/>
          <w:bCs/>
        </w:rPr>
        <w:t>Notes:</w:t>
      </w:r>
    </w:p>
    <w:p w14:paraId="3DEB6DED" w14:textId="77777777" w:rsidR="00C6719D" w:rsidRPr="00CB0AC0" w:rsidRDefault="00C6719D" w:rsidP="00C6719D">
      <w:pPr>
        <w:rPr>
          <w:rFonts w:ascii="Arial" w:hAnsi="Arial" w:cs="Arial"/>
        </w:rPr>
      </w:pPr>
      <w:r w:rsidRPr="00CB0AC0">
        <w:rPr>
          <w:rFonts w:ascii="Arial" w:hAnsi="Arial" w:cs="Arial"/>
          <w:b/>
          <w:bCs/>
        </w:rPr>
        <w:t>Language Support Programs:</w:t>
      </w:r>
      <w:r w:rsidRPr="00CB0AC0">
        <w:rPr>
          <w:rFonts w:ascii="Arial" w:hAnsi="Arial" w:cs="Arial"/>
        </w:rPr>
        <w:t xml:space="preserve"> Regarding language support, promote language classes, including English language courses, and translation services to foster the access to information and services (Aizawa et al, 2020). </w:t>
      </w:r>
    </w:p>
    <w:p w14:paraId="0BE4E110" w14:textId="77777777" w:rsidR="00C6719D" w:rsidRPr="00CB0AC0" w:rsidRDefault="00C6719D" w:rsidP="00C6719D">
      <w:pPr>
        <w:rPr>
          <w:rFonts w:ascii="Arial" w:hAnsi="Arial" w:cs="Arial"/>
        </w:rPr>
      </w:pPr>
      <w:r w:rsidRPr="00CB0AC0">
        <w:rPr>
          <w:rFonts w:ascii="Arial" w:hAnsi="Arial" w:cs="Arial"/>
          <w:b/>
          <w:bCs/>
        </w:rPr>
        <w:t>Cultural Exchange Activities:</w:t>
      </w:r>
      <w:r w:rsidRPr="00CB0AC0">
        <w:rPr>
          <w:rFonts w:ascii="Arial" w:hAnsi="Arial" w:cs="Arial"/>
        </w:rPr>
        <w:t xml:space="preserve"> Usually conduct cultural activities that can bring both the group of Eastern European people and other people in Spalding into contact and show respect towards one another.</w:t>
      </w:r>
    </w:p>
    <w:p w14:paraId="669ACC9F" w14:textId="77777777" w:rsidR="00C6719D" w:rsidRPr="00CB0AC0" w:rsidRDefault="00C6719D" w:rsidP="00C6719D">
      <w:pPr>
        <w:rPr>
          <w:rFonts w:ascii="Arial" w:hAnsi="Arial" w:cs="Arial"/>
        </w:rPr>
      </w:pPr>
      <w:r w:rsidRPr="00CB0AC0">
        <w:rPr>
          <w:rFonts w:ascii="Arial" w:hAnsi="Arial" w:cs="Arial"/>
          <w:b/>
          <w:bCs/>
        </w:rPr>
        <w:t>Community Skill Development:</w:t>
      </w:r>
      <w:r w:rsidRPr="00CB0AC0">
        <w:rPr>
          <w:rFonts w:ascii="Arial" w:hAnsi="Arial" w:cs="Arial"/>
        </w:rPr>
        <w:t xml:space="preserve"> Provide employment training and education to increase the chances of the eastern Europeans in seeking productive jobs and become productive citizens in the society.</w:t>
      </w:r>
    </w:p>
    <w:p w14:paraId="5BA8D73C" w14:textId="77777777" w:rsidR="00C6719D" w:rsidRPr="00CB0AC0" w:rsidRDefault="00C6719D" w:rsidP="00C6719D">
      <w:pPr>
        <w:rPr>
          <w:rFonts w:ascii="Arial" w:hAnsi="Arial" w:cs="Arial"/>
        </w:rPr>
      </w:pPr>
      <w:r w:rsidRPr="00CB0AC0">
        <w:rPr>
          <w:rFonts w:ascii="Arial" w:hAnsi="Arial" w:cs="Arial"/>
          <w:b/>
          <w:bCs/>
        </w:rPr>
        <w:t>Information and Resource Centers:</w:t>
      </w:r>
      <w:r w:rsidRPr="00CB0AC0">
        <w:rPr>
          <w:rFonts w:ascii="Arial" w:hAnsi="Arial" w:cs="Arial"/>
        </w:rPr>
        <w:t xml:space="preserve"> Build community resource centers that offer data, guidance, and assistance to the community members regarding housing, employment, and legal services, among others.</w:t>
      </w:r>
    </w:p>
    <w:p w14:paraId="77561314" w14:textId="77777777" w:rsidR="00C6719D" w:rsidRPr="00CB0AC0" w:rsidRDefault="00C6719D" w:rsidP="00C6719D">
      <w:pPr>
        <w:rPr>
          <w:rFonts w:ascii="Arial" w:hAnsi="Arial" w:cs="Arial"/>
        </w:rPr>
      </w:pPr>
    </w:p>
    <w:p w14:paraId="3C26D0E4" w14:textId="77777777" w:rsidR="00C6719D" w:rsidRPr="00CB0AC0" w:rsidRDefault="00C6719D" w:rsidP="00C6719D">
      <w:pPr>
        <w:rPr>
          <w:rFonts w:ascii="Arial" w:hAnsi="Arial" w:cs="Arial"/>
          <w:b/>
        </w:rPr>
      </w:pPr>
      <w:r w:rsidRPr="00CB0AC0">
        <w:rPr>
          <w:rFonts w:ascii="Arial" w:hAnsi="Arial" w:cs="Arial"/>
          <w:b/>
        </w:rPr>
        <w:t>Slide 6</w:t>
      </w:r>
    </w:p>
    <w:p w14:paraId="38288096" w14:textId="721668C5" w:rsidR="00C6719D" w:rsidRPr="00CB0AC0" w:rsidRDefault="00CB0AC0" w:rsidP="000C572D">
      <w:pPr>
        <w:rPr>
          <w:rFonts w:ascii="Arial" w:hAnsi="Arial" w:cs="Arial"/>
        </w:rPr>
      </w:pPr>
      <w:r w:rsidRPr="00CB0AC0">
        <w:rPr>
          <w:noProof/>
        </w:rPr>
        <w:drawing>
          <wp:inline distT="0" distB="0" distL="0" distR="0" wp14:anchorId="60BE4753" wp14:editId="0EAA5615">
            <wp:extent cx="5943600" cy="3343275"/>
            <wp:effectExtent l="0" t="0" r="0" b="9525"/>
            <wp:docPr id="1350538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538937"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4D9D875" w14:textId="77777777" w:rsidR="00C6719D" w:rsidRPr="00CB0AC0" w:rsidRDefault="00C6719D" w:rsidP="00C6719D">
      <w:pPr>
        <w:rPr>
          <w:rFonts w:ascii="Arial" w:hAnsi="Arial" w:cs="Arial"/>
          <w:b/>
          <w:bCs/>
        </w:rPr>
      </w:pPr>
      <w:r w:rsidRPr="00CB0AC0">
        <w:rPr>
          <w:rFonts w:ascii="Arial" w:hAnsi="Arial" w:cs="Arial"/>
          <w:b/>
          <w:bCs/>
        </w:rPr>
        <w:t>Notes:</w:t>
      </w:r>
    </w:p>
    <w:p w14:paraId="3451AB70" w14:textId="77777777" w:rsidR="00C6719D" w:rsidRPr="00CB0AC0" w:rsidRDefault="00C6719D" w:rsidP="00C6719D">
      <w:pPr>
        <w:rPr>
          <w:rFonts w:ascii="Arial" w:hAnsi="Arial" w:cs="Arial"/>
        </w:rPr>
      </w:pPr>
      <w:r w:rsidRPr="00CB0AC0">
        <w:rPr>
          <w:rFonts w:ascii="Arial" w:hAnsi="Arial" w:cs="Arial"/>
          <w:b/>
          <w:bCs/>
        </w:rPr>
        <w:t>Local Government and Councils:</w:t>
      </w:r>
      <w:r w:rsidRPr="00CB0AC0">
        <w:rPr>
          <w:rFonts w:ascii="Arial" w:hAnsi="Arial" w:cs="Arial"/>
        </w:rPr>
        <w:t xml:space="preserve"> Collaborate with local governments for policies and programs to serve the Eastern Europeans because they should be included in policies (Zeemering, 2021).</w:t>
      </w:r>
    </w:p>
    <w:p w14:paraId="3C2AC499" w14:textId="77777777" w:rsidR="00C6719D" w:rsidRPr="00CB0AC0" w:rsidRDefault="00C6719D" w:rsidP="00C6719D">
      <w:pPr>
        <w:rPr>
          <w:rFonts w:ascii="Arial" w:hAnsi="Arial" w:cs="Arial"/>
        </w:rPr>
      </w:pPr>
      <w:r w:rsidRPr="00CB0AC0">
        <w:rPr>
          <w:rFonts w:ascii="Arial" w:hAnsi="Arial" w:cs="Arial"/>
          <w:b/>
          <w:bCs/>
        </w:rPr>
        <w:t>Non-Governmental Organizations (NGOs):</w:t>
      </w:r>
      <w:r w:rsidRPr="00CB0AC0">
        <w:rPr>
          <w:rFonts w:ascii="Arial" w:hAnsi="Arial" w:cs="Arial"/>
        </w:rPr>
        <w:t xml:space="preserve"> Collaborate with NGOs involved in immigrant support to benefit from the wealth of experience and resources in offering quality programs and services.</w:t>
      </w:r>
    </w:p>
    <w:p w14:paraId="4FC50469" w14:textId="77777777" w:rsidR="00C6719D" w:rsidRPr="00CB0AC0" w:rsidRDefault="00C6719D" w:rsidP="00C6719D">
      <w:pPr>
        <w:rPr>
          <w:rFonts w:ascii="Arial" w:hAnsi="Arial" w:cs="Arial"/>
        </w:rPr>
      </w:pPr>
      <w:r w:rsidRPr="00CB0AC0">
        <w:rPr>
          <w:rFonts w:ascii="Arial" w:hAnsi="Arial" w:cs="Arial"/>
          <w:b/>
          <w:bCs/>
        </w:rPr>
        <w:t>Educational Institutions:</w:t>
      </w:r>
      <w:r w:rsidRPr="00CB0AC0">
        <w:rPr>
          <w:rFonts w:ascii="Arial" w:hAnsi="Arial" w:cs="Arial"/>
        </w:rPr>
        <w:t xml:space="preserve"> Co-operate with schools and colleges for operating language institutes, exchange programs and vocational training activities for the integration and the skills up gradation.</w:t>
      </w:r>
    </w:p>
    <w:p w14:paraId="54472063" w14:textId="77777777" w:rsidR="00C6719D" w:rsidRPr="00CB0AC0" w:rsidRDefault="00C6719D" w:rsidP="00C6719D">
      <w:pPr>
        <w:rPr>
          <w:rFonts w:ascii="Arial" w:hAnsi="Arial" w:cs="Arial"/>
        </w:rPr>
      </w:pPr>
      <w:r w:rsidRPr="00CB0AC0">
        <w:rPr>
          <w:rFonts w:ascii="Arial" w:hAnsi="Arial" w:cs="Arial"/>
          <w:b/>
          <w:bCs/>
        </w:rPr>
        <w:t>Community Groups and Associations:</w:t>
      </w:r>
      <w:r w:rsidRPr="00CB0AC0">
        <w:rPr>
          <w:rFonts w:ascii="Arial" w:hAnsi="Arial" w:cs="Arial"/>
        </w:rPr>
        <w:t xml:space="preserve"> Attend meetings for groups that have Eastern Europeans’ interest to ensure proper organization of cultural activities and celebrations that will create a sense of cultural identity.</w:t>
      </w:r>
    </w:p>
    <w:p w14:paraId="47B2538D" w14:textId="77777777" w:rsidR="00C6719D" w:rsidRPr="00CB0AC0" w:rsidRDefault="00C6719D" w:rsidP="00C6719D">
      <w:pPr>
        <w:rPr>
          <w:rFonts w:ascii="Arial" w:hAnsi="Arial" w:cs="Arial"/>
        </w:rPr>
      </w:pPr>
      <w:r w:rsidRPr="00CB0AC0">
        <w:rPr>
          <w:rFonts w:ascii="Arial" w:hAnsi="Arial" w:cs="Arial"/>
        </w:rPr>
        <w:tab/>
        <w:t>Through this proposed community engagement plan, Spalding can foster a culture of appreciation, inclusion, and recognition of the Eastern European community’s contribution to the town’s progress to everyone’s advantage.</w:t>
      </w:r>
    </w:p>
    <w:p w14:paraId="1F3C1D0B" w14:textId="77777777" w:rsidR="00C6719D" w:rsidRPr="00CB0AC0" w:rsidRDefault="00C6719D" w:rsidP="00C6719D">
      <w:pPr>
        <w:rPr>
          <w:rFonts w:ascii="Arial" w:hAnsi="Arial" w:cs="Arial"/>
          <w:b/>
        </w:rPr>
      </w:pPr>
      <w:r w:rsidRPr="00CB0AC0">
        <w:rPr>
          <w:rFonts w:ascii="Arial" w:hAnsi="Arial" w:cs="Arial"/>
          <w:b/>
        </w:rPr>
        <w:t>Slide 7</w:t>
      </w:r>
    </w:p>
    <w:p w14:paraId="6032FA26" w14:textId="26F7EB14" w:rsidR="00C6719D" w:rsidRPr="00CB0AC0" w:rsidRDefault="00CB0AC0" w:rsidP="000C572D">
      <w:pPr>
        <w:rPr>
          <w:rFonts w:ascii="Arial" w:hAnsi="Arial" w:cs="Arial"/>
        </w:rPr>
      </w:pPr>
      <w:r w:rsidRPr="00CB0AC0">
        <w:rPr>
          <w:noProof/>
        </w:rPr>
        <w:drawing>
          <wp:inline distT="0" distB="0" distL="0" distR="0" wp14:anchorId="10022A8C" wp14:editId="72C3E30D">
            <wp:extent cx="5943600" cy="3343275"/>
            <wp:effectExtent l="0" t="0" r="0" b="9525"/>
            <wp:docPr id="347266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68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1EB364C4" w14:textId="77777777" w:rsidR="00C6719D" w:rsidRPr="00CB0AC0" w:rsidRDefault="00C6719D" w:rsidP="000C572D">
      <w:pPr>
        <w:rPr>
          <w:rFonts w:ascii="Arial" w:hAnsi="Arial" w:cs="Arial"/>
          <w:b/>
        </w:rPr>
      </w:pPr>
      <w:r w:rsidRPr="00CB0AC0">
        <w:rPr>
          <w:rFonts w:ascii="Arial" w:hAnsi="Arial" w:cs="Arial"/>
          <w:b/>
        </w:rPr>
        <w:t>Slide 8</w:t>
      </w:r>
    </w:p>
    <w:p w14:paraId="632D6853" w14:textId="212080D0" w:rsidR="00C6719D" w:rsidRPr="00CB0AC0" w:rsidRDefault="00CB0AC0" w:rsidP="000C572D">
      <w:pPr>
        <w:rPr>
          <w:rFonts w:ascii="Arial" w:hAnsi="Arial" w:cs="Arial"/>
        </w:rPr>
      </w:pPr>
      <w:r w:rsidRPr="00CB0AC0">
        <w:rPr>
          <w:noProof/>
        </w:rPr>
        <w:drawing>
          <wp:inline distT="0" distB="0" distL="0" distR="0" wp14:anchorId="76FA71C4" wp14:editId="5DA654FD">
            <wp:extent cx="5943600" cy="3343275"/>
            <wp:effectExtent l="0" t="0" r="0" b="9525"/>
            <wp:docPr id="1856151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5113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6B47A6DE" w14:textId="77777777" w:rsidR="00C6719D" w:rsidRPr="00CB0AC0" w:rsidRDefault="00C6719D" w:rsidP="000C572D">
      <w:pPr>
        <w:rPr>
          <w:rFonts w:ascii="Arial" w:hAnsi="Arial" w:cs="Arial"/>
        </w:rPr>
      </w:pPr>
    </w:p>
    <w:p w14:paraId="0689F285" w14:textId="77777777" w:rsidR="00CB0AC0" w:rsidRPr="00CB0AC0" w:rsidRDefault="00CB0AC0" w:rsidP="000C572D">
      <w:pPr>
        <w:rPr>
          <w:rFonts w:ascii="Arial" w:hAnsi="Arial" w:cs="Arial"/>
        </w:rPr>
      </w:pPr>
    </w:p>
    <w:p w14:paraId="549A2B4A" w14:textId="77777777" w:rsidR="00CB0AC0" w:rsidRPr="00CB0AC0" w:rsidRDefault="00CB0AC0" w:rsidP="000C572D">
      <w:pPr>
        <w:rPr>
          <w:rFonts w:ascii="Arial" w:hAnsi="Arial" w:cs="Arial"/>
        </w:rPr>
      </w:pPr>
    </w:p>
    <w:p w14:paraId="7F3C24AC" w14:textId="77777777" w:rsidR="00CB0AC0" w:rsidRPr="00CB0AC0" w:rsidRDefault="00CB0AC0" w:rsidP="000C572D">
      <w:pPr>
        <w:rPr>
          <w:rFonts w:ascii="Arial" w:hAnsi="Arial" w:cs="Arial"/>
        </w:rPr>
      </w:pPr>
    </w:p>
    <w:p w14:paraId="73318E15" w14:textId="77777777" w:rsidR="00CB0AC0" w:rsidRPr="00CB0AC0" w:rsidRDefault="00CB0AC0" w:rsidP="000C572D">
      <w:pPr>
        <w:rPr>
          <w:rFonts w:ascii="Arial" w:hAnsi="Arial" w:cs="Arial"/>
        </w:rPr>
      </w:pPr>
    </w:p>
    <w:p w14:paraId="41ABA6A2" w14:textId="77777777" w:rsidR="00CB0AC0" w:rsidRPr="00CB0AC0" w:rsidRDefault="00CB0AC0" w:rsidP="000C572D">
      <w:pPr>
        <w:rPr>
          <w:rFonts w:ascii="Arial" w:hAnsi="Arial" w:cs="Arial"/>
        </w:rPr>
      </w:pPr>
    </w:p>
    <w:p w14:paraId="26BDF15C" w14:textId="77777777" w:rsidR="00CB0AC0" w:rsidRPr="00CB0AC0" w:rsidRDefault="00CB0AC0" w:rsidP="000C572D">
      <w:pPr>
        <w:rPr>
          <w:rFonts w:ascii="Arial" w:hAnsi="Arial" w:cs="Arial"/>
        </w:rPr>
      </w:pPr>
    </w:p>
    <w:p w14:paraId="7983C157" w14:textId="77777777" w:rsidR="00CB0AC0" w:rsidRPr="00CB0AC0" w:rsidRDefault="00CB0AC0" w:rsidP="000C572D">
      <w:pPr>
        <w:rPr>
          <w:rFonts w:ascii="Arial" w:hAnsi="Arial" w:cs="Arial"/>
        </w:rPr>
      </w:pPr>
    </w:p>
    <w:p w14:paraId="1FA31722" w14:textId="77777777" w:rsidR="00CB0AC0" w:rsidRPr="00CB0AC0" w:rsidRDefault="00CB0AC0" w:rsidP="000C572D">
      <w:pPr>
        <w:rPr>
          <w:rFonts w:ascii="Arial" w:hAnsi="Arial" w:cs="Arial"/>
        </w:rPr>
      </w:pPr>
    </w:p>
    <w:p w14:paraId="0738FD49" w14:textId="77777777" w:rsidR="00CB0AC0" w:rsidRPr="00CB0AC0" w:rsidRDefault="00CB0AC0" w:rsidP="000C572D">
      <w:pPr>
        <w:rPr>
          <w:rFonts w:ascii="Arial" w:hAnsi="Arial" w:cs="Arial"/>
        </w:rPr>
      </w:pPr>
    </w:p>
    <w:p w14:paraId="0C6E2D90" w14:textId="77777777" w:rsidR="00CB0AC0" w:rsidRPr="00CB0AC0" w:rsidRDefault="00CB0AC0" w:rsidP="000C572D">
      <w:pPr>
        <w:rPr>
          <w:rFonts w:ascii="Arial" w:hAnsi="Arial" w:cs="Arial"/>
        </w:rPr>
      </w:pPr>
    </w:p>
    <w:p w14:paraId="3A9B6434" w14:textId="77777777" w:rsidR="00CB0AC0" w:rsidRPr="00CB0AC0" w:rsidRDefault="00CB0AC0" w:rsidP="000C572D">
      <w:pPr>
        <w:rPr>
          <w:rFonts w:ascii="Arial" w:hAnsi="Arial" w:cs="Arial"/>
        </w:rPr>
      </w:pPr>
    </w:p>
    <w:p w14:paraId="36D98C08" w14:textId="77777777" w:rsidR="00313954" w:rsidRPr="00CB0AC0" w:rsidRDefault="00313954" w:rsidP="00CB0AC0">
      <w:pPr>
        <w:pStyle w:val="Heading1"/>
        <w:rPr>
          <w:rFonts w:ascii="Arial" w:hAnsi="Arial" w:cs="Arial"/>
        </w:rPr>
      </w:pPr>
      <w:bookmarkStart w:id="8" w:name="_Toc174649615"/>
      <w:r w:rsidRPr="00CB0AC0">
        <w:rPr>
          <w:rFonts w:ascii="Arial" w:hAnsi="Arial" w:cs="Arial"/>
        </w:rPr>
        <w:t>Practical Discussion</w:t>
      </w:r>
      <w:bookmarkEnd w:id="8"/>
    </w:p>
    <w:p w14:paraId="52DDF2A3" w14:textId="77777777" w:rsidR="00313954" w:rsidRPr="00CB0AC0" w:rsidRDefault="00E91E25" w:rsidP="00313954">
      <w:pPr>
        <w:rPr>
          <w:rFonts w:ascii="Arial" w:hAnsi="Arial" w:cs="Arial"/>
        </w:rPr>
      </w:pPr>
      <w:r w:rsidRPr="00CB0AC0">
        <w:rPr>
          <w:rFonts w:ascii="Arial" w:hAnsi="Arial" w:cs="Arial"/>
        </w:rPr>
        <w:tab/>
        <w:t>The immigrants from Eastern Europe living in Spalding Peterborough are a very vital part of the social and economic structure of the town</w:t>
      </w:r>
      <w:r w:rsidR="000C572D" w:rsidRPr="00CB0AC0">
        <w:rPr>
          <w:rFonts w:ascii="Arial" w:hAnsi="Arial" w:cs="Arial"/>
        </w:rPr>
        <w:t xml:space="preserve"> (Rogaly, 2020)</w:t>
      </w:r>
      <w:r w:rsidRPr="00CB0AC0">
        <w:rPr>
          <w:rFonts w:ascii="Arial" w:hAnsi="Arial" w:cs="Arial"/>
        </w:rPr>
        <w:t>. Stakeholder interaction within this community is useful in numerous ways; it promotes social inclusion and capacity among the targeted groups, it is also informative of the trends and issues within the community. In this section, the author discusses the advantages of engaging with stakeholders, recalls real-life meetings with local communities, provides descriptions of methods, and guidelines for their work with the communities.</w:t>
      </w:r>
    </w:p>
    <w:p w14:paraId="27B227FD" w14:textId="77777777" w:rsidR="00313954" w:rsidRPr="00CB0AC0" w:rsidRDefault="00313954" w:rsidP="00CB0AC0">
      <w:pPr>
        <w:pStyle w:val="Heading2"/>
        <w:rPr>
          <w:rFonts w:ascii="Arial" w:hAnsi="Arial" w:cs="Arial"/>
        </w:rPr>
      </w:pPr>
      <w:bookmarkStart w:id="9" w:name="_Toc174649616"/>
      <w:r w:rsidRPr="00CB0AC0">
        <w:rPr>
          <w:rFonts w:ascii="Arial" w:hAnsi="Arial" w:cs="Arial"/>
          <w:bCs/>
        </w:rPr>
        <w:t>Benefits of Engagement</w:t>
      </w:r>
      <w:bookmarkEnd w:id="9"/>
    </w:p>
    <w:p w14:paraId="78B4E767" w14:textId="77777777" w:rsidR="00313954" w:rsidRPr="00CB0AC0" w:rsidRDefault="000C572D" w:rsidP="00313954">
      <w:pPr>
        <w:rPr>
          <w:rFonts w:ascii="Arial" w:hAnsi="Arial" w:cs="Arial"/>
        </w:rPr>
      </w:pPr>
      <w:r w:rsidRPr="00CB0AC0">
        <w:rPr>
          <w:rFonts w:ascii="Arial" w:hAnsi="Arial" w:cs="Arial"/>
        </w:rPr>
        <w:tab/>
      </w:r>
      <w:r w:rsidR="00313954" w:rsidRPr="00CB0AC0">
        <w:rPr>
          <w:rFonts w:ascii="Arial" w:hAnsi="Arial" w:cs="Arial"/>
        </w:rPr>
        <w:t>Engaging with stakeholders within the Eastern European community brings several advantages:</w:t>
      </w:r>
    </w:p>
    <w:p w14:paraId="4F1E5A18" w14:textId="77777777" w:rsidR="00E91E25" w:rsidRPr="00CB0AC0" w:rsidRDefault="00E91E25" w:rsidP="00E91E25">
      <w:pPr>
        <w:numPr>
          <w:ilvl w:val="0"/>
          <w:numId w:val="8"/>
        </w:numPr>
        <w:rPr>
          <w:rFonts w:ascii="Arial" w:hAnsi="Arial" w:cs="Arial"/>
          <w:bCs/>
        </w:rPr>
      </w:pPr>
      <w:r w:rsidRPr="00CB0AC0">
        <w:rPr>
          <w:rFonts w:ascii="Arial" w:hAnsi="Arial" w:cs="Arial"/>
          <w:b/>
          <w:bCs/>
        </w:rPr>
        <w:t>Enhanced Social Cohesion:</w:t>
      </w:r>
      <w:r w:rsidRPr="00CB0AC0">
        <w:rPr>
          <w:rFonts w:ascii="Arial" w:hAnsi="Arial" w:cs="Arial"/>
          <w:bCs/>
        </w:rPr>
        <w:t xml:space="preserve"> Stakeholder engagement involves dialogue and interaction between the Eastern European community and other local groups which fosters understanding and respect. This can be said to have the effect of breaking barriers of culture and consequently enhancing unity of communities.</w:t>
      </w:r>
    </w:p>
    <w:p w14:paraId="5A733856" w14:textId="77777777" w:rsidR="00E91E25" w:rsidRPr="00CB0AC0" w:rsidRDefault="00E91E25" w:rsidP="000C572D">
      <w:pPr>
        <w:numPr>
          <w:ilvl w:val="0"/>
          <w:numId w:val="8"/>
        </w:numPr>
        <w:rPr>
          <w:rFonts w:ascii="Arial" w:hAnsi="Arial" w:cs="Arial"/>
          <w:bCs/>
        </w:rPr>
      </w:pPr>
      <w:r w:rsidRPr="00CB0AC0">
        <w:rPr>
          <w:rFonts w:ascii="Arial" w:hAnsi="Arial" w:cs="Arial"/>
          <w:b/>
          <w:bCs/>
        </w:rPr>
        <w:t>Community Empowerment:</w:t>
      </w:r>
      <w:r w:rsidRPr="00CB0AC0">
        <w:rPr>
          <w:rFonts w:ascii="Arial" w:hAnsi="Arial" w:cs="Arial"/>
          <w:bCs/>
        </w:rPr>
        <w:t xml:space="preserve"> Another advantage of engagement is that community members are empowered to express their needs and get involved in decision-making and initiatives</w:t>
      </w:r>
      <w:r w:rsidR="000C572D" w:rsidRPr="00CB0AC0">
        <w:rPr>
          <w:rFonts w:ascii="Arial" w:hAnsi="Arial" w:cs="Arial"/>
          <w:bCs/>
        </w:rPr>
        <w:t xml:space="preserve"> (Coy et al, 2021)</w:t>
      </w:r>
      <w:r w:rsidRPr="00CB0AC0">
        <w:rPr>
          <w:rFonts w:ascii="Arial" w:hAnsi="Arial" w:cs="Arial"/>
          <w:bCs/>
        </w:rPr>
        <w:t>. These are empowering that in turns increase the resilience capacity and level of self-sufficiency of communities.</w:t>
      </w:r>
    </w:p>
    <w:p w14:paraId="1145317B" w14:textId="77777777" w:rsidR="00E91E25" w:rsidRPr="00CB0AC0" w:rsidRDefault="00E91E25" w:rsidP="00E91E25">
      <w:pPr>
        <w:numPr>
          <w:ilvl w:val="0"/>
          <w:numId w:val="8"/>
        </w:numPr>
        <w:rPr>
          <w:rFonts w:ascii="Arial" w:hAnsi="Arial" w:cs="Arial"/>
          <w:bCs/>
        </w:rPr>
      </w:pPr>
      <w:r w:rsidRPr="00CB0AC0">
        <w:rPr>
          <w:rFonts w:ascii="Arial" w:hAnsi="Arial" w:cs="Arial"/>
          <w:b/>
          <w:bCs/>
        </w:rPr>
        <w:t>Economic Contributions:</w:t>
      </w:r>
      <w:r w:rsidRPr="00CB0AC0">
        <w:rPr>
          <w:rFonts w:ascii="Arial" w:hAnsi="Arial" w:cs="Arial"/>
          <w:bCs/>
        </w:rPr>
        <w:t xml:space="preserve"> Interacting with the local companies and charities enables expose ways, in which the immigrants from Eastern Europe would be useful to the economies.</w:t>
      </w:r>
    </w:p>
    <w:p w14:paraId="2688074A" w14:textId="77777777" w:rsidR="00313954" w:rsidRPr="00CB0AC0" w:rsidRDefault="00E91E25" w:rsidP="00E91E25">
      <w:pPr>
        <w:numPr>
          <w:ilvl w:val="0"/>
          <w:numId w:val="8"/>
        </w:numPr>
        <w:rPr>
          <w:rFonts w:ascii="Arial" w:hAnsi="Arial" w:cs="Arial"/>
        </w:rPr>
      </w:pPr>
      <w:r w:rsidRPr="00CB0AC0">
        <w:rPr>
          <w:rFonts w:ascii="Arial" w:hAnsi="Arial" w:cs="Arial"/>
          <w:b/>
          <w:bCs/>
        </w:rPr>
        <w:t>Cultural Exchange:</w:t>
      </w:r>
      <w:r w:rsidRPr="00CB0AC0">
        <w:rPr>
          <w:rFonts w:ascii="Arial" w:hAnsi="Arial" w:cs="Arial"/>
          <w:bCs/>
        </w:rPr>
        <w:t xml:space="preserve"> Engagement attempts can help build cultural exchanges, and therefore supplement and augment the cultural understandings of the people of Spalding.</w:t>
      </w:r>
    </w:p>
    <w:p w14:paraId="4B8C5FEC" w14:textId="77777777" w:rsidR="00313954" w:rsidRPr="00CB0AC0" w:rsidRDefault="00313954" w:rsidP="00CB0AC0">
      <w:pPr>
        <w:pStyle w:val="Heading2"/>
        <w:rPr>
          <w:rFonts w:ascii="Arial" w:hAnsi="Arial" w:cs="Arial"/>
        </w:rPr>
      </w:pPr>
      <w:bookmarkStart w:id="10" w:name="_Toc174649617"/>
      <w:r w:rsidRPr="00CB0AC0">
        <w:rPr>
          <w:rFonts w:ascii="Arial" w:hAnsi="Arial" w:cs="Arial"/>
          <w:bCs/>
        </w:rPr>
        <w:t>Personal Experiences</w:t>
      </w:r>
      <w:bookmarkEnd w:id="10"/>
    </w:p>
    <w:p w14:paraId="6348C9DB" w14:textId="77777777" w:rsidR="00313954" w:rsidRPr="00CB0AC0" w:rsidRDefault="000C572D" w:rsidP="00313954">
      <w:pPr>
        <w:rPr>
          <w:rFonts w:ascii="Arial" w:hAnsi="Arial" w:cs="Arial"/>
        </w:rPr>
      </w:pPr>
      <w:r w:rsidRPr="00CB0AC0">
        <w:rPr>
          <w:rFonts w:ascii="Arial" w:hAnsi="Arial" w:cs="Arial"/>
        </w:rPr>
        <w:tab/>
      </w:r>
      <w:r w:rsidR="00313954" w:rsidRPr="00CB0AC0">
        <w:rPr>
          <w:rFonts w:ascii="Arial" w:hAnsi="Arial" w:cs="Arial"/>
        </w:rPr>
        <w:t>Throughout the community outreach process, several personal experiences stood out, highlighting key learnings:</w:t>
      </w:r>
    </w:p>
    <w:p w14:paraId="7A74D0B0" w14:textId="77777777" w:rsidR="00E91E25" w:rsidRPr="00CB0AC0" w:rsidRDefault="00E91E25" w:rsidP="00E91E25">
      <w:pPr>
        <w:numPr>
          <w:ilvl w:val="0"/>
          <w:numId w:val="9"/>
        </w:numPr>
        <w:rPr>
          <w:rFonts w:ascii="Arial" w:hAnsi="Arial" w:cs="Arial"/>
          <w:bCs/>
        </w:rPr>
      </w:pPr>
      <w:r w:rsidRPr="00CB0AC0">
        <w:rPr>
          <w:rFonts w:ascii="Arial" w:hAnsi="Arial" w:cs="Arial"/>
          <w:b/>
          <w:bCs/>
        </w:rPr>
        <w:t>Importance of Listening:</w:t>
      </w:r>
      <w:r w:rsidRPr="00CB0AC0">
        <w:rPr>
          <w:rFonts w:ascii="Arial" w:hAnsi="Arial" w:cs="Arial"/>
          <w:bCs/>
        </w:rPr>
        <w:t xml:space="preserve"> Effective listening to community members was important since is quickly informed about their problems and insights. This understanding was very helpful in understanding and formulating ways of engaging with people by identifying their real needful requirements.</w:t>
      </w:r>
    </w:p>
    <w:p w14:paraId="6E76F2FC" w14:textId="77777777" w:rsidR="00E91E25" w:rsidRPr="00CB0AC0" w:rsidRDefault="00E91E25" w:rsidP="000C572D">
      <w:pPr>
        <w:numPr>
          <w:ilvl w:val="0"/>
          <w:numId w:val="9"/>
        </w:numPr>
        <w:rPr>
          <w:rFonts w:ascii="Arial" w:hAnsi="Arial" w:cs="Arial"/>
          <w:bCs/>
        </w:rPr>
      </w:pPr>
      <w:r w:rsidRPr="00CB0AC0">
        <w:rPr>
          <w:rFonts w:ascii="Arial" w:hAnsi="Arial" w:cs="Arial"/>
          <w:b/>
          <w:bCs/>
        </w:rPr>
        <w:t>Building Trust:</w:t>
      </w:r>
      <w:r w:rsidRPr="00CB0AC0">
        <w:rPr>
          <w:rFonts w:ascii="Arial" w:hAnsi="Arial" w:cs="Arial"/>
          <w:bCs/>
        </w:rPr>
        <w:t xml:space="preserve"> It was critical to engage with the community members, stakeholders in an appropriate manner, which entailed developing trust</w:t>
      </w:r>
      <w:r w:rsidR="000C572D" w:rsidRPr="00CB0AC0">
        <w:rPr>
          <w:rFonts w:ascii="Arial" w:hAnsi="Arial" w:cs="Arial"/>
          <w:bCs/>
        </w:rPr>
        <w:t xml:space="preserve"> (Ojikutu et al, 2021)</w:t>
      </w:r>
      <w:r w:rsidRPr="00CB0AC0">
        <w:rPr>
          <w:rFonts w:ascii="Arial" w:hAnsi="Arial" w:cs="Arial"/>
          <w:bCs/>
        </w:rPr>
        <w:t>. Through the process, there was a frank and clear working environment because people spend more time in the office so that they could trust each other.</w:t>
      </w:r>
    </w:p>
    <w:p w14:paraId="6454A1E9" w14:textId="77777777" w:rsidR="00E91E25" w:rsidRPr="00CB0AC0" w:rsidRDefault="00E91E25" w:rsidP="00E91E25">
      <w:pPr>
        <w:numPr>
          <w:ilvl w:val="0"/>
          <w:numId w:val="9"/>
        </w:numPr>
        <w:rPr>
          <w:rFonts w:ascii="Arial" w:hAnsi="Arial" w:cs="Arial"/>
          <w:bCs/>
        </w:rPr>
      </w:pPr>
      <w:r w:rsidRPr="00CB0AC0">
        <w:rPr>
          <w:rFonts w:ascii="Arial" w:hAnsi="Arial" w:cs="Arial"/>
          <w:b/>
          <w:bCs/>
        </w:rPr>
        <w:t>Adapting to Cultural Differences:</w:t>
      </w:r>
      <w:r w:rsidRPr="00CB0AC0">
        <w:rPr>
          <w:rFonts w:ascii="Arial" w:hAnsi="Arial" w:cs="Arial"/>
          <w:bCs/>
        </w:rPr>
        <w:t xml:space="preserve"> Implementing cultural sensitivity was crucial when dealing with the Eastern Europeans due to the differences in culture and communicating with them effectively thus required understanding. This comprised ensuring that language did not become a barrier in engagement, or cultural practices that may affect engagement.</w:t>
      </w:r>
    </w:p>
    <w:p w14:paraId="1DD444EF" w14:textId="77777777" w:rsidR="00313954" w:rsidRPr="00CB0AC0" w:rsidRDefault="00E91E25" w:rsidP="00E91E25">
      <w:pPr>
        <w:numPr>
          <w:ilvl w:val="0"/>
          <w:numId w:val="9"/>
        </w:numPr>
        <w:rPr>
          <w:rFonts w:ascii="Arial" w:hAnsi="Arial" w:cs="Arial"/>
        </w:rPr>
      </w:pPr>
      <w:r w:rsidRPr="00CB0AC0">
        <w:rPr>
          <w:rFonts w:ascii="Arial" w:hAnsi="Arial" w:cs="Arial"/>
          <w:b/>
          <w:bCs/>
        </w:rPr>
        <w:t>Flexibility and Adaptability:</w:t>
      </w:r>
      <w:r w:rsidRPr="00CB0AC0">
        <w:rPr>
          <w:rFonts w:ascii="Arial" w:hAnsi="Arial" w:cs="Arial"/>
          <w:bCs/>
        </w:rPr>
        <w:t xml:space="preserve"> The structure of Community Engagement adaptability in approach to CE was mainly to conduct adjustments based on the feedback and-sensitive circumstances Ensure that CE activities are only relevant and effective</w:t>
      </w:r>
      <w:r w:rsidR="00313954" w:rsidRPr="00CB0AC0">
        <w:rPr>
          <w:rFonts w:ascii="Arial" w:hAnsi="Arial" w:cs="Arial"/>
        </w:rPr>
        <w:t>.</w:t>
      </w:r>
    </w:p>
    <w:p w14:paraId="73653DC4" w14:textId="77777777" w:rsidR="00313954" w:rsidRPr="00CB0AC0" w:rsidRDefault="00313954" w:rsidP="00CB0AC0">
      <w:pPr>
        <w:pStyle w:val="Heading2"/>
        <w:rPr>
          <w:rFonts w:ascii="Arial" w:hAnsi="Arial" w:cs="Arial"/>
        </w:rPr>
      </w:pPr>
      <w:bookmarkStart w:id="11" w:name="_Toc174649618"/>
      <w:r w:rsidRPr="00CB0AC0">
        <w:rPr>
          <w:rFonts w:ascii="Arial" w:hAnsi="Arial" w:cs="Arial"/>
          <w:bCs/>
        </w:rPr>
        <w:t>Techniques and Principles</w:t>
      </w:r>
      <w:bookmarkEnd w:id="11"/>
    </w:p>
    <w:p w14:paraId="0DFF8A35" w14:textId="77777777" w:rsidR="00313954" w:rsidRPr="00CB0AC0" w:rsidRDefault="00313954" w:rsidP="00313954">
      <w:pPr>
        <w:rPr>
          <w:rFonts w:ascii="Arial" w:hAnsi="Arial" w:cs="Arial"/>
        </w:rPr>
      </w:pPr>
      <w:r w:rsidRPr="00CB0AC0">
        <w:rPr>
          <w:rFonts w:ascii="Arial" w:hAnsi="Arial" w:cs="Arial"/>
        </w:rPr>
        <w:t>Several practical techniques and principles can be applied to address community challenges:</w:t>
      </w:r>
    </w:p>
    <w:p w14:paraId="1F65CC6D" w14:textId="78AB8FF4" w:rsidR="00E91E25" w:rsidRPr="00CB0AC0" w:rsidRDefault="00E91E25" w:rsidP="00E91E25">
      <w:pPr>
        <w:numPr>
          <w:ilvl w:val="0"/>
          <w:numId w:val="10"/>
        </w:numPr>
        <w:rPr>
          <w:rFonts w:ascii="Arial" w:hAnsi="Arial" w:cs="Arial"/>
          <w:bCs/>
        </w:rPr>
      </w:pPr>
      <w:r w:rsidRPr="00CB0AC0">
        <w:rPr>
          <w:rFonts w:ascii="Arial" w:hAnsi="Arial" w:cs="Arial"/>
          <w:b/>
          <w:bCs/>
        </w:rPr>
        <w:t>Participatory Approaches:</w:t>
      </w:r>
      <w:r w:rsidRPr="00CB0AC0">
        <w:rPr>
          <w:rFonts w:ascii="Arial" w:hAnsi="Arial" w:cs="Arial"/>
          <w:bCs/>
        </w:rPr>
        <w:t xml:space="preserve"> Engaging the clients allows for their participation in decision making and </w:t>
      </w:r>
      <w:r w:rsidR="00CB0AC0" w:rsidRPr="00CB0AC0">
        <w:rPr>
          <w:rFonts w:ascii="Arial" w:hAnsi="Arial" w:cs="Arial"/>
          <w:bCs/>
        </w:rPr>
        <w:t>planning,</w:t>
      </w:r>
      <w:r w:rsidRPr="00CB0AC0">
        <w:rPr>
          <w:rFonts w:ascii="Arial" w:hAnsi="Arial" w:cs="Arial"/>
          <w:bCs/>
        </w:rPr>
        <w:t xml:space="preserve"> hence meeting their needs. This way of involving the people in the implementation enhances ownership of the initiatives started in the community.</w:t>
      </w:r>
    </w:p>
    <w:p w14:paraId="1F603BC7" w14:textId="77777777" w:rsidR="00313954" w:rsidRPr="00CB0AC0" w:rsidRDefault="00E91E25" w:rsidP="000C572D">
      <w:pPr>
        <w:numPr>
          <w:ilvl w:val="0"/>
          <w:numId w:val="10"/>
        </w:numPr>
        <w:rPr>
          <w:rFonts w:ascii="Arial" w:hAnsi="Arial" w:cs="Arial"/>
        </w:rPr>
      </w:pPr>
      <w:r w:rsidRPr="00CB0AC0">
        <w:rPr>
          <w:rFonts w:ascii="Arial" w:hAnsi="Arial" w:cs="Arial"/>
          <w:b/>
          <w:bCs/>
        </w:rPr>
        <w:t>Capacity Building:</w:t>
      </w:r>
      <w:r w:rsidRPr="00CB0AC0">
        <w:rPr>
          <w:rFonts w:ascii="Arial" w:hAnsi="Arial" w:cs="Arial"/>
          <w:bCs/>
        </w:rPr>
        <w:t xml:space="preserve"> Training and resources for the community member enable them to have adequate skills and capacity that would enable them to foster development within the community</w:t>
      </w:r>
      <w:r w:rsidR="000C572D" w:rsidRPr="00CB0AC0">
        <w:rPr>
          <w:rFonts w:ascii="Arial" w:hAnsi="Arial" w:cs="Arial"/>
          <w:bCs/>
        </w:rPr>
        <w:t xml:space="preserve"> (Coy et al, 2021)</w:t>
      </w:r>
      <w:r w:rsidRPr="00CB0AC0">
        <w:rPr>
          <w:rFonts w:ascii="Arial" w:hAnsi="Arial" w:cs="Arial"/>
          <w:bCs/>
        </w:rPr>
        <w:t>.</w:t>
      </w:r>
    </w:p>
    <w:p w14:paraId="49E21463" w14:textId="77777777" w:rsidR="00E91E25" w:rsidRPr="00CB0AC0" w:rsidRDefault="00E91E25" w:rsidP="00E91E25">
      <w:pPr>
        <w:numPr>
          <w:ilvl w:val="0"/>
          <w:numId w:val="10"/>
        </w:numPr>
        <w:rPr>
          <w:rFonts w:ascii="Arial" w:hAnsi="Arial" w:cs="Arial"/>
          <w:bCs/>
        </w:rPr>
      </w:pPr>
      <w:r w:rsidRPr="00CB0AC0">
        <w:rPr>
          <w:rFonts w:ascii="Arial" w:hAnsi="Arial" w:cs="Arial"/>
          <w:b/>
          <w:bCs/>
        </w:rPr>
        <w:t>Collaborative Partnerships:</w:t>
      </w:r>
      <w:r w:rsidRPr="00CB0AC0">
        <w:rPr>
          <w:rFonts w:ascii="Arial" w:hAnsi="Arial" w:cs="Arial"/>
          <w:bCs/>
        </w:rPr>
        <w:t xml:space="preserve"> Creating collaborations with the surrounding community organizations, companies, and authority’s increases efficiency in engagement by sharing resources and knowledge.</w:t>
      </w:r>
    </w:p>
    <w:p w14:paraId="013504AB" w14:textId="77777777" w:rsidR="00313954" w:rsidRPr="00CB0AC0" w:rsidRDefault="00E91E25" w:rsidP="00E91E25">
      <w:pPr>
        <w:numPr>
          <w:ilvl w:val="0"/>
          <w:numId w:val="10"/>
        </w:numPr>
        <w:rPr>
          <w:rFonts w:ascii="Arial" w:hAnsi="Arial" w:cs="Arial"/>
        </w:rPr>
      </w:pPr>
      <w:r w:rsidRPr="00CB0AC0">
        <w:rPr>
          <w:rFonts w:ascii="Arial" w:hAnsi="Arial" w:cs="Arial"/>
          <w:b/>
          <w:bCs/>
        </w:rPr>
        <w:t>Continuous Feedback and Evaluation:</w:t>
      </w:r>
      <w:r w:rsidRPr="00CB0AC0">
        <w:rPr>
          <w:rFonts w:ascii="Arial" w:hAnsi="Arial" w:cs="Arial"/>
          <w:bCs/>
        </w:rPr>
        <w:t xml:space="preserve"> Engagement evaluation and stakeholder feedback allow for continuous assessment and improvement for better comply with community needs</w:t>
      </w:r>
      <w:r w:rsidR="00313954" w:rsidRPr="00CB0AC0">
        <w:rPr>
          <w:rFonts w:ascii="Arial" w:hAnsi="Arial" w:cs="Arial"/>
        </w:rPr>
        <w:t>.</w:t>
      </w:r>
    </w:p>
    <w:p w14:paraId="6A00BA68" w14:textId="77777777" w:rsidR="00313954" w:rsidRPr="00CB0AC0" w:rsidRDefault="00313954" w:rsidP="00CB0AC0">
      <w:pPr>
        <w:pStyle w:val="Heading2"/>
        <w:rPr>
          <w:rFonts w:ascii="Arial" w:hAnsi="Arial" w:cs="Arial"/>
        </w:rPr>
      </w:pPr>
      <w:bookmarkStart w:id="12" w:name="_Toc174649619"/>
      <w:r w:rsidRPr="00CB0AC0">
        <w:rPr>
          <w:rFonts w:ascii="Arial" w:hAnsi="Arial" w:cs="Arial"/>
          <w:bCs/>
        </w:rPr>
        <w:t>Recommendations</w:t>
      </w:r>
      <w:bookmarkEnd w:id="12"/>
    </w:p>
    <w:p w14:paraId="38FC2104" w14:textId="77777777" w:rsidR="00313954" w:rsidRPr="00CB0AC0" w:rsidRDefault="00313954" w:rsidP="00313954">
      <w:pPr>
        <w:rPr>
          <w:rFonts w:ascii="Arial" w:hAnsi="Arial" w:cs="Arial"/>
        </w:rPr>
      </w:pPr>
      <w:r w:rsidRPr="00CB0AC0">
        <w:rPr>
          <w:rFonts w:ascii="Arial" w:hAnsi="Arial" w:cs="Arial"/>
        </w:rPr>
        <w:t>Based on the findings from the outreach and engagement activities, several recommendations can be made to improve engagement with the Eastern European community:</w:t>
      </w:r>
    </w:p>
    <w:p w14:paraId="3B8B77B6" w14:textId="51205A9B" w:rsidR="00E91E25" w:rsidRPr="00CB0AC0" w:rsidRDefault="00E91E25" w:rsidP="00E91E25">
      <w:pPr>
        <w:numPr>
          <w:ilvl w:val="0"/>
          <w:numId w:val="11"/>
        </w:numPr>
        <w:rPr>
          <w:rFonts w:ascii="Arial" w:hAnsi="Arial" w:cs="Arial"/>
          <w:bCs/>
        </w:rPr>
      </w:pPr>
      <w:r w:rsidRPr="00CB0AC0">
        <w:rPr>
          <w:rFonts w:ascii="Arial" w:hAnsi="Arial" w:cs="Arial"/>
          <w:b/>
          <w:bCs/>
        </w:rPr>
        <w:t>Develop Targeted Programs:</w:t>
      </w:r>
      <w:r w:rsidRPr="00CB0AC0">
        <w:rPr>
          <w:rFonts w:ascii="Arial" w:hAnsi="Arial" w:cs="Arial"/>
          <w:bCs/>
        </w:rPr>
        <w:t xml:space="preserve"> Ensure that there are programs that fulfil the special requirements like translation for those with language barrier or training for job proper for </w:t>
      </w:r>
      <w:r w:rsidR="00CB0AC0" w:rsidRPr="00CB0AC0">
        <w:rPr>
          <w:rFonts w:ascii="Arial" w:hAnsi="Arial" w:cs="Arial"/>
          <w:bCs/>
        </w:rPr>
        <w:t>people with disabilities</w:t>
      </w:r>
      <w:r w:rsidRPr="00CB0AC0">
        <w:rPr>
          <w:rFonts w:ascii="Arial" w:hAnsi="Arial" w:cs="Arial"/>
          <w:bCs/>
        </w:rPr>
        <w:t>.</w:t>
      </w:r>
    </w:p>
    <w:p w14:paraId="707C521D" w14:textId="77777777" w:rsidR="00E91E25" w:rsidRPr="00CB0AC0" w:rsidRDefault="00E91E25" w:rsidP="000C572D">
      <w:pPr>
        <w:numPr>
          <w:ilvl w:val="0"/>
          <w:numId w:val="11"/>
        </w:numPr>
        <w:rPr>
          <w:rFonts w:ascii="Arial" w:hAnsi="Arial" w:cs="Arial"/>
          <w:bCs/>
        </w:rPr>
      </w:pPr>
      <w:r w:rsidRPr="00CB0AC0">
        <w:rPr>
          <w:rFonts w:ascii="Arial" w:hAnsi="Arial" w:cs="Arial"/>
          <w:b/>
          <w:bCs/>
        </w:rPr>
        <w:t>Strengthen Communication Channels:</w:t>
      </w:r>
      <w:r w:rsidRPr="00CB0AC0">
        <w:rPr>
          <w:rFonts w:ascii="Arial" w:hAnsi="Arial" w:cs="Arial"/>
          <w:bCs/>
        </w:rPr>
        <w:t xml:space="preserve"> Provide direct and efficient feedback from the stakeholders and the community in order to make information accessible</w:t>
      </w:r>
      <w:r w:rsidR="000C572D" w:rsidRPr="00CB0AC0">
        <w:rPr>
          <w:rFonts w:ascii="Arial" w:hAnsi="Arial" w:cs="Arial"/>
          <w:bCs/>
        </w:rPr>
        <w:t xml:space="preserve"> (Smith et al, 2020)</w:t>
      </w:r>
      <w:r w:rsidRPr="00CB0AC0">
        <w:rPr>
          <w:rFonts w:ascii="Arial" w:hAnsi="Arial" w:cs="Arial"/>
          <w:bCs/>
        </w:rPr>
        <w:t>.</w:t>
      </w:r>
    </w:p>
    <w:p w14:paraId="6C6709EF" w14:textId="77777777" w:rsidR="00E91E25" w:rsidRPr="00CB0AC0" w:rsidRDefault="00E91E25" w:rsidP="00E91E25">
      <w:pPr>
        <w:numPr>
          <w:ilvl w:val="0"/>
          <w:numId w:val="11"/>
        </w:numPr>
        <w:rPr>
          <w:rFonts w:ascii="Arial" w:hAnsi="Arial" w:cs="Arial"/>
          <w:bCs/>
        </w:rPr>
      </w:pPr>
      <w:r w:rsidRPr="00CB0AC0">
        <w:rPr>
          <w:rFonts w:ascii="Arial" w:hAnsi="Arial" w:cs="Arial"/>
          <w:b/>
          <w:bCs/>
        </w:rPr>
        <w:t>Promote Cultural Events:</w:t>
      </w:r>
      <w:r w:rsidRPr="00CB0AC0">
        <w:rPr>
          <w:rFonts w:ascii="Arial" w:hAnsi="Arial" w:cs="Arial"/>
          <w:bCs/>
        </w:rPr>
        <w:t xml:space="preserve"> Cultural celebrations that promote the focus on the Eastern European culture, integration with the rest of the population and positive recognition.</w:t>
      </w:r>
    </w:p>
    <w:p w14:paraId="47F50924" w14:textId="77777777" w:rsidR="00E91E25" w:rsidRPr="00CB0AC0" w:rsidRDefault="00E91E25" w:rsidP="00E91E25">
      <w:pPr>
        <w:numPr>
          <w:ilvl w:val="0"/>
          <w:numId w:val="11"/>
        </w:numPr>
        <w:rPr>
          <w:rFonts w:ascii="Arial" w:hAnsi="Arial" w:cs="Arial"/>
          <w:bCs/>
        </w:rPr>
      </w:pPr>
      <w:r w:rsidRPr="00CB0AC0">
        <w:rPr>
          <w:rFonts w:ascii="Arial" w:hAnsi="Arial" w:cs="Arial"/>
          <w:b/>
          <w:bCs/>
        </w:rPr>
        <w:t>Encourage Community Involvement:</w:t>
      </w:r>
      <w:r w:rsidRPr="00CB0AC0">
        <w:rPr>
          <w:rFonts w:ascii="Arial" w:hAnsi="Arial" w:cs="Arial"/>
          <w:bCs/>
        </w:rPr>
        <w:t xml:space="preserve"> Promote activities that can engage citizens and involve them in local administration and development projects that positively affect their environment.</w:t>
      </w:r>
    </w:p>
    <w:p w14:paraId="1E6C7289" w14:textId="77777777" w:rsidR="00313954" w:rsidRPr="00CB0AC0" w:rsidRDefault="00E91E25" w:rsidP="00E91E25">
      <w:pPr>
        <w:numPr>
          <w:ilvl w:val="0"/>
          <w:numId w:val="11"/>
        </w:numPr>
        <w:rPr>
          <w:rFonts w:ascii="Arial" w:hAnsi="Arial" w:cs="Arial"/>
        </w:rPr>
      </w:pPr>
      <w:r w:rsidRPr="00CB0AC0">
        <w:rPr>
          <w:rFonts w:ascii="Arial" w:hAnsi="Arial" w:cs="Arial"/>
          <w:b/>
          <w:bCs/>
        </w:rPr>
        <w:t>Monitor and Adjust Strategies:</w:t>
      </w:r>
      <w:r w:rsidRPr="00CB0AC0">
        <w:rPr>
          <w:rFonts w:ascii="Arial" w:hAnsi="Arial" w:cs="Arial"/>
          <w:bCs/>
        </w:rPr>
        <w:t xml:space="preserve"> Engagement approaches should be checked periodically to determine whether adjustments are required to provide the most efficient and effective approaches</w:t>
      </w:r>
      <w:r w:rsidR="00313954" w:rsidRPr="00CB0AC0">
        <w:rPr>
          <w:rFonts w:ascii="Arial" w:hAnsi="Arial" w:cs="Arial"/>
        </w:rPr>
        <w:t>.</w:t>
      </w:r>
    </w:p>
    <w:p w14:paraId="4172BE0C" w14:textId="77777777" w:rsidR="00313954" w:rsidRPr="00CB0AC0" w:rsidRDefault="00E91E25" w:rsidP="00313954">
      <w:pPr>
        <w:rPr>
          <w:rFonts w:ascii="Arial" w:hAnsi="Arial" w:cs="Arial"/>
        </w:rPr>
      </w:pPr>
      <w:r w:rsidRPr="00CB0AC0">
        <w:rPr>
          <w:rFonts w:ascii="Arial" w:hAnsi="Arial" w:cs="Arial"/>
        </w:rPr>
        <w:tab/>
        <w:t>By adopting these recommendations, one is confident that Spalding will improve the conditions of the Eastern European immigrants, hence enhancing the comfort for the community and its impact on the town.</w:t>
      </w:r>
    </w:p>
    <w:p w14:paraId="69F1A8C0" w14:textId="77777777" w:rsidR="0064333C" w:rsidRPr="00CB0AC0" w:rsidRDefault="00313954" w:rsidP="00313954">
      <w:pPr>
        <w:pStyle w:val="Heading1"/>
        <w:rPr>
          <w:rFonts w:ascii="Arial" w:hAnsi="Arial" w:cs="Arial"/>
        </w:rPr>
      </w:pPr>
      <w:bookmarkStart w:id="13" w:name="_Toc174649620"/>
      <w:r w:rsidRPr="00CB0AC0">
        <w:rPr>
          <w:rFonts w:ascii="Arial" w:hAnsi="Arial" w:cs="Arial"/>
        </w:rPr>
        <w:t>CONCLUSION</w:t>
      </w:r>
      <w:bookmarkEnd w:id="13"/>
    </w:p>
    <w:p w14:paraId="76E3B825" w14:textId="6EAF9467" w:rsidR="00313954" w:rsidRPr="00CB0AC0" w:rsidRDefault="00E91E25" w:rsidP="000C572D">
      <w:pPr>
        <w:rPr>
          <w:rFonts w:ascii="Arial" w:hAnsi="Arial" w:cs="Arial"/>
        </w:rPr>
      </w:pPr>
      <w:r w:rsidRPr="00CB0AC0">
        <w:rPr>
          <w:rFonts w:ascii="Arial" w:hAnsi="Arial" w:cs="Arial"/>
        </w:rPr>
        <w:tab/>
        <w:t xml:space="preserve">In conclusion, is easily defined that the engagement efforts regarding the EE immigrants in Spalding have facilitated the identification of gaps and challenges, concerning service, incorporation, and capability building. With these challenges, stakeholders such as the communities, local businesses, and support groups can be involved in formulating and implementing real solutions. Community participation leads to creation of a strong society, boosts on the economy besides increasing inter and intra cultural marriages and good relations in and around Spalding. The benefits that such an engagement can have are the positive improvement of the quality of life for the community as it makes the Eastern Europeans feel wanted and a part of the society. Factors which should be considered in future </w:t>
      </w:r>
      <w:r w:rsidR="00CB0AC0" w:rsidRPr="00CB0AC0">
        <w:rPr>
          <w:rFonts w:ascii="Arial" w:hAnsi="Arial" w:cs="Arial"/>
        </w:rPr>
        <w:t>are</w:t>
      </w:r>
      <w:r w:rsidRPr="00CB0AC0">
        <w:rPr>
          <w:rFonts w:ascii="Arial" w:hAnsi="Arial" w:cs="Arial"/>
        </w:rPr>
        <w:t xml:space="preserve"> provision of language support programs, supporting of cultural activities, and embracing of more community activities. Subsequent identification of new needs within the community as well as the improvement of appropriate engagement strategies will guarantee that people will be open and welcoming to the city of Spalding.</w:t>
      </w:r>
    </w:p>
    <w:p w14:paraId="191C60F3" w14:textId="77777777" w:rsidR="00313954" w:rsidRPr="00CB0AC0" w:rsidRDefault="00313954" w:rsidP="00313954">
      <w:pPr>
        <w:pStyle w:val="Heading1"/>
        <w:rPr>
          <w:rFonts w:ascii="Arial" w:hAnsi="Arial" w:cs="Arial"/>
        </w:rPr>
      </w:pPr>
      <w:bookmarkStart w:id="14" w:name="_Toc174649621"/>
      <w:r w:rsidRPr="00CB0AC0">
        <w:rPr>
          <w:rFonts w:ascii="Arial" w:hAnsi="Arial" w:cs="Arial"/>
        </w:rPr>
        <w:t>REFERENCES</w:t>
      </w:r>
      <w:bookmarkEnd w:id="14"/>
    </w:p>
    <w:p w14:paraId="11E6963C"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Barraclough, G. ed., 2024. Social life in early England: historical association essays. Taylor &amp; Francis.</w:t>
      </w:r>
    </w:p>
    <w:p w14:paraId="561E3890"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Boyce, J., 2020. Imperial Mud: The Fight for the Fens. Icon Books.</w:t>
      </w:r>
    </w:p>
    <w:p w14:paraId="606CD210" w14:textId="5316801F" w:rsidR="000C572D" w:rsidRPr="00CB0AC0" w:rsidRDefault="000C572D" w:rsidP="000C572D">
      <w:pPr>
        <w:spacing w:line="240" w:lineRule="auto"/>
        <w:ind w:left="720" w:hanging="720"/>
        <w:rPr>
          <w:rFonts w:ascii="Arial" w:hAnsi="Arial" w:cs="Arial"/>
        </w:rPr>
      </w:pPr>
      <w:r w:rsidRPr="00CB0AC0">
        <w:rPr>
          <w:rFonts w:ascii="Arial" w:hAnsi="Arial" w:cs="Arial"/>
        </w:rPr>
        <w:t xml:space="preserve">Coy, D., Malekpour, S., Saeri, A.K. and Dargaville, R., 2021. Rethinking community empowerment in the energy transformation: A critical review of the definitions, </w:t>
      </w:r>
      <w:r w:rsidR="00CB0AC0" w:rsidRPr="00CB0AC0">
        <w:rPr>
          <w:rFonts w:ascii="Arial" w:hAnsi="Arial" w:cs="Arial"/>
        </w:rPr>
        <w:t>drivers,</w:t>
      </w:r>
      <w:r w:rsidRPr="00CB0AC0">
        <w:rPr>
          <w:rFonts w:ascii="Arial" w:hAnsi="Arial" w:cs="Arial"/>
        </w:rPr>
        <w:t xml:space="preserve"> and outcomes. Energy Research &amp; Social Science, 72, p.101871.</w:t>
      </w:r>
    </w:p>
    <w:p w14:paraId="49C3A347" w14:textId="5F93BC47" w:rsidR="000C572D" w:rsidRPr="00CB0AC0" w:rsidRDefault="000C572D" w:rsidP="000C572D">
      <w:pPr>
        <w:spacing w:line="240" w:lineRule="auto"/>
        <w:ind w:left="720" w:hanging="720"/>
        <w:rPr>
          <w:rFonts w:ascii="Arial" w:hAnsi="Arial" w:cs="Arial"/>
        </w:rPr>
      </w:pPr>
      <w:r w:rsidRPr="00CB0AC0">
        <w:rPr>
          <w:rFonts w:ascii="Arial" w:hAnsi="Arial" w:cs="Arial"/>
        </w:rPr>
        <w:t xml:space="preserve">Coy, D., Malekpour, S., Saeri, A.K. and Dargaville, R., 2021. Rethinking community empowerment in the energy transformation: A critical review of the definitions, </w:t>
      </w:r>
      <w:r w:rsidR="00CB0AC0" w:rsidRPr="00CB0AC0">
        <w:rPr>
          <w:rFonts w:ascii="Arial" w:hAnsi="Arial" w:cs="Arial"/>
        </w:rPr>
        <w:t>drivers,</w:t>
      </w:r>
      <w:r w:rsidRPr="00CB0AC0">
        <w:rPr>
          <w:rFonts w:ascii="Arial" w:hAnsi="Arial" w:cs="Arial"/>
        </w:rPr>
        <w:t xml:space="preserve"> and outcomes. Energy Research &amp; Social Science, 72, p.101871.</w:t>
      </w:r>
    </w:p>
    <w:p w14:paraId="715BB11C"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Ojikutu, B.O., Stephenson, K.E., Mayer, K.H. and Emmons, K.M., 2021. Building trust in COVID-19 vaccines and beyond through authentic community investment. American journal of public health, 111(3), pp.366-368.</w:t>
      </w:r>
    </w:p>
    <w:p w14:paraId="65A6629A"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Ramli, D.B., Shahar, S., Mat, S., Ibrahim, N. and Tohit, N.M., 2024. The effectiveness of preventive home visits on resilience and health-related outcomes among community dwelling older adults: A systematic review. Plos one, 19(7), p.e0306188.</w:t>
      </w:r>
    </w:p>
    <w:p w14:paraId="3B218949"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Rogaly, B., 2020. ‘If not you, they can get ten different workers in your place’: Racial capitalism and workplace resistance. In Stories from a migrant city (pp. 72-113). Manchester University Press.</w:t>
      </w:r>
    </w:p>
    <w:p w14:paraId="109C791C"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Smith, C.E., Yu, B., Srivastava, A., Halfaker, A., Terveen, L. and Zhu, H., 2020, April. Keeping community in the loop: Understanding wikipedia stakeholder values for machine learning-based systems. In Proceedings of the 2020 CHI Conference on Human Factors in Computing Systems (pp. 1-14).</w:t>
      </w:r>
    </w:p>
    <w:p w14:paraId="5DDED481" w14:textId="77777777" w:rsidR="000C572D" w:rsidRPr="00CB0AC0" w:rsidRDefault="000C572D" w:rsidP="000C572D">
      <w:pPr>
        <w:spacing w:line="240" w:lineRule="auto"/>
        <w:ind w:left="720" w:hanging="720"/>
        <w:rPr>
          <w:rFonts w:ascii="Arial" w:hAnsi="Arial" w:cs="Arial"/>
        </w:rPr>
      </w:pPr>
      <w:r w:rsidRPr="00CB0AC0">
        <w:rPr>
          <w:rFonts w:ascii="Arial" w:hAnsi="Arial" w:cs="Arial"/>
        </w:rPr>
        <w:t>Zaban, H., 2022. Urban ethnic enclaves and migration industries: The urban choices of mobile people. Urban Studies, 59(11), pp.2255-2275.</w:t>
      </w:r>
    </w:p>
    <w:sectPr w:rsidR="000C572D" w:rsidRPr="00CB0AC0" w:rsidSect="00CB0AC0">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2F3723" w14:textId="77777777" w:rsidR="00CB0AC0" w:rsidRDefault="00CB0AC0" w:rsidP="00CB0AC0">
      <w:pPr>
        <w:spacing w:after="0" w:line="240" w:lineRule="auto"/>
      </w:pPr>
      <w:r>
        <w:separator/>
      </w:r>
    </w:p>
  </w:endnote>
  <w:endnote w:type="continuationSeparator" w:id="0">
    <w:p w14:paraId="31267165" w14:textId="77777777" w:rsidR="00CB0AC0" w:rsidRDefault="00CB0AC0" w:rsidP="00CB0A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variable"/>
  </w:font>
  <w:font w:name="DejaVu Sans Mono">
    <w:altName w:val="Yu Gothic"/>
    <w:charset w:val="80"/>
    <w:family w:val="moder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2960129"/>
      <w:docPartObj>
        <w:docPartGallery w:val="Page Numbers (Bottom of Page)"/>
        <w:docPartUnique/>
      </w:docPartObj>
    </w:sdtPr>
    <w:sdtEndPr>
      <w:rPr>
        <w:color w:val="7F7F7F" w:themeColor="background1" w:themeShade="7F"/>
        <w:spacing w:val="60"/>
      </w:rPr>
    </w:sdtEndPr>
    <w:sdtContent>
      <w:p w14:paraId="4E69A8FE" w14:textId="53487FF2" w:rsidR="00CB0AC0" w:rsidRDefault="00CB0AC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45CDB004" w14:textId="77777777" w:rsidR="00CB0AC0" w:rsidRDefault="00CB0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845D26" w14:textId="77777777" w:rsidR="00CB0AC0" w:rsidRDefault="00CB0AC0" w:rsidP="00CB0AC0">
      <w:pPr>
        <w:spacing w:after="0" w:line="240" w:lineRule="auto"/>
      </w:pPr>
      <w:r>
        <w:separator/>
      </w:r>
    </w:p>
  </w:footnote>
  <w:footnote w:type="continuationSeparator" w:id="0">
    <w:p w14:paraId="1AA15E41" w14:textId="77777777" w:rsidR="00CB0AC0" w:rsidRDefault="00CB0AC0" w:rsidP="00CB0A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167147"/>
    <w:multiLevelType w:val="multilevel"/>
    <w:tmpl w:val="E1369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F5510C"/>
    <w:multiLevelType w:val="multilevel"/>
    <w:tmpl w:val="02829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CE5ACF"/>
    <w:multiLevelType w:val="multilevel"/>
    <w:tmpl w:val="F8C68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785D24"/>
    <w:multiLevelType w:val="multilevel"/>
    <w:tmpl w:val="E6141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D175F6"/>
    <w:multiLevelType w:val="multilevel"/>
    <w:tmpl w:val="3FB6B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7D7D9E"/>
    <w:multiLevelType w:val="multilevel"/>
    <w:tmpl w:val="F4389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5742A0"/>
    <w:multiLevelType w:val="multilevel"/>
    <w:tmpl w:val="82928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5681AE7"/>
    <w:multiLevelType w:val="multilevel"/>
    <w:tmpl w:val="6EEA9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8508C9"/>
    <w:multiLevelType w:val="multilevel"/>
    <w:tmpl w:val="787C9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AA0B40"/>
    <w:multiLevelType w:val="multilevel"/>
    <w:tmpl w:val="B5AC305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7AB66C7A"/>
    <w:multiLevelType w:val="multilevel"/>
    <w:tmpl w:val="AA7CC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4780094">
    <w:abstractNumId w:val="6"/>
  </w:num>
  <w:num w:numId="2" w16cid:durableId="620113833">
    <w:abstractNumId w:val="1"/>
  </w:num>
  <w:num w:numId="3" w16cid:durableId="922373161">
    <w:abstractNumId w:val="4"/>
  </w:num>
  <w:num w:numId="4" w16cid:durableId="1759136455">
    <w:abstractNumId w:val="3"/>
  </w:num>
  <w:num w:numId="5" w16cid:durableId="1094545571">
    <w:abstractNumId w:val="10"/>
  </w:num>
  <w:num w:numId="6" w16cid:durableId="2101757140">
    <w:abstractNumId w:val="5"/>
  </w:num>
  <w:num w:numId="7" w16cid:durableId="1902596236">
    <w:abstractNumId w:val="9"/>
  </w:num>
  <w:num w:numId="8" w16cid:durableId="1854567589">
    <w:abstractNumId w:val="8"/>
  </w:num>
  <w:num w:numId="9" w16cid:durableId="1518420096">
    <w:abstractNumId w:val="7"/>
  </w:num>
  <w:num w:numId="10" w16cid:durableId="1232351423">
    <w:abstractNumId w:val="0"/>
  </w:num>
  <w:num w:numId="11" w16cid:durableId="7231384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954"/>
    <w:rsid w:val="000C572D"/>
    <w:rsid w:val="00110427"/>
    <w:rsid w:val="001A7644"/>
    <w:rsid w:val="001D49F9"/>
    <w:rsid w:val="002E4F0E"/>
    <w:rsid w:val="00313954"/>
    <w:rsid w:val="005C61E5"/>
    <w:rsid w:val="0064333C"/>
    <w:rsid w:val="006B0ACA"/>
    <w:rsid w:val="006D57E6"/>
    <w:rsid w:val="0072510E"/>
    <w:rsid w:val="0085017E"/>
    <w:rsid w:val="00947EF9"/>
    <w:rsid w:val="009E1834"/>
    <w:rsid w:val="00C6719D"/>
    <w:rsid w:val="00CB0AC0"/>
    <w:rsid w:val="00CD08B3"/>
    <w:rsid w:val="00D34CE8"/>
    <w:rsid w:val="00E91E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FB658"/>
  <w15:chartTrackingRefBased/>
  <w15:docId w15:val="{B40454D4-4A7C-4F24-88C9-541E36817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644"/>
    <w:pPr>
      <w:spacing w:line="360" w:lineRule="auto"/>
      <w:jc w:val="both"/>
    </w:pPr>
    <w:rPr>
      <w:lang w:val="en-GB"/>
    </w:rPr>
  </w:style>
  <w:style w:type="paragraph" w:styleId="Heading1">
    <w:name w:val="heading 1"/>
    <w:basedOn w:val="Normal"/>
    <w:next w:val="Normal"/>
    <w:link w:val="Heading1Char"/>
    <w:autoRedefine/>
    <w:uiPriority w:val="9"/>
    <w:qFormat/>
    <w:rsid w:val="00313954"/>
    <w:pPr>
      <w:keepNext/>
      <w:keepLines/>
      <w:spacing w:before="360" w:after="12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13954"/>
    <w:pPr>
      <w:keepNext/>
      <w:keepLines/>
      <w:widowControl w:val="0"/>
      <w:autoSpaceDE w:val="0"/>
      <w:autoSpaceDN w:val="0"/>
      <w:spacing w:before="160" w:after="120"/>
      <w:outlineLvl w:val="1"/>
    </w:pPr>
    <w:rPr>
      <w:rFonts w:eastAsiaTheme="majorEastAsia" w:cstheme="majorBidi"/>
      <w:b/>
      <w:color w:val="000000" w:themeColor="text1"/>
      <w:szCs w:val="26"/>
      <w:u w:val="single"/>
    </w:rPr>
  </w:style>
  <w:style w:type="paragraph" w:styleId="Heading3">
    <w:name w:val="heading 3"/>
    <w:basedOn w:val="Normal"/>
    <w:next w:val="Normal"/>
    <w:link w:val="Heading3Char"/>
    <w:uiPriority w:val="9"/>
    <w:unhideWhenUsed/>
    <w:qFormat/>
    <w:rsid w:val="006B0ACA"/>
    <w:pPr>
      <w:keepNext/>
      <w:keepLines/>
      <w:spacing w:before="40" w:after="0"/>
      <w:outlineLvl w:val="2"/>
    </w:pPr>
    <w:rPr>
      <w:rFonts w:eastAsiaTheme="majorEastAsia" w:cstheme="majorBidi"/>
      <w:b/>
      <w:i/>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3954"/>
    <w:rPr>
      <w:rFonts w:eastAsiaTheme="majorEastAsia" w:cstheme="majorBidi"/>
      <w:b/>
      <w:color w:val="000000" w:themeColor="text1"/>
      <w:szCs w:val="26"/>
      <w:u w:val="single"/>
    </w:rPr>
  </w:style>
  <w:style w:type="character" w:customStyle="1" w:styleId="Heading1Char">
    <w:name w:val="Heading 1 Char"/>
    <w:basedOn w:val="DefaultParagraphFont"/>
    <w:link w:val="Heading1"/>
    <w:uiPriority w:val="9"/>
    <w:rsid w:val="00313954"/>
    <w:rPr>
      <w:rFonts w:eastAsiaTheme="majorEastAsia" w:cstheme="majorBidi"/>
      <w:b/>
      <w:color w:val="000000" w:themeColor="text1"/>
      <w:sz w:val="28"/>
      <w:szCs w:val="32"/>
      <w:lang w:val="en-GB"/>
    </w:rPr>
  </w:style>
  <w:style w:type="character" w:customStyle="1" w:styleId="Heading3Char">
    <w:name w:val="Heading 3 Char"/>
    <w:basedOn w:val="DefaultParagraphFont"/>
    <w:link w:val="Heading3"/>
    <w:uiPriority w:val="9"/>
    <w:rsid w:val="006B0ACA"/>
    <w:rPr>
      <w:rFonts w:eastAsiaTheme="majorEastAsia" w:cstheme="majorBidi"/>
      <w:b/>
      <w:i/>
      <w:color w:val="000000" w:themeColor="text1"/>
    </w:rPr>
  </w:style>
  <w:style w:type="paragraph" w:styleId="TOCHeading">
    <w:name w:val="TOC Heading"/>
    <w:basedOn w:val="Heading1"/>
    <w:next w:val="Normal"/>
    <w:uiPriority w:val="39"/>
    <w:unhideWhenUsed/>
    <w:qFormat/>
    <w:rsid w:val="00313954"/>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13954"/>
    <w:pPr>
      <w:spacing w:after="100"/>
    </w:pPr>
  </w:style>
  <w:style w:type="paragraph" w:styleId="TOC2">
    <w:name w:val="toc 2"/>
    <w:basedOn w:val="Normal"/>
    <w:next w:val="Normal"/>
    <w:autoRedefine/>
    <w:uiPriority w:val="39"/>
    <w:unhideWhenUsed/>
    <w:rsid w:val="00313954"/>
    <w:pPr>
      <w:spacing w:after="100"/>
      <w:ind w:left="240"/>
    </w:pPr>
  </w:style>
  <w:style w:type="character" w:styleId="Hyperlink">
    <w:name w:val="Hyperlink"/>
    <w:basedOn w:val="DefaultParagraphFont"/>
    <w:uiPriority w:val="99"/>
    <w:unhideWhenUsed/>
    <w:rsid w:val="00313954"/>
    <w:rPr>
      <w:color w:val="0563C1" w:themeColor="hyperlink"/>
      <w:u w:val="single"/>
    </w:rPr>
  </w:style>
  <w:style w:type="paragraph" w:styleId="Header">
    <w:name w:val="header"/>
    <w:basedOn w:val="Normal"/>
    <w:link w:val="HeaderChar"/>
    <w:uiPriority w:val="99"/>
    <w:unhideWhenUsed/>
    <w:rsid w:val="00CB0A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AC0"/>
  </w:style>
  <w:style w:type="paragraph" w:styleId="Footer">
    <w:name w:val="footer"/>
    <w:basedOn w:val="Normal"/>
    <w:link w:val="FooterChar"/>
    <w:uiPriority w:val="99"/>
    <w:unhideWhenUsed/>
    <w:rsid w:val="00CB0A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A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15436">
      <w:bodyDiv w:val="1"/>
      <w:marLeft w:val="0"/>
      <w:marRight w:val="0"/>
      <w:marTop w:val="0"/>
      <w:marBottom w:val="0"/>
      <w:divBdr>
        <w:top w:val="none" w:sz="0" w:space="0" w:color="auto"/>
        <w:left w:val="none" w:sz="0" w:space="0" w:color="auto"/>
        <w:bottom w:val="none" w:sz="0" w:space="0" w:color="auto"/>
        <w:right w:val="none" w:sz="0" w:space="0" w:color="auto"/>
      </w:divBdr>
    </w:div>
    <w:div w:id="145126172">
      <w:bodyDiv w:val="1"/>
      <w:marLeft w:val="0"/>
      <w:marRight w:val="0"/>
      <w:marTop w:val="0"/>
      <w:marBottom w:val="0"/>
      <w:divBdr>
        <w:top w:val="none" w:sz="0" w:space="0" w:color="auto"/>
        <w:left w:val="none" w:sz="0" w:space="0" w:color="auto"/>
        <w:bottom w:val="none" w:sz="0" w:space="0" w:color="auto"/>
        <w:right w:val="none" w:sz="0" w:space="0" w:color="auto"/>
      </w:divBdr>
    </w:div>
    <w:div w:id="252125073">
      <w:bodyDiv w:val="1"/>
      <w:marLeft w:val="0"/>
      <w:marRight w:val="0"/>
      <w:marTop w:val="0"/>
      <w:marBottom w:val="0"/>
      <w:divBdr>
        <w:top w:val="none" w:sz="0" w:space="0" w:color="auto"/>
        <w:left w:val="none" w:sz="0" w:space="0" w:color="auto"/>
        <w:bottom w:val="none" w:sz="0" w:space="0" w:color="auto"/>
        <w:right w:val="none" w:sz="0" w:space="0" w:color="auto"/>
      </w:divBdr>
    </w:div>
    <w:div w:id="321934099">
      <w:bodyDiv w:val="1"/>
      <w:marLeft w:val="0"/>
      <w:marRight w:val="0"/>
      <w:marTop w:val="0"/>
      <w:marBottom w:val="0"/>
      <w:divBdr>
        <w:top w:val="none" w:sz="0" w:space="0" w:color="auto"/>
        <w:left w:val="none" w:sz="0" w:space="0" w:color="auto"/>
        <w:bottom w:val="none" w:sz="0" w:space="0" w:color="auto"/>
        <w:right w:val="none" w:sz="0" w:space="0" w:color="auto"/>
      </w:divBdr>
    </w:div>
    <w:div w:id="417143367">
      <w:bodyDiv w:val="1"/>
      <w:marLeft w:val="0"/>
      <w:marRight w:val="0"/>
      <w:marTop w:val="0"/>
      <w:marBottom w:val="0"/>
      <w:divBdr>
        <w:top w:val="none" w:sz="0" w:space="0" w:color="auto"/>
        <w:left w:val="none" w:sz="0" w:space="0" w:color="auto"/>
        <w:bottom w:val="none" w:sz="0" w:space="0" w:color="auto"/>
        <w:right w:val="none" w:sz="0" w:space="0" w:color="auto"/>
      </w:divBdr>
    </w:div>
    <w:div w:id="629554938">
      <w:bodyDiv w:val="1"/>
      <w:marLeft w:val="0"/>
      <w:marRight w:val="0"/>
      <w:marTop w:val="0"/>
      <w:marBottom w:val="0"/>
      <w:divBdr>
        <w:top w:val="none" w:sz="0" w:space="0" w:color="auto"/>
        <w:left w:val="none" w:sz="0" w:space="0" w:color="auto"/>
        <w:bottom w:val="none" w:sz="0" w:space="0" w:color="auto"/>
        <w:right w:val="none" w:sz="0" w:space="0" w:color="auto"/>
      </w:divBdr>
    </w:div>
    <w:div w:id="691228719">
      <w:bodyDiv w:val="1"/>
      <w:marLeft w:val="0"/>
      <w:marRight w:val="0"/>
      <w:marTop w:val="0"/>
      <w:marBottom w:val="0"/>
      <w:divBdr>
        <w:top w:val="none" w:sz="0" w:space="0" w:color="auto"/>
        <w:left w:val="none" w:sz="0" w:space="0" w:color="auto"/>
        <w:bottom w:val="none" w:sz="0" w:space="0" w:color="auto"/>
        <w:right w:val="none" w:sz="0" w:space="0" w:color="auto"/>
      </w:divBdr>
    </w:div>
    <w:div w:id="1021588936">
      <w:bodyDiv w:val="1"/>
      <w:marLeft w:val="0"/>
      <w:marRight w:val="0"/>
      <w:marTop w:val="0"/>
      <w:marBottom w:val="0"/>
      <w:divBdr>
        <w:top w:val="none" w:sz="0" w:space="0" w:color="auto"/>
        <w:left w:val="none" w:sz="0" w:space="0" w:color="auto"/>
        <w:bottom w:val="none" w:sz="0" w:space="0" w:color="auto"/>
        <w:right w:val="none" w:sz="0" w:space="0" w:color="auto"/>
      </w:divBdr>
    </w:div>
    <w:div w:id="1252005573">
      <w:bodyDiv w:val="1"/>
      <w:marLeft w:val="0"/>
      <w:marRight w:val="0"/>
      <w:marTop w:val="0"/>
      <w:marBottom w:val="0"/>
      <w:divBdr>
        <w:top w:val="none" w:sz="0" w:space="0" w:color="auto"/>
        <w:left w:val="none" w:sz="0" w:space="0" w:color="auto"/>
        <w:bottom w:val="none" w:sz="0" w:space="0" w:color="auto"/>
        <w:right w:val="none" w:sz="0" w:space="0" w:color="auto"/>
      </w:divBdr>
    </w:div>
    <w:div w:id="1449229571">
      <w:bodyDiv w:val="1"/>
      <w:marLeft w:val="0"/>
      <w:marRight w:val="0"/>
      <w:marTop w:val="0"/>
      <w:marBottom w:val="0"/>
      <w:divBdr>
        <w:top w:val="none" w:sz="0" w:space="0" w:color="auto"/>
        <w:left w:val="none" w:sz="0" w:space="0" w:color="auto"/>
        <w:bottom w:val="none" w:sz="0" w:space="0" w:color="auto"/>
        <w:right w:val="none" w:sz="0" w:space="0" w:color="auto"/>
      </w:divBdr>
    </w:div>
    <w:div w:id="1559240896">
      <w:bodyDiv w:val="1"/>
      <w:marLeft w:val="0"/>
      <w:marRight w:val="0"/>
      <w:marTop w:val="0"/>
      <w:marBottom w:val="0"/>
      <w:divBdr>
        <w:top w:val="none" w:sz="0" w:space="0" w:color="auto"/>
        <w:left w:val="none" w:sz="0" w:space="0" w:color="auto"/>
        <w:bottom w:val="none" w:sz="0" w:space="0" w:color="auto"/>
        <w:right w:val="none" w:sz="0" w:space="0" w:color="auto"/>
      </w:divBdr>
    </w:div>
    <w:div w:id="1593663420">
      <w:bodyDiv w:val="1"/>
      <w:marLeft w:val="0"/>
      <w:marRight w:val="0"/>
      <w:marTop w:val="0"/>
      <w:marBottom w:val="0"/>
      <w:divBdr>
        <w:top w:val="none" w:sz="0" w:space="0" w:color="auto"/>
        <w:left w:val="none" w:sz="0" w:space="0" w:color="auto"/>
        <w:bottom w:val="none" w:sz="0" w:space="0" w:color="auto"/>
        <w:right w:val="none" w:sz="0" w:space="0" w:color="auto"/>
      </w:divBdr>
    </w:div>
    <w:div w:id="1813449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480D5-76EE-440E-82AF-BEA18EEBD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2763</Words>
  <Characters>15752</Characters>
  <Application>Microsoft Office Word</Application>
  <DocSecurity>0</DocSecurity>
  <Lines>131</Lines>
  <Paragraphs>36</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    Community Outreach</vt:lpstr>
      <vt:lpstr>    Stakeholder Mapping Exercise</vt:lpstr>
      <vt:lpstr>    Community Engagement Plan</vt:lpstr>
      <vt:lpstr>    Practical Discussion</vt:lpstr>
      <vt:lpstr>CONCLUSION</vt:lpstr>
      <vt:lpstr>REFERENCES</vt:lpstr>
    </vt:vector>
  </TitlesOfParts>
  <Company/>
  <LinksUpToDate>false</LinksUpToDate>
  <CharactersWithSpaces>18479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Alina Balan</dc:creator>
  <cp:keywords/>
  <dc:description/>
  <cp:lastModifiedBy>Guest User</cp:lastModifiedBy>
  <cp:revision>2</cp:revision>
  <dcterms:created xsi:type="dcterms:W3CDTF">2024-08-15T20:32:00Z</dcterms:created>
  <dcterms:modified xsi:type="dcterms:W3CDTF">2024-08-15T20:32:00Z</dcterms:modified>
</cp:coreProperties>
</file>