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788684F6" w14:textId="2054F9E0" w:rsidR="00EB378A" w:rsidRPr="00EB378A" w:rsidRDefault="00EB378A" w:rsidP="00EB378A">
            <w:pPr>
              <w:overflowPunct/>
              <w:autoSpaceDE/>
              <w:autoSpaceDN/>
              <w:adjustRightInd/>
              <w:ind w:right="-957"/>
              <w:textAlignment w:val="auto"/>
              <w:rPr>
                <w:rFonts w:ascii="Times New Roman" w:hAnsi="Times New Roman" w:cs="Times New Roman"/>
                <w:b/>
                <w:color w:val="auto"/>
                <w:sz w:val="44"/>
                <w:szCs w:val="44"/>
              </w:rPr>
            </w:pPr>
            <w:r w:rsidRPr="00EB378A">
              <w:rPr>
                <w:rFonts w:ascii="Times New Roman" w:hAnsi="Times New Roman" w:cs="Times New Roman"/>
                <w:b/>
                <w:color w:val="auto"/>
                <w:sz w:val="44"/>
                <w:szCs w:val="44"/>
              </w:rPr>
              <w:t>Learner’s name: Jodie Michelle Wood</w:t>
            </w:r>
          </w:p>
          <w:p w14:paraId="5BA7DB9C" w14:textId="77777777" w:rsidR="00EB378A" w:rsidRPr="00EB378A" w:rsidRDefault="00EB378A" w:rsidP="00EB378A">
            <w:pPr>
              <w:overflowPunct/>
              <w:autoSpaceDE/>
              <w:autoSpaceDN/>
              <w:adjustRightInd/>
              <w:ind w:right="-957"/>
              <w:textAlignment w:val="auto"/>
              <w:rPr>
                <w:rFonts w:ascii="Times New Roman" w:hAnsi="Times New Roman" w:cs="Times New Roman"/>
                <w:b/>
                <w:color w:val="auto"/>
                <w:sz w:val="44"/>
                <w:szCs w:val="44"/>
              </w:rPr>
            </w:pPr>
          </w:p>
          <w:p w14:paraId="51A0CE75" w14:textId="77777777" w:rsidR="00EB378A" w:rsidRPr="00EB378A" w:rsidRDefault="00EB378A" w:rsidP="00EB378A">
            <w:pPr>
              <w:overflowPunct/>
              <w:autoSpaceDE/>
              <w:autoSpaceDN/>
              <w:adjustRightInd/>
              <w:ind w:right="-957"/>
              <w:textAlignment w:val="auto"/>
              <w:rPr>
                <w:rFonts w:ascii="Times New Roman" w:hAnsi="Times New Roman" w:cs="Times New Roman"/>
                <w:b/>
                <w:color w:val="auto"/>
                <w:sz w:val="44"/>
                <w:szCs w:val="44"/>
              </w:rPr>
            </w:pPr>
            <w:r w:rsidRPr="00EB378A">
              <w:rPr>
                <w:rFonts w:ascii="Times New Roman" w:hAnsi="Times New Roman" w:cs="Times New Roman"/>
                <w:b/>
                <w:color w:val="auto"/>
                <w:sz w:val="44"/>
                <w:szCs w:val="44"/>
              </w:rPr>
              <w:t>Email address: Jodie.wood@hotmail.co.uk</w:t>
            </w:r>
          </w:p>
          <w:p w14:paraId="211D2FBA" w14:textId="77777777" w:rsidR="00EB378A" w:rsidRPr="00EB378A" w:rsidRDefault="00EB378A" w:rsidP="00EB378A">
            <w:pPr>
              <w:overflowPunct/>
              <w:autoSpaceDE/>
              <w:autoSpaceDN/>
              <w:adjustRightInd/>
              <w:ind w:right="-957"/>
              <w:textAlignment w:val="auto"/>
              <w:rPr>
                <w:rFonts w:ascii="Times New Roman" w:hAnsi="Times New Roman" w:cs="Times New Roman"/>
                <w:b/>
                <w:color w:val="auto"/>
                <w:sz w:val="44"/>
                <w:szCs w:val="44"/>
              </w:rPr>
            </w:pPr>
          </w:p>
          <w:p w14:paraId="77BCC883" w14:textId="77777777" w:rsidR="00EB378A" w:rsidRPr="00EB378A" w:rsidRDefault="00EB378A" w:rsidP="00EB378A">
            <w:pPr>
              <w:overflowPunct/>
              <w:autoSpaceDE/>
              <w:autoSpaceDN/>
              <w:adjustRightInd/>
              <w:ind w:right="-957"/>
              <w:textAlignment w:val="auto"/>
              <w:rPr>
                <w:rFonts w:ascii="Times New Roman" w:hAnsi="Times New Roman" w:cs="Times New Roman"/>
                <w:b/>
                <w:color w:val="auto"/>
                <w:sz w:val="44"/>
                <w:szCs w:val="44"/>
              </w:rPr>
            </w:pPr>
            <w:r w:rsidRPr="00EB378A">
              <w:rPr>
                <w:rFonts w:ascii="Times New Roman" w:hAnsi="Times New Roman" w:cs="Times New Roman"/>
                <w:b/>
                <w:color w:val="auto"/>
                <w:sz w:val="44"/>
                <w:szCs w:val="44"/>
              </w:rPr>
              <w:t>Learner’s University Registration Number: 2116956</w:t>
            </w:r>
          </w:p>
          <w:p w14:paraId="5F84129B" w14:textId="2065308B" w:rsidR="0085230E" w:rsidRPr="005D3F07" w:rsidRDefault="00EB378A" w:rsidP="00EB378A">
            <w:pPr>
              <w:overflowPunct/>
              <w:autoSpaceDE/>
              <w:autoSpaceDN/>
              <w:adjustRightInd/>
              <w:ind w:right="-957"/>
              <w:textAlignment w:val="auto"/>
              <w:rPr>
                <w:rFonts w:ascii="Times New Roman" w:hAnsi="Times New Roman" w:cs="Times New Roman"/>
                <w:b/>
                <w:color w:val="auto"/>
                <w:sz w:val="48"/>
              </w:rPr>
            </w:pPr>
            <w:r w:rsidRPr="00EB378A">
              <w:rPr>
                <w:rFonts w:ascii="Times New Roman" w:hAnsi="Times New Roman" w:cs="Times New Roman"/>
                <w:b/>
                <w:color w:val="auto"/>
                <w:sz w:val="44"/>
                <w:szCs w:val="44"/>
              </w:rPr>
              <w:t>Cohort: 15, 16, 17</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2CE4A5EF"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5ABE990A" w14:textId="77777777" w:rsidR="00A85FB3" w:rsidRDefault="00A85FB3" w:rsidP="00FF7EBB">
            <w:pPr>
              <w:jc w:val="both"/>
              <w:rPr>
                <w:sz w:val="24"/>
                <w:szCs w:val="24"/>
              </w:rPr>
            </w:pPr>
          </w:p>
          <w:p w14:paraId="4F61CABD" w14:textId="6A115BA0" w:rsidR="0060289E" w:rsidRDefault="0060289E" w:rsidP="00FF7EBB">
            <w:pPr>
              <w:jc w:val="both"/>
              <w:rPr>
                <w:sz w:val="24"/>
                <w:szCs w:val="24"/>
              </w:rPr>
            </w:pPr>
          </w:p>
          <w:p w14:paraId="75E75C8F" w14:textId="1432E401" w:rsidR="001270C6" w:rsidRPr="009A73AE" w:rsidRDefault="009A73AE" w:rsidP="00D46C51">
            <w:pPr>
              <w:spacing w:line="360" w:lineRule="auto"/>
              <w:jc w:val="both"/>
              <w:rPr>
                <w:color w:val="auto"/>
                <w:spacing w:val="-1"/>
                <w:sz w:val="24"/>
                <w:szCs w:val="24"/>
                <w:shd w:val="clear" w:color="auto" w:fill="FFFFFF"/>
              </w:rPr>
            </w:pPr>
            <w:r w:rsidRPr="006D6593">
              <w:rPr>
                <w:color w:val="auto"/>
                <w:sz w:val="24"/>
                <w:szCs w:val="24"/>
              </w:rPr>
              <w:t>The NSPCC (2022) defines safeguarding children as ‘</w:t>
            </w:r>
            <w:r w:rsidRPr="006D6593">
              <w:rPr>
                <w:color w:val="auto"/>
                <w:spacing w:val="-1"/>
                <w:sz w:val="24"/>
                <w:szCs w:val="24"/>
                <w:shd w:val="clear" w:color="auto" w:fill="FFFFFF"/>
              </w:rPr>
              <w:t>the action that is taken to promote the welfare of children and protect them from harm’ by protecting them from harm and abuse, preventing harm to health and development, ensuring the provision of safe and effective care, and enabling them to have the best outcomes.</w:t>
            </w:r>
            <w:r>
              <w:rPr>
                <w:color w:val="auto"/>
                <w:spacing w:val="-1"/>
                <w:sz w:val="24"/>
                <w:szCs w:val="24"/>
                <w:shd w:val="clear" w:color="auto" w:fill="FFFFFF"/>
              </w:rPr>
              <w:t xml:space="preserve"> </w:t>
            </w:r>
            <w:r w:rsidR="001270C6">
              <w:rPr>
                <w:color w:val="auto"/>
                <w:sz w:val="24"/>
                <w:szCs w:val="24"/>
              </w:rPr>
              <w:t xml:space="preserve">It is everybody’s responsibility to report concerns about a child’s </w:t>
            </w:r>
            <w:r>
              <w:rPr>
                <w:color w:val="auto"/>
                <w:sz w:val="24"/>
                <w:szCs w:val="24"/>
              </w:rPr>
              <w:t>welfare</w:t>
            </w:r>
            <w:r w:rsidR="001270C6">
              <w:rPr>
                <w:color w:val="auto"/>
                <w:sz w:val="24"/>
                <w:szCs w:val="24"/>
              </w:rPr>
              <w:t>. And as a professional it is important I have a good understanding of legislations, policies and procedures as this is what informs child protection and sets out expectations of my duty</w:t>
            </w:r>
            <w:r w:rsidR="00127074">
              <w:rPr>
                <w:color w:val="auto"/>
                <w:sz w:val="24"/>
                <w:szCs w:val="24"/>
              </w:rPr>
              <w:t xml:space="preserve"> to report to enable safeguarding procedures</w:t>
            </w:r>
            <w:r>
              <w:rPr>
                <w:color w:val="auto"/>
                <w:sz w:val="24"/>
                <w:szCs w:val="24"/>
              </w:rPr>
              <w:t xml:space="preserve"> to be initiated</w:t>
            </w:r>
            <w:r w:rsidR="00127074">
              <w:rPr>
                <w:color w:val="auto"/>
                <w:sz w:val="24"/>
                <w:szCs w:val="24"/>
              </w:rPr>
              <w:t xml:space="preserve">. </w:t>
            </w:r>
            <w:r w:rsidR="00BB785A">
              <w:rPr>
                <w:color w:val="auto"/>
                <w:sz w:val="24"/>
                <w:szCs w:val="24"/>
              </w:rPr>
              <w:t xml:space="preserve">Part 7 s130 of the Social Services and Wellbeing (Wales) Act 2014 (SSWBA 2014) states </w:t>
            </w:r>
            <w:r w:rsidR="00BB785A" w:rsidRPr="00BB785A">
              <w:rPr>
                <w:color w:val="auto"/>
                <w:sz w:val="24"/>
                <w:szCs w:val="24"/>
              </w:rPr>
              <w:t>‘</w:t>
            </w:r>
            <w:r w:rsidR="00BB785A" w:rsidRPr="00BB785A">
              <w:rPr>
                <w:sz w:val="24"/>
                <w:szCs w:val="24"/>
                <w:shd w:val="clear" w:color="auto" w:fill="FFFFFF"/>
              </w:rPr>
              <w:t>If a relevant partner of a local authority has reasonable cause to suspect that a child is a child at risk and appears to be within the authority's area, it must inform the local authority of that fact’</w:t>
            </w:r>
            <w:r w:rsidR="00BB785A">
              <w:rPr>
                <w:sz w:val="24"/>
                <w:szCs w:val="24"/>
                <w:shd w:val="clear" w:color="auto" w:fill="FFFFFF"/>
              </w:rPr>
              <w:t xml:space="preserve">. </w:t>
            </w:r>
          </w:p>
          <w:p w14:paraId="6F1D8663" w14:textId="53A22BDA" w:rsidR="00127074" w:rsidRDefault="00127074" w:rsidP="00D46C51">
            <w:pPr>
              <w:spacing w:line="360" w:lineRule="auto"/>
              <w:jc w:val="both"/>
              <w:rPr>
                <w:color w:val="auto"/>
                <w:sz w:val="24"/>
                <w:szCs w:val="24"/>
              </w:rPr>
            </w:pPr>
          </w:p>
          <w:p w14:paraId="41CC367A" w14:textId="0B6FB914" w:rsidR="00AB5547" w:rsidRPr="00AB5547" w:rsidRDefault="00D46C51" w:rsidP="00AB5547">
            <w:pPr>
              <w:spacing w:line="360" w:lineRule="auto"/>
              <w:jc w:val="both"/>
              <w:rPr>
                <w:sz w:val="24"/>
                <w:szCs w:val="24"/>
              </w:rPr>
            </w:pPr>
            <w:r w:rsidRPr="00AB5547">
              <w:rPr>
                <w:color w:val="auto"/>
                <w:sz w:val="24"/>
                <w:szCs w:val="24"/>
              </w:rPr>
              <w:t xml:space="preserve">In Wales, </w:t>
            </w:r>
            <w:r w:rsidR="001506B3" w:rsidRPr="00AB5547">
              <w:rPr>
                <w:color w:val="auto"/>
                <w:sz w:val="24"/>
                <w:szCs w:val="24"/>
              </w:rPr>
              <w:t>Social Services and Wellbeing (Wales) Act 2014 (SSWBA 2014) is the overarching legislation for safeguarding adult and children.</w:t>
            </w:r>
            <w:r w:rsidR="00044AA7" w:rsidRPr="00AB5547">
              <w:rPr>
                <w:color w:val="auto"/>
                <w:sz w:val="24"/>
                <w:szCs w:val="24"/>
              </w:rPr>
              <w:t xml:space="preserve"> </w:t>
            </w:r>
            <w:r w:rsidR="00127074" w:rsidRPr="00AB5547">
              <w:rPr>
                <w:bCs/>
                <w:color w:val="auto"/>
                <w:sz w:val="24"/>
                <w:szCs w:val="24"/>
              </w:rPr>
              <w:t xml:space="preserve">However, the Children Act 1989 (CA 1989) sets the foundations of child protection. </w:t>
            </w:r>
            <w:r w:rsidR="00491E8B" w:rsidRPr="00AB5547">
              <w:rPr>
                <w:sz w:val="24"/>
                <w:szCs w:val="24"/>
                <w:shd w:val="clear" w:color="auto" w:fill="FFFFFF"/>
              </w:rPr>
              <w:t>In England the overarching framework specific to children is Children Act 2004</w:t>
            </w:r>
            <w:r w:rsidR="00AB5547" w:rsidRPr="00AB5547">
              <w:rPr>
                <w:sz w:val="24"/>
                <w:szCs w:val="24"/>
                <w:shd w:val="clear" w:color="auto" w:fill="FFFFFF"/>
              </w:rPr>
              <w:t xml:space="preserve"> </w:t>
            </w:r>
            <w:r w:rsidR="00491E8B" w:rsidRPr="00AB5547">
              <w:rPr>
                <w:sz w:val="24"/>
                <w:szCs w:val="24"/>
                <w:shd w:val="clear" w:color="auto" w:fill="FFFFFF"/>
              </w:rPr>
              <w:t xml:space="preserve">(CA 2004) which supports CA 1989. </w:t>
            </w:r>
            <w:r w:rsidR="00AB5547" w:rsidRPr="00AB5547">
              <w:rPr>
                <w:sz w:val="24"/>
                <w:szCs w:val="24"/>
                <w:shd w:val="clear" w:color="auto" w:fill="FFFFFF"/>
              </w:rPr>
              <w:t xml:space="preserve">SSWBA 2014 defines child at risk as </w:t>
            </w:r>
            <w:r w:rsidR="00AB5547" w:rsidRPr="00AB5547">
              <w:rPr>
                <w:sz w:val="24"/>
                <w:szCs w:val="24"/>
              </w:rPr>
              <w:t>‘(a) is experiencing or is at risk of abuse, neglect or other kinds of harm,</w:t>
            </w:r>
            <w:r w:rsidR="00AB5547">
              <w:rPr>
                <w:sz w:val="24"/>
                <w:szCs w:val="24"/>
              </w:rPr>
              <w:t xml:space="preserve"> </w:t>
            </w:r>
            <w:r w:rsidR="00AB5547" w:rsidRPr="00AB5547">
              <w:rPr>
                <w:sz w:val="24"/>
                <w:szCs w:val="24"/>
              </w:rPr>
              <w:t>and</w:t>
            </w:r>
            <w:r w:rsidR="00AB5547">
              <w:rPr>
                <w:sz w:val="24"/>
                <w:szCs w:val="24"/>
              </w:rPr>
              <w:t xml:space="preserve"> </w:t>
            </w:r>
            <w:r w:rsidR="00AB5547" w:rsidRPr="00AB5547">
              <w:rPr>
                <w:sz w:val="24"/>
                <w:szCs w:val="24"/>
              </w:rPr>
              <w:t xml:space="preserve">(b) has needs </w:t>
            </w:r>
            <w:r w:rsidR="00AB5547" w:rsidRPr="00AB5547">
              <w:rPr>
                <w:sz w:val="24"/>
                <w:szCs w:val="24"/>
              </w:rPr>
              <w:lastRenderedPageBreak/>
              <w:t>for care and support (whether or not the authority is meeting any of those needs)’ (Part 7 s.130(4)).</w:t>
            </w:r>
          </w:p>
          <w:p w14:paraId="58CF1109" w14:textId="0E5EA184" w:rsidR="00491E8B" w:rsidRPr="006D6593" w:rsidRDefault="00491E8B" w:rsidP="00491E8B">
            <w:pPr>
              <w:spacing w:line="360" w:lineRule="auto"/>
              <w:jc w:val="both"/>
              <w:rPr>
                <w:sz w:val="24"/>
                <w:szCs w:val="24"/>
              </w:rPr>
            </w:pPr>
          </w:p>
          <w:p w14:paraId="41C7BB3D" w14:textId="2FB75687" w:rsidR="00044AA7" w:rsidRDefault="00044AA7" w:rsidP="00044AA7">
            <w:pPr>
              <w:spacing w:line="360" w:lineRule="auto"/>
              <w:jc w:val="both"/>
              <w:rPr>
                <w:sz w:val="24"/>
                <w:szCs w:val="24"/>
                <w:shd w:val="clear" w:color="auto" w:fill="FFFFFF"/>
              </w:rPr>
            </w:pPr>
            <w:r>
              <w:rPr>
                <w:color w:val="auto"/>
                <w:spacing w:val="-1"/>
                <w:sz w:val="24"/>
                <w:szCs w:val="24"/>
                <w:shd w:val="clear" w:color="auto" w:fill="FFFFFF"/>
              </w:rPr>
              <w:t>In addition</w:t>
            </w:r>
            <w:r w:rsidR="00BB785A">
              <w:rPr>
                <w:color w:val="auto"/>
                <w:spacing w:val="-1"/>
                <w:sz w:val="24"/>
                <w:szCs w:val="24"/>
                <w:shd w:val="clear" w:color="auto" w:fill="FFFFFF"/>
              </w:rPr>
              <w:t xml:space="preserve"> s17 CA 1989 which has been repealed by</w:t>
            </w:r>
            <w:r>
              <w:rPr>
                <w:color w:val="auto"/>
                <w:spacing w:val="-1"/>
                <w:sz w:val="24"/>
                <w:szCs w:val="24"/>
                <w:shd w:val="clear" w:color="auto" w:fill="FFFFFF"/>
              </w:rPr>
              <w:t xml:space="preserve"> s3 and s4 of SSWBA 2014</w:t>
            </w:r>
            <w:r w:rsidR="00491E8B">
              <w:rPr>
                <w:color w:val="auto"/>
                <w:spacing w:val="-1"/>
                <w:sz w:val="24"/>
                <w:szCs w:val="24"/>
                <w:shd w:val="clear" w:color="auto" w:fill="FFFFFF"/>
              </w:rPr>
              <w:t>,</w:t>
            </w:r>
            <w:r>
              <w:rPr>
                <w:color w:val="auto"/>
                <w:spacing w:val="-1"/>
                <w:sz w:val="24"/>
                <w:szCs w:val="24"/>
                <w:shd w:val="clear" w:color="auto" w:fill="FFFFFF"/>
              </w:rPr>
              <w:t xml:space="preserve"> looks at whether there are grounds to prompt a multi-agenc</w:t>
            </w:r>
            <w:r w:rsidR="00491E8B">
              <w:rPr>
                <w:color w:val="auto"/>
                <w:spacing w:val="-1"/>
                <w:sz w:val="24"/>
                <w:szCs w:val="24"/>
                <w:shd w:val="clear" w:color="auto" w:fill="FFFFFF"/>
              </w:rPr>
              <w:t>y assessment is necessary, this</w:t>
            </w:r>
            <w:r>
              <w:rPr>
                <w:color w:val="auto"/>
                <w:spacing w:val="-1"/>
                <w:sz w:val="24"/>
                <w:szCs w:val="24"/>
                <w:shd w:val="clear" w:color="auto" w:fill="FFFFFF"/>
              </w:rPr>
              <w:t xml:space="preserve"> would then initiate child protection enquiry under s47 CA 1989.</w:t>
            </w:r>
            <w:r w:rsidR="00BB785A">
              <w:rPr>
                <w:color w:val="auto"/>
                <w:spacing w:val="-1"/>
                <w:sz w:val="24"/>
                <w:szCs w:val="24"/>
                <w:shd w:val="clear" w:color="auto" w:fill="FFFFFF"/>
              </w:rPr>
              <w:t xml:space="preserve"> </w:t>
            </w:r>
            <w:r>
              <w:rPr>
                <w:color w:val="auto"/>
                <w:spacing w:val="-1"/>
                <w:sz w:val="24"/>
                <w:szCs w:val="24"/>
                <w:shd w:val="clear" w:color="auto" w:fill="FFFFFF"/>
              </w:rPr>
              <w:t xml:space="preserve">Furthermore, where a child is at risk, s47 enquiries must be initiated under CA 1989. In doing this, it places responsibility on local authorities (LA) to investigate risks </w:t>
            </w:r>
            <w:r w:rsidRPr="007F0430">
              <w:rPr>
                <w:color w:val="auto"/>
                <w:spacing w:val="-1"/>
                <w:sz w:val="24"/>
                <w:szCs w:val="24"/>
                <w:shd w:val="clear" w:color="auto" w:fill="FFFFFF"/>
              </w:rPr>
              <w:t>‘t</w:t>
            </w:r>
            <w:r w:rsidRPr="007F0430">
              <w:rPr>
                <w:sz w:val="24"/>
                <w:szCs w:val="24"/>
                <w:shd w:val="clear" w:color="auto" w:fill="FFFFFF"/>
              </w:rPr>
              <w:t>he authority shall make, or cause to be made, such enquiries as they consider necessary to enable them to decide whether they should take any action to safeguard or promote the child’s welfare’</w:t>
            </w:r>
            <w:r>
              <w:rPr>
                <w:sz w:val="24"/>
                <w:szCs w:val="24"/>
                <w:shd w:val="clear" w:color="auto" w:fill="FFFFFF"/>
              </w:rPr>
              <w:t xml:space="preserve">. </w:t>
            </w:r>
            <w:r w:rsidR="00491E8B">
              <w:rPr>
                <w:sz w:val="24"/>
                <w:szCs w:val="24"/>
                <w:shd w:val="clear" w:color="auto" w:fill="FFFFFF"/>
              </w:rPr>
              <w:t xml:space="preserve">As such, Wales has its own framework in social services, however any court proceedings would be dealt with in the same way as England. </w:t>
            </w:r>
          </w:p>
          <w:p w14:paraId="277F39C8" w14:textId="5A0D585E" w:rsidR="0027730C" w:rsidRDefault="0027730C" w:rsidP="00044AA7">
            <w:pPr>
              <w:spacing w:line="360" w:lineRule="auto"/>
              <w:jc w:val="both"/>
              <w:rPr>
                <w:sz w:val="24"/>
                <w:szCs w:val="24"/>
                <w:shd w:val="clear" w:color="auto" w:fill="FFFFFF"/>
              </w:rPr>
            </w:pPr>
          </w:p>
          <w:p w14:paraId="4D03E404" w14:textId="2604D550" w:rsidR="0027730C" w:rsidRPr="007F0430" w:rsidRDefault="00AB5547" w:rsidP="00AB5547">
            <w:pPr>
              <w:spacing w:line="360" w:lineRule="auto"/>
              <w:jc w:val="both"/>
              <w:rPr>
                <w:color w:val="auto"/>
                <w:spacing w:val="-1"/>
                <w:sz w:val="24"/>
                <w:szCs w:val="24"/>
                <w:shd w:val="clear" w:color="auto" w:fill="FFFFFF"/>
              </w:rPr>
            </w:pPr>
            <w:r>
              <w:rPr>
                <w:sz w:val="24"/>
                <w:szCs w:val="24"/>
                <w:shd w:val="clear" w:color="auto" w:fill="FFFFFF"/>
              </w:rPr>
              <w:t xml:space="preserve">SSWBA 2014 requires there to be local and regional Safeguarding Children Boards. </w:t>
            </w:r>
            <w:r w:rsidR="0027730C">
              <w:rPr>
                <w:sz w:val="24"/>
                <w:szCs w:val="24"/>
                <w:shd w:val="clear" w:color="auto" w:fill="FFFFFF"/>
              </w:rPr>
              <w:t xml:space="preserve">The </w:t>
            </w:r>
            <w:r w:rsidR="0062231B">
              <w:rPr>
                <w:sz w:val="24"/>
                <w:szCs w:val="24"/>
                <w:shd w:val="clear" w:color="auto" w:fill="FFFFFF"/>
              </w:rPr>
              <w:t>Wales Safeguarding Procedures (</w:t>
            </w:r>
            <w:r w:rsidR="005C0746">
              <w:rPr>
                <w:sz w:val="24"/>
                <w:szCs w:val="24"/>
                <w:shd w:val="clear" w:color="auto" w:fill="FFFFFF"/>
              </w:rPr>
              <w:t>2019</w:t>
            </w:r>
            <w:r w:rsidR="0062231B">
              <w:rPr>
                <w:sz w:val="24"/>
                <w:szCs w:val="24"/>
                <w:shd w:val="clear" w:color="auto" w:fill="FFFFFF"/>
              </w:rPr>
              <w:t>)</w:t>
            </w:r>
            <w:r w:rsidR="0027730C">
              <w:rPr>
                <w:sz w:val="24"/>
                <w:szCs w:val="24"/>
                <w:shd w:val="clear" w:color="auto" w:fill="FFFFFF"/>
              </w:rPr>
              <w:t xml:space="preserve"> </w:t>
            </w:r>
            <w:r>
              <w:rPr>
                <w:sz w:val="24"/>
                <w:szCs w:val="24"/>
                <w:shd w:val="clear" w:color="auto" w:fill="FFFFFF"/>
              </w:rPr>
              <w:t>informs policy and procedures. It recognises the broad scope of responsibility on Local Safeguarding Children Boards to protect the safety and welfare of children. ‘</w:t>
            </w:r>
            <w:r w:rsidRPr="00AB5547">
              <w:rPr>
                <w:color w:val="222222"/>
                <w:sz w:val="24"/>
                <w:szCs w:val="24"/>
              </w:rPr>
              <w:t>They provide a framework within which individual child protection referrals, actions, decisions and plans are made and carried out</w:t>
            </w:r>
            <w:r>
              <w:rPr>
                <w:color w:val="222222"/>
                <w:sz w:val="24"/>
                <w:szCs w:val="24"/>
              </w:rPr>
              <w:t>’</w:t>
            </w:r>
            <w:r w:rsidRPr="00AB5547">
              <w:rPr>
                <w:color w:val="222222"/>
                <w:sz w:val="24"/>
                <w:szCs w:val="24"/>
              </w:rPr>
              <w:t>.</w:t>
            </w:r>
            <w:r>
              <w:rPr>
                <w:color w:val="222222"/>
                <w:sz w:val="24"/>
                <w:szCs w:val="24"/>
              </w:rPr>
              <w:t xml:space="preserve"> </w:t>
            </w:r>
            <w:r w:rsidRPr="00AB5547">
              <w:rPr>
                <w:rFonts w:ascii="Helvetica" w:hAnsi="Helvetica" w:cs="Helvetica"/>
                <w:color w:val="222222"/>
                <w:sz w:val="27"/>
                <w:szCs w:val="27"/>
              </w:rPr>
              <w:t> </w:t>
            </w:r>
          </w:p>
          <w:p w14:paraId="2BF2D11E" w14:textId="182D7B16" w:rsidR="001506B3" w:rsidRDefault="001506B3" w:rsidP="009A353A">
            <w:pPr>
              <w:spacing w:line="360" w:lineRule="auto"/>
              <w:jc w:val="both"/>
              <w:rPr>
                <w:color w:val="auto"/>
                <w:sz w:val="24"/>
                <w:szCs w:val="24"/>
              </w:rPr>
            </w:pPr>
          </w:p>
          <w:p w14:paraId="220A7E5F" w14:textId="56343B76" w:rsidR="009A73AE" w:rsidRPr="00190517" w:rsidRDefault="009A73AE" w:rsidP="009A73AE">
            <w:pPr>
              <w:spacing w:line="360" w:lineRule="auto"/>
              <w:jc w:val="both"/>
              <w:rPr>
                <w:sz w:val="24"/>
                <w:szCs w:val="24"/>
              </w:rPr>
            </w:pPr>
            <w:r>
              <w:rPr>
                <w:sz w:val="24"/>
                <w:szCs w:val="24"/>
              </w:rPr>
              <w:t xml:space="preserve">In </w:t>
            </w:r>
            <w:r w:rsidR="00AB5547">
              <w:rPr>
                <w:sz w:val="24"/>
                <w:szCs w:val="24"/>
              </w:rPr>
              <w:t xml:space="preserve">addition, in </w:t>
            </w:r>
            <w:r>
              <w:rPr>
                <w:sz w:val="24"/>
                <w:szCs w:val="24"/>
              </w:rPr>
              <w:t xml:space="preserve">2011, </w:t>
            </w:r>
            <w:r w:rsidRPr="00190517">
              <w:rPr>
                <w:sz w:val="24"/>
                <w:szCs w:val="24"/>
              </w:rPr>
              <w:t>Wales became the first country in the UK to integrate the United Nations Convention on the Rights of the Child (UNCRC) into its domestic law, The Rights of Children and Young Persons (Wales) Measure 2011 legislates that all Welsh policy and legislation pertaining to children is underpinned by UNCRC.</w:t>
            </w:r>
          </w:p>
          <w:p w14:paraId="43EBEAA3" w14:textId="1B42C394" w:rsidR="009A353A" w:rsidRDefault="009A353A" w:rsidP="009A353A">
            <w:pPr>
              <w:spacing w:line="360" w:lineRule="auto"/>
              <w:jc w:val="both"/>
              <w:rPr>
                <w:color w:val="auto"/>
                <w:spacing w:val="-1"/>
                <w:sz w:val="24"/>
                <w:szCs w:val="24"/>
                <w:shd w:val="clear" w:color="auto" w:fill="FFFFFF"/>
              </w:rPr>
            </w:pPr>
          </w:p>
          <w:p w14:paraId="3059F62B" w14:textId="77777777" w:rsidR="0060289E" w:rsidRDefault="0060289E" w:rsidP="0060289E">
            <w:pPr>
              <w:jc w:val="both"/>
              <w:rPr>
                <w:sz w:val="24"/>
                <w:szCs w:val="24"/>
              </w:rPr>
            </w:pPr>
          </w:p>
          <w:p w14:paraId="36F4F506" w14:textId="390FA01D" w:rsidR="0060289E" w:rsidRDefault="0060289E" w:rsidP="00FF7EBB">
            <w:pPr>
              <w:jc w:val="both"/>
              <w:rPr>
                <w:sz w:val="24"/>
                <w:szCs w:val="24"/>
              </w:rPr>
            </w:pPr>
            <w:r>
              <w:rPr>
                <w:sz w:val="24"/>
                <w:szCs w:val="24"/>
              </w:rPr>
              <w:t xml:space="preserve">Words: </w:t>
            </w:r>
            <w:r w:rsidR="0062231B">
              <w:rPr>
                <w:sz w:val="24"/>
                <w:szCs w:val="24"/>
              </w:rPr>
              <w:t>489</w:t>
            </w:r>
          </w:p>
          <w:p w14:paraId="38F34B13" w14:textId="155FDFC6" w:rsidR="00090180" w:rsidRDefault="00090180" w:rsidP="00FF7EBB">
            <w:pPr>
              <w:jc w:val="both"/>
              <w:rPr>
                <w:sz w:val="24"/>
                <w:szCs w:val="24"/>
              </w:rPr>
            </w:pPr>
          </w:p>
          <w:p w14:paraId="1A186448" w14:textId="18A2BCC0" w:rsidR="00090180" w:rsidRDefault="00090180" w:rsidP="00FF7EBB">
            <w:pPr>
              <w:jc w:val="both"/>
              <w:rPr>
                <w:sz w:val="24"/>
                <w:szCs w:val="24"/>
              </w:rPr>
            </w:pPr>
          </w:p>
          <w:p w14:paraId="362FC274" w14:textId="0D7CD9CE" w:rsidR="00090180" w:rsidRDefault="00090180" w:rsidP="00FF7EBB">
            <w:pPr>
              <w:jc w:val="both"/>
              <w:rPr>
                <w:sz w:val="24"/>
                <w:szCs w:val="24"/>
              </w:rPr>
            </w:pPr>
          </w:p>
          <w:p w14:paraId="09BC6837" w14:textId="77777777" w:rsidR="00090180" w:rsidRDefault="00090180"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bookmarkStart w:id="0" w:name="_GoBack" w:colFirst="0" w:colLast="0"/>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177E84C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6BB8FDA4" w14:textId="55F5A90F" w:rsidR="0060289E" w:rsidRDefault="0060289E" w:rsidP="00FC0334">
            <w:pPr>
              <w:jc w:val="both"/>
              <w:rPr>
                <w:i/>
                <w:sz w:val="24"/>
                <w:szCs w:val="24"/>
              </w:rPr>
            </w:pPr>
          </w:p>
          <w:p w14:paraId="4C6378E5" w14:textId="46149769" w:rsidR="0060289E" w:rsidRDefault="0060289E" w:rsidP="00FC0334">
            <w:pPr>
              <w:jc w:val="both"/>
              <w:rPr>
                <w:i/>
                <w:sz w:val="24"/>
                <w:szCs w:val="24"/>
              </w:rPr>
            </w:pPr>
          </w:p>
          <w:p w14:paraId="24796649" w14:textId="6877F360" w:rsidR="00265300" w:rsidRDefault="00265300" w:rsidP="00265300">
            <w:pPr>
              <w:spacing w:line="360" w:lineRule="auto"/>
              <w:jc w:val="both"/>
              <w:rPr>
                <w:sz w:val="24"/>
                <w:szCs w:val="24"/>
              </w:rPr>
            </w:pPr>
            <w:r>
              <w:rPr>
                <w:sz w:val="24"/>
                <w:szCs w:val="24"/>
              </w:rPr>
              <w:t>S</w:t>
            </w:r>
            <w:r w:rsidR="0060289E">
              <w:rPr>
                <w:sz w:val="24"/>
                <w:szCs w:val="24"/>
              </w:rPr>
              <w:t>ocial services is Social Services and wellbeing (Wal</w:t>
            </w:r>
            <w:r>
              <w:rPr>
                <w:sz w:val="24"/>
                <w:szCs w:val="24"/>
              </w:rPr>
              <w:t xml:space="preserve">es) Act 2014 (SSWBA 2014), legislation for Wales, </w:t>
            </w:r>
            <w:r w:rsidR="0060289E">
              <w:rPr>
                <w:sz w:val="24"/>
                <w:szCs w:val="24"/>
              </w:rPr>
              <w:t xml:space="preserve">encompasses the safety and welfare of adults </w:t>
            </w:r>
            <w:r>
              <w:rPr>
                <w:sz w:val="24"/>
                <w:szCs w:val="24"/>
              </w:rPr>
              <w:t>and children. Part7 SSWBA 2014</w:t>
            </w:r>
            <w:r w:rsidR="0060289E">
              <w:rPr>
                <w:sz w:val="24"/>
                <w:szCs w:val="24"/>
              </w:rPr>
              <w:t xml:space="preserve"> documents the duty of professional</w:t>
            </w:r>
            <w:r w:rsidR="005C0746">
              <w:rPr>
                <w:sz w:val="24"/>
                <w:szCs w:val="24"/>
              </w:rPr>
              <w:t>s to</w:t>
            </w:r>
            <w:r w:rsidR="0060289E">
              <w:rPr>
                <w:sz w:val="24"/>
                <w:szCs w:val="24"/>
              </w:rPr>
              <w:t xml:space="preserve"> adhere to s126 enquiries to safeguard adults at risk, and for childre</w:t>
            </w:r>
            <w:r>
              <w:rPr>
                <w:sz w:val="24"/>
                <w:szCs w:val="24"/>
              </w:rPr>
              <w:t>n s130 duty to report which</w:t>
            </w:r>
            <w:r w:rsidR="0060289E">
              <w:rPr>
                <w:sz w:val="24"/>
                <w:szCs w:val="24"/>
              </w:rPr>
              <w:t xml:space="preserve"> links in with s47 enquiries Children Act 1989 (CA 1989) to </w:t>
            </w:r>
            <w:r>
              <w:rPr>
                <w:sz w:val="24"/>
                <w:szCs w:val="24"/>
              </w:rPr>
              <w:t xml:space="preserve">safeguard children at risk. </w:t>
            </w:r>
            <w:r w:rsidR="0060289E">
              <w:rPr>
                <w:sz w:val="24"/>
                <w:szCs w:val="24"/>
              </w:rPr>
              <w:t>CA 1989 details the duty of professional</w:t>
            </w:r>
            <w:r>
              <w:rPr>
                <w:sz w:val="24"/>
                <w:szCs w:val="24"/>
              </w:rPr>
              <w:t>s</w:t>
            </w:r>
            <w:r w:rsidR="0060289E">
              <w:rPr>
                <w:sz w:val="24"/>
                <w:szCs w:val="24"/>
              </w:rPr>
              <w:t xml:space="preserve"> to protect and safeguard children and where a child(ren) is deemed to be at risk of harm or abuse, s47 enquiries will be initiated. This could potentially lead to a</w:t>
            </w:r>
            <w:r w:rsidR="002C0CEE">
              <w:rPr>
                <w:sz w:val="24"/>
                <w:szCs w:val="24"/>
              </w:rPr>
              <w:t>n order to remove child(ren) fro</w:t>
            </w:r>
            <w:r w:rsidR="0060289E">
              <w:rPr>
                <w:sz w:val="24"/>
                <w:szCs w:val="24"/>
              </w:rPr>
              <w:t>m the family/ guardian home if plans put in place cannot keep them safe</w:t>
            </w:r>
            <w:r>
              <w:rPr>
                <w:sz w:val="24"/>
                <w:szCs w:val="24"/>
              </w:rPr>
              <w:t xml:space="preserve">. </w:t>
            </w:r>
            <w:r w:rsidR="0060289E">
              <w:rPr>
                <w:sz w:val="24"/>
                <w:szCs w:val="24"/>
              </w:rPr>
              <w:t>The safeguarding process identified in Wales Safeguarding Procedures (WSP</w:t>
            </w:r>
            <w:r w:rsidR="00C82E5A">
              <w:rPr>
                <w:sz w:val="24"/>
                <w:szCs w:val="24"/>
              </w:rPr>
              <w:t xml:space="preserve"> 2019</w:t>
            </w:r>
            <w:r w:rsidR="0060289E">
              <w:rPr>
                <w:sz w:val="24"/>
                <w:szCs w:val="24"/>
              </w:rPr>
              <w:t>) documents different procedures to follow for adults and children. The children safeguarding procedure ‘Children and Young People at risk of harm’</w:t>
            </w:r>
            <w:r>
              <w:rPr>
                <w:sz w:val="24"/>
                <w:szCs w:val="24"/>
              </w:rPr>
              <w:t xml:space="preserve"> which</w:t>
            </w:r>
            <w:r w:rsidR="0060289E">
              <w:rPr>
                <w:sz w:val="24"/>
                <w:szCs w:val="24"/>
              </w:rPr>
              <w:t xml:space="preserve"> links in with links in with ‘Working Together to Safeguard people Vol 5: Handling different cases to Protect children at risk’ (North Wales Safe</w:t>
            </w:r>
            <w:r w:rsidR="002C0CEE">
              <w:rPr>
                <w:sz w:val="24"/>
                <w:szCs w:val="24"/>
              </w:rPr>
              <w:t>guarding Board, 2018 (NWSB, 2018</w:t>
            </w:r>
            <w:r>
              <w:rPr>
                <w:sz w:val="24"/>
                <w:szCs w:val="24"/>
              </w:rPr>
              <w:t>))</w:t>
            </w:r>
            <w:r w:rsidR="0060289E">
              <w:rPr>
                <w:sz w:val="24"/>
                <w:szCs w:val="24"/>
              </w:rPr>
              <w:t xml:space="preserve"> inform professionals to notify children services as part of the s47 enquiries (CA 1989). </w:t>
            </w:r>
            <w:r>
              <w:rPr>
                <w:sz w:val="24"/>
                <w:szCs w:val="24"/>
              </w:rPr>
              <w:t xml:space="preserve"> </w:t>
            </w:r>
            <w:r>
              <w:rPr>
                <w:sz w:val="24"/>
                <w:szCs w:val="24"/>
              </w:rPr>
              <w:t>Children cannot consent, the person with parental responsibility makes decisions on behalf of the child. However, the Gillick Competency and Fraser Guidelines (</w:t>
            </w:r>
            <w:r w:rsidR="00DF7AA7">
              <w:rPr>
                <w:sz w:val="24"/>
                <w:szCs w:val="24"/>
              </w:rPr>
              <w:t xml:space="preserve">NSPCC </w:t>
            </w:r>
            <w:r>
              <w:rPr>
                <w:sz w:val="24"/>
                <w:szCs w:val="24"/>
              </w:rPr>
              <w:t xml:space="preserve">2022) helps assess whether children have the maturity to make a decision. </w:t>
            </w:r>
          </w:p>
          <w:p w14:paraId="39B00406" w14:textId="77777777" w:rsidR="00265300" w:rsidRDefault="00265300" w:rsidP="0060289E">
            <w:pPr>
              <w:spacing w:line="360" w:lineRule="auto"/>
              <w:jc w:val="both"/>
              <w:rPr>
                <w:sz w:val="24"/>
                <w:szCs w:val="24"/>
              </w:rPr>
            </w:pPr>
          </w:p>
          <w:p w14:paraId="124D39C1" w14:textId="4D92AE2F" w:rsidR="0060289E" w:rsidRDefault="00265300" w:rsidP="0060289E">
            <w:pPr>
              <w:spacing w:line="360" w:lineRule="auto"/>
              <w:jc w:val="both"/>
              <w:rPr>
                <w:sz w:val="24"/>
                <w:szCs w:val="24"/>
              </w:rPr>
            </w:pPr>
            <w:r>
              <w:rPr>
                <w:sz w:val="24"/>
                <w:szCs w:val="24"/>
              </w:rPr>
              <w:t>Furthermore, in</w:t>
            </w:r>
            <w:r w:rsidR="0060289E">
              <w:rPr>
                <w:sz w:val="24"/>
                <w:szCs w:val="24"/>
              </w:rPr>
              <w:t xml:space="preserve"> adult safeguarding procedure ‘Adults at risk’ which links in with ‘Working Together to Safeguard people Vol 6: Handling different cases to Protect Adults at risk’</w:t>
            </w:r>
            <w:r w:rsidR="002C0CEE">
              <w:rPr>
                <w:sz w:val="24"/>
                <w:szCs w:val="24"/>
              </w:rPr>
              <w:t xml:space="preserve"> (NWSB 2018)</w:t>
            </w:r>
            <w:r w:rsidR="0060289E">
              <w:rPr>
                <w:sz w:val="24"/>
                <w:szCs w:val="24"/>
              </w:rPr>
              <w:t>, does not inform professionals to notify adult social services, as in accordance to Human Rights Act 1998 (HRA1998) an adult has the right to make unwise decisions</w:t>
            </w:r>
            <w:r w:rsidR="00487203">
              <w:rPr>
                <w:sz w:val="24"/>
                <w:szCs w:val="24"/>
              </w:rPr>
              <w:t xml:space="preserve"> and consent to initiate any </w:t>
            </w:r>
            <w:r w:rsidR="00584392">
              <w:rPr>
                <w:sz w:val="24"/>
                <w:szCs w:val="24"/>
              </w:rPr>
              <w:t>assessment of needs</w:t>
            </w:r>
            <w:r w:rsidR="00487203">
              <w:rPr>
                <w:sz w:val="24"/>
                <w:szCs w:val="24"/>
              </w:rPr>
              <w:t xml:space="preserve"> is necessary.</w:t>
            </w:r>
            <w:r w:rsidR="0060289E">
              <w:rPr>
                <w:sz w:val="24"/>
                <w:szCs w:val="24"/>
              </w:rPr>
              <w:t xml:space="preserve"> </w:t>
            </w:r>
            <w:r w:rsidR="005C0746">
              <w:rPr>
                <w:sz w:val="24"/>
                <w:szCs w:val="24"/>
              </w:rPr>
              <w:t>I</w:t>
            </w:r>
            <w:r w:rsidR="0060289E">
              <w:rPr>
                <w:sz w:val="24"/>
                <w:szCs w:val="24"/>
              </w:rPr>
              <w:t>f an adult lacks capacity under the Mental Capacity Act 2005 (MCA 2005), this will then lead to best interest decisions being made on behalf of the adult. Under the SSWBA 2014 p7</w:t>
            </w:r>
            <w:r w:rsidR="0060289E" w:rsidRPr="0034286E">
              <w:rPr>
                <w:sz w:val="24"/>
                <w:szCs w:val="24"/>
              </w:rPr>
              <w:t xml:space="preserve"> </w:t>
            </w:r>
            <w:r w:rsidR="0060289E">
              <w:rPr>
                <w:sz w:val="24"/>
                <w:szCs w:val="24"/>
              </w:rPr>
              <w:t>s127, an</w:t>
            </w:r>
            <w:r w:rsidR="0060289E" w:rsidRPr="0034286E">
              <w:rPr>
                <w:sz w:val="24"/>
                <w:szCs w:val="24"/>
              </w:rPr>
              <w:t xml:space="preserve"> Adult Protection </w:t>
            </w:r>
            <w:r w:rsidR="0060289E">
              <w:rPr>
                <w:sz w:val="24"/>
                <w:szCs w:val="24"/>
              </w:rPr>
              <w:t xml:space="preserve">and </w:t>
            </w:r>
            <w:r w:rsidR="0060289E" w:rsidRPr="0034286E">
              <w:rPr>
                <w:sz w:val="24"/>
                <w:szCs w:val="24"/>
              </w:rPr>
              <w:t>Support Order (APSO)</w:t>
            </w:r>
            <w:r w:rsidR="0060289E">
              <w:rPr>
                <w:sz w:val="24"/>
                <w:szCs w:val="24"/>
              </w:rPr>
              <w:t xml:space="preserve"> can be enforced. This</w:t>
            </w:r>
            <w:r w:rsidR="0060289E" w:rsidRPr="0034286E">
              <w:rPr>
                <w:sz w:val="24"/>
                <w:szCs w:val="24"/>
              </w:rPr>
              <w:t xml:space="preserve"> allows forced entry into a person’s home</w:t>
            </w:r>
            <w:r w:rsidR="0060289E">
              <w:rPr>
                <w:sz w:val="24"/>
                <w:szCs w:val="24"/>
              </w:rPr>
              <w:t xml:space="preserve"> with the support of the police,</w:t>
            </w:r>
            <w:r w:rsidR="0060289E" w:rsidRPr="0034286E">
              <w:rPr>
                <w:sz w:val="24"/>
                <w:szCs w:val="24"/>
              </w:rPr>
              <w:t xml:space="preserve"> where entry has been denied </w:t>
            </w:r>
            <w:r w:rsidR="0060289E">
              <w:rPr>
                <w:sz w:val="24"/>
                <w:szCs w:val="24"/>
              </w:rPr>
              <w:t xml:space="preserve">by either the adult at risk or the people involved with their care and/or support. For this to be enforced the professionals must prove </w:t>
            </w:r>
            <w:r w:rsidR="0060289E" w:rsidRPr="0034286E">
              <w:rPr>
                <w:sz w:val="24"/>
                <w:szCs w:val="24"/>
              </w:rPr>
              <w:t xml:space="preserve">all other avenues </w:t>
            </w:r>
            <w:r w:rsidR="0060289E" w:rsidRPr="0034286E">
              <w:rPr>
                <w:sz w:val="24"/>
                <w:szCs w:val="24"/>
              </w:rPr>
              <w:lastRenderedPageBreak/>
              <w:t xml:space="preserve">have been exhausted. </w:t>
            </w:r>
            <w:r w:rsidR="0060289E">
              <w:rPr>
                <w:sz w:val="24"/>
                <w:szCs w:val="24"/>
              </w:rPr>
              <w:t>HRA 1998 is</w:t>
            </w:r>
            <w:r w:rsidR="003D5EBC">
              <w:rPr>
                <w:sz w:val="24"/>
                <w:szCs w:val="24"/>
              </w:rPr>
              <w:t xml:space="preserve"> underpinned by</w:t>
            </w:r>
            <w:r w:rsidR="0060289E">
              <w:rPr>
                <w:sz w:val="24"/>
                <w:szCs w:val="24"/>
              </w:rPr>
              <w:t xml:space="preserve"> ‘The Convention’ which is European Convention of Human Rights, this applies to adults and children. There is a different convention specific to children United Nations Convention on the rights of the child (UNCRC) whic</w:t>
            </w:r>
            <w:r w:rsidR="004071D7">
              <w:rPr>
                <w:sz w:val="24"/>
                <w:szCs w:val="24"/>
              </w:rPr>
              <w:t>h was brought into force in 1989</w:t>
            </w:r>
            <w:r w:rsidR="0060289E">
              <w:rPr>
                <w:sz w:val="24"/>
                <w:szCs w:val="24"/>
              </w:rPr>
              <w:t xml:space="preserve">. </w:t>
            </w:r>
          </w:p>
          <w:p w14:paraId="37AD6B5E" w14:textId="77777777" w:rsidR="0060289E" w:rsidRDefault="0060289E" w:rsidP="0060289E">
            <w:pPr>
              <w:spacing w:line="360" w:lineRule="auto"/>
              <w:rPr>
                <w:sz w:val="24"/>
                <w:szCs w:val="24"/>
              </w:rPr>
            </w:pPr>
          </w:p>
          <w:p w14:paraId="08760B3D" w14:textId="288D3894" w:rsidR="00FC0334" w:rsidRPr="006108C9" w:rsidRDefault="00DF7AA7" w:rsidP="0060289E">
            <w:pPr>
              <w:spacing w:line="360" w:lineRule="auto"/>
              <w:rPr>
                <w:sz w:val="24"/>
                <w:szCs w:val="24"/>
              </w:rPr>
            </w:pPr>
            <w:r>
              <w:rPr>
                <w:sz w:val="24"/>
                <w:szCs w:val="24"/>
              </w:rPr>
              <w:t>Words: 433</w:t>
            </w:r>
          </w:p>
        </w:tc>
      </w:tr>
      <w:bookmarkEnd w:id="0"/>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92E3FB3" w:rsidR="00A5656A" w:rsidRDefault="00A5656A">
    <w:pPr>
      <w:pStyle w:val="Footer"/>
      <w:jc w:val="right"/>
    </w:pPr>
    <w:r>
      <w:fldChar w:fldCharType="begin"/>
    </w:r>
    <w:r>
      <w:instrText xml:space="preserve"> PAGE   \* MERGEFORMAT </w:instrText>
    </w:r>
    <w:r>
      <w:fldChar w:fldCharType="separate"/>
    </w:r>
    <w:r w:rsidR="00DB44B1">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177BBC"/>
    <w:multiLevelType w:val="hybridMultilevel"/>
    <w:tmpl w:val="6FD0E7E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FDE5C26"/>
    <w:multiLevelType w:val="hybridMultilevel"/>
    <w:tmpl w:val="D2800A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7"/>
  </w:num>
  <w:num w:numId="4">
    <w:abstractNumId w:val="49"/>
  </w:num>
  <w:num w:numId="5">
    <w:abstractNumId w:val="36"/>
  </w:num>
  <w:num w:numId="6">
    <w:abstractNumId w:val="34"/>
  </w:num>
  <w:num w:numId="7">
    <w:abstractNumId w:val="31"/>
  </w:num>
  <w:num w:numId="8">
    <w:abstractNumId w:val="32"/>
  </w:num>
  <w:num w:numId="9">
    <w:abstractNumId w:val="11"/>
  </w:num>
  <w:num w:numId="10">
    <w:abstractNumId w:val="35"/>
  </w:num>
  <w:num w:numId="11">
    <w:abstractNumId w:val="18"/>
  </w:num>
  <w:num w:numId="12">
    <w:abstractNumId w:val="17"/>
  </w:num>
  <w:num w:numId="13">
    <w:abstractNumId w:val="29"/>
  </w:num>
  <w:num w:numId="14">
    <w:abstractNumId w:val="9"/>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30"/>
  </w:num>
  <w:num w:numId="24">
    <w:abstractNumId w:val="20"/>
  </w:num>
  <w:num w:numId="25">
    <w:abstractNumId w:val="43"/>
  </w:num>
  <w:num w:numId="26">
    <w:abstractNumId w:val="37"/>
  </w:num>
  <w:num w:numId="27">
    <w:abstractNumId w:val="42"/>
  </w:num>
  <w:num w:numId="28">
    <w:abstractNumId w:val="21"/>
  </w:num>
  <w:num w:numId="29">
    <w:abstractNumId w:val="45"/>
  </w:num>
  <w:num w:numId="30">
    <w:abstractNumId w:val="33"/>
  </w:num>
  <w:num w:numId="31">
    <w:abstractNumId w:val="13"/>
  </w:num>
  <w:num w:numId="32">
    <w:abstractNumId w:val="46"/>
  </w:num>
  <w:num w:numId="33">
    <w:abstractNumId w:val="41"/>
  </w:num>
  <w:num w:numId="34">
    <w:abstractNumId w:val="6"/>
  </w:num>
  <w:num w:numId="35">
    <w:abstractNumId w:val="48"/>
  </w:num>
  <w:num w:numId="36">
    <w:abstractNumId w:val="44"/>
  </w:num>
  <w:num w:numId="37">
    <w:abstractNumId w:val="38"/>
  </w:num>
  <w:num w:numId="38">
    <w:abstractNumId w:val="39"/>
  </w:num>
  <w:num w:numId="39">
    <w:abstractNumId w:val="4"/>
  </w:num>
  <w:num w:numId="40">
    <w:abstractNumId w:val="7"/>
  </w:num>
  <w:num w:numId="41">
    <w:abstractNumId w:val="26"/>
  </w:num>
  <w:num w:numId="42">
    <w:abstractNumId w:val="8"/>
  </w:num>
  <w:num w:numId="43">
    <w:abstractNumId w:val="3"/>
  </w:num>
  <w:num w:numId="44">
    <w:abstractNumId w:val="40"/>
  </w:num>
  <w:num w:numId="45">
    <w:abstractNumId w:val="0"/>
  </w:num>
  <w:num w:numId="46">
    <w:abstractNumId w:val="15"/>
  </w:num>
  <w:num w:numId="47">
    <w:abstractNumId w:val="50"/>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30"/>
  </w:num>
  <w:num w:numId="51">
    <w:abstractNumId w:val="25"/>
  </w:num>
  <w:num w:numId="52">
    <w:abstractNumId w:val="22"/>
  </w:num>
  <w:num w:numId="53">
    <w:abstractNumId w:val="2"/>
  </w:num>
  <w:num w:numId="54">
    <w:abstractNumId w:val="5"/>
  </w:num>
  <w:num w:numId="55">
    <w:abstractNumId w:val="2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4AA7"/>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018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7074"/>
    <w:rsid w:val="001270C6"/>
    <w:rsid w:val="00130119"/>
    <w:rsid w:val="00132812"/>
    <w:rsid w:val="001347F8"/>
    <w:rsid w:val="001359EE"/>
    <w:rsid w:val="00137BB5"/>
    <w:rsid w:val="00137E05"/>
    <w:rsid w:val="00142299"/>
    <w:rsid w:val="001447F6"/>
    <w:rsid w:val="00147DE3"/>
    <w:rsid w:val="001506B3"/>
    <w:rsid w:val="00150794"/>
    <w:rsid w:val="00151DA6"/>
    <w:rsid w:val="001608C4"/>
    <w:rsid w:val="00164832"/>
    <w:rsid w:val="00167033"/>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300"/>
    <w:rsid w:val="002657E9"/>
    <w:rsid w:val="0026665E"/>
    <w:rsid w:val="0027147E"/>
    <w:rsid w:val="002761F4"/>
    <w:rsid w:val="0027730C"/>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0C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5EBC"/>
    <w:rsid w:val="003E16D7"/>
    <w:rsid w:val="003E197E"/>
    <w:rsid w:val="003E4B70"/>
    <w:rsid w:val="003E54CF"/>
    <w:rsid w:val="003E5FBA"/>
    <w:rsid w:val="003F1233"/>
    <w:rsid w:val="003F67A4"/>
    <w:rsid w:val="00400786"/>
    <w:rsid w:val="00401FDA"/>
    <w:rsid w:val="004046F0"/>
    <w:rsid w:val="0040668F"/>
    <w:rsid w:val="004071D7"/>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7203"/>
    <w:rsid w:val="004911B4"/>
    <w:rsid w:val="0049196A"/>
    <w:rsid w:val="00491E8B"/>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392"/>
    <w:rsid w:val="00586D89"/>
    <w:rsid w:val="005877C8"/>
    <w:rsid w:val="00587923"/>
    <w:rsid w:val="00594F9F"/>
    <w:rsid w:val="005A1B4C"/>
    <w:rsid w:val="005A545C"/>
    <w:rsid w:val="005B271A"/>
    <w:rsid w:val="005B3A2D"/>
    <w:rsid w:val="005C0746"/>
    <w:rsid w:val="005C1567"/>
    <w:rsid w:val="005C28D3"/>
    <w:rsid w:val="005C6CE5"/>
    <w:rsid w:val="005D3F07"/>
    <w:rsid w:val="005D4A1E"/>
    <w:rsid w:val="005D4F72"/>
    <w:rsid w:val="005E13EA"/>
    <w:rsid w:val="005E17F1"/>
    <w:rsid w:val="005F64AA"/>
    <w:rsid w:val="005F7851"/>
    <w:rsid w:val="0060289E"/>
    <w:rsid w:val="00606E27"/>
    <w:rsid w:val="006108C9"/>
    <w:rsid w:val="00614DF7"/>
    <w:rsid w:val="006179BB"/>
    <w:rsid w:val="0062158D"/>
    <w:rsid w:val="0062231B"/>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0430"/>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87736"/>
    <w:rsid w:val="00991FDA"/>
    <w:rsid w:val="00992ACA"/>
    <w:rsid w:val="009A353A"/>
    <w:rsid w:val="009A5F3B"/>
    <w:rsid w:val="009A5F79"/>
    <w:rsid w:val="009A6F87"/>
    <w:rsid w:val="009A73AE"/>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5FB3"/>
    <w:rsid w:val="00A906AA"/>
    <w:rsid w:val="00A94C5E"/>
    <w:rsid w:val="00AA252C"/>
    <w:rsid w:val="00AA666E"/>
    <w:rsid w:val="00AA7960"/>
    <w:rsid w:val="00AB5518"/>
    <w:rsid w:val="00AB5547"/>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396"/>
    <w:rsid w:val="00BB5EAA"/>
    <w:rsid w:val="00BB5F11"/>
    <w:rsid w:val="00BB6638"/>
    <w:rsid w:val="00BB785A"/>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2E5A"/>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46C51"/>
    <w:rsid w:val="00D51FD5"/>
    <w:rsid w:val="00D55DE0"/>
    <w:rsid w:val="00D607EF"/>
    <w:rsid w:val="00D60F88"/>
    <w:rsid w:val="00D646BD"/>
    <w:rsid w:val="00D65558"/>
    <w:rsid w:val="00D71201"/>
    <w:rsid w:val="00D720C7"/>
    <w:rsid w:val="00D84841"/>
    <w:rsid w:val="00D876E6"/>
    <w:rsid w:val="00D90958"/>
    <w:rsid w:val="00DA1025"/>
    <w:rsid w:val="00DA197C"/>
    <w:rsid w:val="00DA22EC"/>
    <w:rsid w:val="00DA5682"/>
    <w:rsid w:val="00DA5860"/>
    <w:rsid w:val="00DA5C0C"/>
    <w:rsid w:val="00DB2767"/>
    <w:rsid w:val="00DB44B1"/>
    <w:rsid w:val="00DC1B10"/>
    <w:rsid w:val="00DC2924"/>
    <w:rsid w:val="00DC4729"/>
    <w:rsid w:val="00DD31C5"/>
    <w:rsid w:val="00DD5020"/>
    <w:rsid w:val="00DD63BE"/>
    <w:rsid w:val="00DE4296"/>
    <w:rsid w:val="00DF2469"/>
    <w:rsid w:val="00DF7899"/>
    <w:rsid w:val="00DF7AA7"/>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378A"/>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2C7B"/>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AB55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FD126A6-5FCE-4A2F-BEFE-AB0267748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1129</Words>
  <Characters>5895</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Jodie Wood</cp:lastModifiedBy>
  <cp:revision>2</cp:revision>
  <cp:lastPrinted>2020-02-11T19:20:00Z</cp:lastPrinted>
  <dcterms:created xsi:type="dcterms:W3CDTF">2023-02-21T19:46:00Z</dcterms:created>
  <dcterms:modified xsi:type="dcterms:W3CDTF">2023-02-21T19:46:00Z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