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113A7E5" w14:textId="77777777" w:rsidR="0092268A" w:rsidRPr="002A0868" w:rsidRDefault="0092268A"/>
    <w:p w14:paraId="5FC4B571" w14:textId="77777777" w:rsidR="00711FBB" w:rsidRPr="002A0868" w:rsidRDefault="00711FBB"/>
    <w:p w14:paraId="57A6D748" w14:textId="77777777" w:rsidR="00711FBB" w:rsidRPr="002A0868" w:rsidRDefault="00711FBB"/>
    <w:p w14:paraId="5B22AC7C" w14:textId="77777777" w:rsidR="00711FBB" w:rsidRPr="00A71276" w:rsidRDefault="00711FBB" w:rsidP="00711FBB">
      <w:pPr>
        <w:jc w:val="center"/>
        <w:rPr>
          <w:b/>
          <w:bCs/>
          <w:sz w:val="52"/>
          <w:szCs w:val="52"/>
        </w:rPr>
      </w:pPr>
      <w:r w:rsidRPr="00A71276">
        <w:rPr>
          <w:b/>
          <w:bCs/>
          <w:sz w:val="52"/>
          <w:szCs w:val="52"/>
        </w:rPr>
        <w:t>LCBB4010</w:t>
      </w:r>
    </w:p>
    <w:p w14:paraId="5C40021D" w14:textId="77777777" w:rsidR="00711FBB" w:rsidRPr="00A71276" w:rsidRDefault="00711FBB" w:rsidP="00711FBB">
      <w:pPr>
        <w:jc w:val="center"/>
        <w:rPr>
          <w:b/>
          <w:bCs/>
          <w:sz w:val="52"/>
          <w:szCs w:val="52"/>
        </w:rPr>
      </w:pPr>
      <w:r w:rsidRPr="00A71276">
        <w:rPr>
          <w:b/>
          <w:bCs/>
          <w:sz w:val="52"/>
          <w:szCs w:val="52"/>
        </w:rPr>
        <w:t>GLOBAL BUSINESS ENVIRONMENT</w:t>
      </w:r>
    </w:p>
    <w:p w14:paraId="201DAC21" w14:textId="77777777" w:rsidR="003A0FD8" w:rsidRDefault="003A0FD8" w:rsidP="00711FBB">
      <w:pPr>
        <w:jc w:val="center"/>
        <w:rPr>
          <w:b/>
          <w:bCs/>
          <w:sz w:val="32"/>
          <w:szCs w:val="36"/>
        </w:rPr>
      </w:pPr>
    </w:p>
    <w:p w14:paraId="059ABDE2" w14:textId="77777777" w:rsidR="003A0FD8" w:rsidRDefault="003A0FD8" w:rsidP="00711FBB">
      <w:pPr>
        <w:jc w:val="center"/>
        <w:rPr>
          <w:b/>
          <w:bCs/>
          <w:sz w:val="32"/>
          <w:szCs w:val="36"/>
        </w:rPr>
      </w:pPr>
    </w:p>
    <w:p w14:paraId="0DF0F68B" w14:textId="77777777" w:rsidR="003A0FD8" w:rsidRDefault="003A0FD8" w:rsidP="00711FBB">
      <w:pPr>
        <w:jc w:val="center"/>
        <w:rPr>
          <w:b/>
          <w:bCs/>
          <w:sz w:val="32"/>
          <w:szCs w:val="36"/>
        </w:rPr>
      </w:pPr>
    </w:p>
    <w:p w14:paraId="502E2AAA" w14:textId="71F46F55" w:rsidR="003A0FD8" w:rsidRDefault="00A71276" w:rsidP="00711FBB">
      <w:pPr>
        <w:jc w:val="center"/>
        <w:rPr>
          <w:b/>
          <w:bCs/>
          <w:sz w:val="32"/>
          <w:szCs w:val="36"/>
        </w:rPr>
      </w:pPr>
      <w:r>
        <w:rPr>
          <w:b/>
          <w:bCs/>
          <w:sz w:val="32"/>
          <w:szCs w:val="36"/>
        </w:rPr>
        <w:t xml:space="preserve">IONUT HRISCA </w:t>
      </w:r>
    </w:p>
    <w:p w14:paraId="54B6CBE3" w14:textId="74A9B623" w:rsidR="003A0FD8" w:rsidRPr="00711FBB" w:rsidRDefault="003A0FD8" w:rsidP="00711FBB">
      <w:pPr>
        <w:jc w:val="center"/>
        <w:rPr>
          <w:b/>
          <w:bCs/>
          <w:sz w:val="32"/>
          <w:szCs w:val="36"/>
        </w:rPr>
      </w:pPr>
      <w:r>
        <w:rPr>
          <w:b/>
          <w:bCs/>
          <w:sz w:val="32"/>
          <w:szCs w:val="36"/>
        </w:rPr>
        <w:t>STUDENT ID:</w:t>
      </w:r>
      <w:r w:rsidR="00A71276">
        <w:rPr>
          <w:b/>
          <w:bCs/>
          <w:sz w:val="32"/>
          <w:szCs w:val="36"/>
        </w:rPr>
        <w:t xml:space="preserve"> 2243953</w:t>
      </w:r>
    </w:p>
    <w:p w14:paraId="0D6B1E02" w14:textId="77777777" w:rsidR="00A6048A" w:rsidRPr="002A0868" w:rsidRDefault="00711FBB">
      <w:pPr>
        <w:spacing w:line="259" w:lineRule="auto"/>
        <w:jc w:val="left"/>
      </w:pPr>
      <w:r w:rsidRPr="002A0868">
        <w:br w:type="page"/>
      </w:r>
    </w:p>
    <w:sdt>
      <w:sdtPr>
        <w:rPr>
          <w:rFonts w:ascii="Times New Roman" w:eastAsiaTheme="minorHAnsi" w:hAnsi="Times New Roman" w:cstheme="minorBidi"/>
          <w:color w:val="auto"/>
          <w:kern w:val="2"/>
          <w:sz w:val="24"/>
          <w:szCs w:val="28"/>
          <w:lang w:val="en-GB" w:bidi="th-TH"/>
        </w:rPr>
        <w:id w:val="807285659"/>
        <w:docPartObj>
          <w:docPartGallery w:val="Table of Contents"/>
          <w:docPartUnique/>
        </w:docPartObj>
      </w:sdtPr>
      <w:sdtEndPr>
        <w:rPr>
          <w:b/>
          <w:bCs/>
          <w:noProof/>
        </w:rPr>
      </w:sdtEndPr>
      <w:sdtContent>
        <w:p w14:paraId="616AE8AC" w14:textId="2C017107" w:rsidR="00A6048A" w:rsidRPr="00A6048A" w:rsidRDefault="00A6048A" w:rsidP="00A6048A">
          <w:pPr>
            <w:pStyle w:val="TOCHeading"/>
            <w:jc w:val="center"/>
            <w:rPr>
              <w:rFonts w:ascii="Times New Roman" w:hAnsi="Times New Roman" w:cs="Times New Roman"/>
              <w:b/>
              <w:bCs/>
              <w:color w:val="auto"/>
              <w:sz w:val="24"/>
              <w:szCs w:val="24"/>
            </w:rPr>
          </w:pPr>
          <w:r w:rsidRPr="00A6048A">
            <w:rPr>
              <w:rFonts w:ascii="Times New Roman" w:hAnsi="Times New Roman" w:cs="Times New Roman"/>
              <w:b/>
              <w:bCs/>
              <w:color w:val="auto"/>
              <w:sz w:val="24"/>
              <w:szCs w:val="24"/>
            </w:rPr>
            <w:t>Table of Contents</w:t>
          </w:r>
        </w:p>
        <w:p w14:paraId="582D4630" w14:textId="7800EFA5" w:rsidR="005C7CAB" w:rsidRDefault="00A6048A">
          <w:pPr>
            <w:pStyle w:val="TOC1"/>
            <w:tabs>
              <w:tab w:val="right" w:leader="dot" w:pos="9016"/>
            </w:tabs>
            <w:rPr>
              <w:rFonts w:asciiTheme="minorHAnsi" w:eastAsiaTheme="minorEastAsia" w:hAnsiTheme="minorHAnsi"/>
              <w:noProof/>
              <w:sz w:val="22"/>
              <w:szCs w:val="22"/>
              <w:lang w:val="en-IN" w:eastAsia="en-IN" w:bidi="ar-SA"/>
            </w:rPr>
          </w:pPr>
          <w:r>
            <w:fldChar w:fldCharType="begin"/>
          </w:r>
          <w:r>
            <w:instrText xml:space="preserve"> TOC \o "1-3" \h \z \u </w:instrText>
          </w:r>
          <w:r>
            <w:fldChar w:fldCharType="separate"/>
          </w:r>
          <w:hyperlink w:anchor="_Toc173672001" w:history="1">
            <w:r w:rsidR="005C7CAB" w:rsidRPr="00FE3824">
              <w:rPr>
                <w:rStyle w:val="Hyperlink"/>
                <w:noProof/>
              </w:rPr>
              <w:t>Introduction</w:t>
            </w:r>
            <w:r w:rsidR="005C7CAB">
              <w:rPr>
                <w:noProof/>
                <w:webHidden/>
              </w:rPr>
              <w:tab/>
            </w:r>
            <w:r w:rsidR="005C7CAB">
              <w:rPr>
                <w:noProof/>
                <w:webHidden/>
              </w:rPr>
              <w:fldChar w:fldCharType="begin"/>
            </w:r>
            <w:r w:rsidR="005C7CAB">
              <w:rPr>
                <w:noProof/>
                <w:webHidden/>
              </w:rPr>
              <w:instrText xml:space="preserve"> PAGEREF _Toc173672001 \h </w:instrText>
            </w:r>
            <w:r w:rsidR="005C7CAB">
              <w:rPr>
                <w:noProof/>
                <w:webHidden/>
              </w:rPr>
            </w:r>
            <w:r w:rsidR="005C7CAB">
              <w:rPr>
                <w:noProof/>
                <w:webHidden/>
              </w:rPr>
              <w:fldChar w:fldCharType="separate"/>
            </w:r>
            <w:r w:rsidR="005C7CAB">
              <w:rPr>
                <w:noProof/>
                <w:webHidden/>
              </w:rPr>
              <w:t>2</w:t>
            </w:r>
            <w:r w:rsidR="005C7CAB">
              <w:rPr>
                <w:noProof/>
                <w:webHidden/>
              </w:rPr>
              <w:fldChar w:fldCharType="end"/>
            </w:r>
          </w:hyperlink>
        </w:p>
        <w:p w14:paraId="5BEA83FD" w14:textId="7E622C7D" w:rsidR="005C7CAB" w:rsidRDefault="00000000">
          <w:pPr>
            <w:pStyle w:val="TOC1"/>
            <w:tabs>
              <w:tab w:val="right" w:leader="dot" w:pos="9016"/>
            </w:tabs>
            <w:rPr>
              <w:rFonts w:asciiTheme="minorHAnsi" w:eastAsiaTheme="minorEastAsia" w:hAnsiTheme="minorHAnsi"/>
              <w:noProof/>
              <w:sz w:val="22"/>
              <w:szCs w:val="22"/>
              <w:lang w:val="en-IN" w:eastAsia="en-IN" w:bidi="ar-SA"/>
            </w:rPr>
          </w:pPr>
          <w:hyperlink w:anchor="_Toc173672002" w:history="1">
            <w:r w:rsidR="005C7CAB" w:rsidRPr="00FE3824">
              <w:rPr>
                <w:rStyle w:val="Hyperlink"/>
                <w:noProof/>
              </w:rPr>
              <w:t>PESTLE analysis</w:t>
            </w:r>
            <w:r w:rsidR="005C7CAB">
              <w:rPr>
                <w:noProof/>
                <w:webHidden/>
              </w:rPr>
              <w:tab/>
            </w:r>
            <w:r w:rsidR="005C7CAB">
              <w:rPr>
                <w:noProof/>
                <w:webHidden/>
              </w:rPr>
              <w:fldChar w:fldCharType="begin"/>
            </w:r>
            <w:r w:rsidR="005C7CAB">
              <w:rPr>
                <w:noProof/>
                <w:webHidden/>
              </w:rPr>
              <w:instrText xml:space="preserve"> PAGEREF _Toc173672002 \h </w:instrText>
            </w:r>
            <w:r w:rsidR="005C7CAB">
              <w:rPr>
                <w:noProof/>
                <w:webHidden/>
              </w:rPr>
            </w:r>
            <w:r w:rsidR="005C7CAB">
              <w:rPr>
                <w:noProof/>
                <w:webHidden/>
              </w:rPr>
              <w:fldChar w:fldCharType="separate"/>
            </w:r>
            <w:r w:rsidR="005C7CAB">
              <w:rPr>
                <w:noProof/>
                <w:webHidden/>
              </w:rPr>
              <w:t>2</w:t>
            </w:r>
            <w:r w:rsidR="005C7CAB">
              <w:rPr>
                <w:noProof/>
                <w:webHidden/>
              </w:rPr>
              <w:fldChar w:fldCharType="end"/>
            </w:r>
          </w:hyperlink>
        </w:p>
        <w:p w14:paraId="4ED677F8" w14:textId="0A5B29DE" w:rsidR="005C7CAB" w:rsidRDefault="00000000">
          <w:pPr>
            <w:pStyle w:val="TOC1"/>
            <w:tabs>
              <w:tab w:val="right" w:leader="dot" w:pos="9016"/>
            </w:tabs>
            <w:rPr>
              <w:rFonts w:asciiTheme="minorHAnsi" w:eastAsiaTheme="minorEastAsia" w:hAnsiTheme="minorHAnsi"/>
              <w:noProof/>
              <w:sz w:val="22"/>
              <w:szCs w:val="22"/>
              <w:lang w:val="en-IN" w:eastAsia="en-IN" w:bidi="ar-SA"/>
            </w:rPr>
          </w:pPr>
          <w:hyperlink w:anchor="_Toc173672003" w:history="1">
            <w:r w:rsidR="005C7CAB" w:rsidRPr="00FE3824">
              <w:rPr>
                <w:rStyle w:val="Hyperlink"/>
                <w:noProof/>
              </w:rPr>
              <w:t>Porters five force analysis</w:t>
            </w:r>
            <w:r w:rsidR="005C7CAB">
              <w:rPr>
                <w:noProof/>
                <w:webHidden/>
              </w:rPr>
              <w:tab/>
            </w:r>
            <w:r w:rsidR="005C7CAB">
              <w:rPr>
                <w:noProof/>
                <w:webHidden/>
              </w:rPr>
              <w:fldChar w:fldCharType="begin"/>
            </w:r>
            <w:r w:rsidR="005C7CAB">
              <w:rPr>
                <w:noProof/>
                <w:webHidden/>
              </w:rPr>
              <w:instrText xml:space="preserve"> PAGEREF _Toc173672003 \h </w:instrText>
            </w:r>
            <w:r w:rsidR="005C7CAB">
              <w:rPr>
                <w:noProof/>
                <w:webHidden/>
              </w:rPr>
            </w:r>
            <w:r w:rsidR="005C7CAB">
              <w:rPr>
                <w:noProof/>
                <w:webHidden/>
              </w:rPr>
              <w:fldChar w:fldCharType="separate"/>
            </w:r>
            <w:r w:rsidR="005C7CAB">
              <w:rPr>
                <w:noProof/>
                <w:webHidden/>
              </w:rPr>
              <w:t>5</w:t>
            </w:r>
            <w:r w:rsidR="005C7CAB">
              <w:rPr>
                <w:noProof/>
                <w:webHidden/>
              </w:rPr>
              <w:fldChar w:fldCharType="end"/>
            </w:r>
          </w:hyperlink>
        </w:p>
        <w:p w14:paraId="14C556FD" w14:textId="19807731" w:rsidR="005C7CAB" w:rsidRDefault="00000000">
          <w:pPr>
            <w:pStyle w:val="TOC1"/>
            <w:tabs>
              <w:tab w:val="right" w:leader="dot" w:pos="9016"/>
            </w:tabs>
            <w:rPr>
              <w:rFonts w:asciiTheme="minorHAnsi" w:eastAsiaTheme="minorEastAsia" w:hAnsiTheme="minorHAnsi"/>
              <w:noProof/>
              <w:sz w:val="22"/>
              <w:szCs w:val="22"/>
              <w:lang w:val="en-IN" w:eastAsia="en-IN" w:bidi="ar-SA"/>
            </w:rPr>
          </w:pPr>
          <w:hyperlink w:anchor="_Toc173672004" w:history="1">
            <w:r w:rsidR="005C7CAB" w:rsidRPr="00FE3824">
              <w:rPr>
                <w:rStyle w:val="Hyperlink"/>
                <w:noProof/>
              </w:rPr>
              <w:t>Shareholders analysis</w:t>
            </w:r>
            <w:r w:rsidR="005C7CAB">
              <w:rPr>
                <w:noProof/>
                <w:webHidden/>
              </w:rPr>
              <w:tab/>
            </w:r>
            <w:r w:rsidR="005C7CAB">
              <w:rPr>
                <w:noProof/>
                <w:webHidden/>
              </w:rPr>
              <w:fldChar w:fldCharType="begin"/>
            </w:r>
            <w:r w:rsidR="005C7CAB">
              <w:rPr>
                <w:noProof/>
                <w:webHidden/>
              </w:rPr>
              <w:instrText xml:space="preserve"> PAGEREF _Toc173672004 \h </w:instrText>
            </w:r>
            <w:r w:rsidR="005C7CAB">
              <w:rPr>
                <w:noProof/>
                <w:webHidden/>
              </w:rPr>
            </w:r>
            <w:r w:rsidR="005C7CAB">
              <w:rPr>
                <w:noProof/>
                <w:webHidden/>
              </w:rPr>
              <w:fldChar w:fldCharType="separate"/>
            </w:r>
            <w:r w:rsidR="005C7CAB">
              <w:rPr>
                <w:noProof/>
                <w:webHidden/>
              </w:rPr>
              <w:t>7</w:t>
            </w:r>
            <w:r w:rsidR="005C7CAB">
              <w:rPr>
                <w:noProof/>
                <w:webHidden/>
              </w:rPr>
              <w:fldChar w:fldCharType="end"/>
            </w:r>
          </w:hyperlink>
        </w:p>
        <w:p w14:paraId="71A6DEFB" w14:textId="7B3D6599" w:rsidR="005C7CAB" w:rsidRDefault="00000000">
          <w:pPr>
            <w:pStyle w:val="TOC1"/>
            <w:tabs>
              <w:tab w:val="right" w:leader="dot" w:pos="9016"/>
            </w:tabs>
            <w:rPr>
              <w:rFonts w:asciiTheme="minorHAnsi" w:eastAsiaTheme="minorEastAsia" w:hAnsiTheme="minorHAnsi"/>
              <w:noProof/>
              <w:sz w:val="22"/>
              <w:szCs w:val="22"/>
              <w:lang w:val="en-IN" w:eastAsia="en-IN" w:bidi="ar-SA"/>
            </w:rPr>
          </w:pPr>
          <w:hyperlink w:anchor="_Toc173672005" w:history="1">
            <w:r w:rsidR="005C7CAB" w:rsidRPr="00FE3824">
              <w:rPr>
                <w:rStyle w:val="Hyperlink"/>
                <w:noProof/>
              </w:rPr>
              <w:t>Conclusion</w:t>
            </w:r>
            <w:r w:rsidR="005C7CAB">
              <w:rPr>
                <w:noProof/>
                <w:webHidden/>
              </w:rPr>
              <w:tab/>
            </w:r>
            <w:r w:rsidR="005C7CAB">
              <w:rPr>
                <w:noProof/>
                <w:webHidden/>
              </w:rPr>
              <w:fldChar w:fldCharType="begin"/>
            </w:r>
            <w:r w:rsidR="005C7CAB">
              <w:rPr>
                <w:noProof/>
                <w:webHidden/>
              </w:rPr>
              <w:instrText xml:space="preserve"> PAGEREF _Toc173672005 \h </w:instrText>
            </w:r>
            <w:r w:rsidR="005C7CAB">
              <w:rPr>
                <w:noProof/>
                <w:webHidden/>
              </w:rPr>
            </w:r>
            <w:r w:rsidR="005C7CAB">
              <w:rPr>
                <w:noProof/>
                <w:webHidden/>
              </w:rPr>
              <w:fldChar w:fldCharType="separate"/>
            </w:r>
            <w:r w:rsidR="005C7CAB">
              <w:rPr>
                <w:noProof/>
                <w:webHidden/>
              </w:rPr>
              <w:t>8</w:t>
            </w:r>
            <w:r w:rsidR="005C7CAB">
              <w:rPr>
                <w:noProof/>
                <w:webHidden/>
              </w:rPr>
              <w:fldChar w:fldCharType="end"/>
            </w:r>
          </w:hyperlink>
        </w:p>
        <w:p w14:paraId="29C5306E" w14:textId="6ECCD7BB" w:rsidR="005C7CAB" w:rsidRDefault="00000000">
          <w:pPr>
            <w:pStyle w:val="TOC1"/>
            <w:tabs>
              <w:tab w:val="right" w:leader="dot" w:pos="9016"/>
            </w:tabs>
            <w:rPr>
              <w:rFonts w:asciiTheme="minorHAnsi" w:eastAsiaTheme="minorEastAsia" w:hAnsiTheme="minorHAnsi"/>
              <w:noProof/>
              <w:sz w:val="22"/>
              <w:szCs w:val="22"/>
              <w:lang w:val="en-IN" w:eastAsia="en-IN" w:bidi="ar-SA"/>
            </w:rPr>
          </w:pPr>
          <w:hyperlink w:anchor="_Toc173672006" w:history="1">
            <w:r w:rsidR="005C7CAB" w:rsidRPr="00FE3824">
              <w:rPr>
                <w:rStyle w:val="Hyperlink"/>
                <w:noProof/>
                <w:lang w:val="en-US"/>
              </w:rPr>
              <w:t>References</w:t>
            </w:r>
            <w:r w:rsidR="005C7CAB">
              <w:rPr>
                <w:noProof/>
                <w:webHidden/>
              </w:rPr>
              <w:tab/>
            </w:r>
            <w:r w:rsidR="005C7CAB">
              <w:rPr>
                <w:noProof/>
                <w:webHidden/>
              </w:rPr>
              <w:fldChar w:fldCharType="begin"/>
            </w:r>
            <w:r w:rsidR="005C7CAB">
              <w:rPr>
                <w:noProof/>
                <w:webHidden/>
              </w:rPr>
              <w:instrText xml:space="preserve"> PAGEREF _Toc173672006 \h </w:instrText>
            </w:r>
            <w:r w:rsidR="005C7CAB">
              <w:rPr>
                <w:noProof/>
                <w:webHidden/>
              </w:rPr>
            </w:r>
            <w:r w:rsidR="005C7CAB">
              <w:rPr>
                <w:noProof/>
                <w:webHidden/>
              </w:rPr>
              <w:fldChar w:fldCharType="separate"/>
            </w:r>
            <w:r w:rsidR="005C7CAB">
              <w:rPr>
                <w:noProof/>
                <w:webHidden/>
              </w:rPr>
              <w:t>9</w:t>
            </w:r>
            <w:r w:rsidR="005C7CAB">
              <w:rPr>
                <w:noProof/>
                <w:webHidden/>
              </w:rPr>
              <w:fldChar w:fldCharType="end"/>
            </w:r>
          </w:hyperlink>
        </w:p>
        <w:p w14:paraId="5D6D064B" w14:textId="0CDFBF82" w:rsidR="00A6048A" w:rsidRDefault="00A6048A">
          <w:r>
            <w:rPr>
              <w:b/>
              <w:bCs/>
              <w:noProof/>
            </w:rPr>
            <w:fldChar w:fldCharType="end"/>
          </w:r>
        </w:p>
      </w:sdtContent>
    </w:sdt>
    <w:p w14:paraId="5F97CD12" w14:textId="47DE7C06" w:rsidR="00A6048A" w:rsidRDefault="00A6048A">
      <w:pPr>
        <w:spacing w:line="259" w:lineRule="auto"/>
        <w:jc w:val="left"/>
      </w:pPr>
      <w:r>
        <w:br w:type="page"/>
      </w:r>
    </w:p>
    <w:p w14:paraId="6C32811F" w14:textId="47DDCD39" w:rsidR="00711FBB" w:rsidRPr="002A0868" w:rsidRDefault="00DE2097" w:rsidP="00DE2097">
      <w:pPr>
        <w:pStyle w:val="Heading1"/>
      </w:pPr>
      <w:bookmarkStart w:id="0" w:name="_Toc173672001"/>
      <w:r w:rsidRPr="002A0868">
        <w:lastRenderedPageBreak/>
        <w:t>Introduction</w:t>
      </w:r>
      <w:bookmarkEnd w:id="0"/>
    </w:p>
    <w:p w14:paraId="7DEE6E3A" w14:textId="3E63C7FB" w:rsidR="002A0868" w:rsidRPr="002A0868" w:rsidRDefault="00A73843" w:rsidP="002A0868">
      <w:r w:rsidRPr="00A73843">
        <w:t>PESTLE analysis is one of the strategic tools that is applied in a business organization to determine the macro factors in the external environment. Knowledge of these elements is important as they assist organisations to prepare for changes in environmental forces and to manage threats and opportunities in these frameworks effectively. This essay will investigate each of the factors that come under PESTLE and how each of the has an effect and implication to the hospitality industry.</w:t>
      </w:r>
      <w:r w:rsidR="007F5EF9">
        <w:t xml:space="preserve"> The essay will also provide shareholders analysis and porters five force analysis for better understanding the macro-economic factors.</w:t>
      </w:r>
    </w:p>
    <w:p w14:paraId="74BC205B" w14:textId="290EC090" w:rsidR="00DE2097" w:rsidRPr="002A0868" w:rsidRDefault="00DE2097" w:rsidP="00DE2097">
      <w:pPr>
        <w:pStyle w:val="Heading1"/>
      </w:pPr>
      <w:bookmarkStart w:id="1" w:name="_Toc173672002"/>
      <w:r w:rsidRPr="002A0868">
        <w:t>PESTLE analysis</w:t>
      </w:r>
      <w:bookmarkEnd w:id="1"/>
    </w:p>
    <w:p w14:paraId="2CDCE685" w14:textId="7E032ACA" w:rsidR="002A0868" w:rsidRDefault="002A0868" w:rsidP="002A0868">
      <w:pPr>
        <w:rPr>
          <w:b/>
          <w:bCs/>
          <w:i/>
          <w:iCs/>
        </w:rPr>
      </w:pPr>
      <w:r w:rsidRPr="002A0868">
        <w:rPr>
          <w:b/>
          <w:bCs/>
          <w:i/>
          <w:iCs/>
        </w:rPr>
        <w:t>Political Factors:</w:t>
      </w:r>
    </w:p>
    <w:p w14:paraId="530A231F" w14:textId="1F067F4B" w:rsidR="005616C7" w:rsidRDefault="005616C7" w:rsidP="005616C7">
      <w:pPr>
        <w:jc w:val="center"/>
      </w:pPr>
      <w:r w:rsidRPr="005616C7">
        <w:rPr>
          <w:noProof/>
        </w:rPr>
        <w:drawing>
          <wp:inline distT="0" distB="0" distL="0" distR="0" wp14:anchorId="574E15F8" wp14:editId="23826C50">
            <wp:extent cx="4771390" cy="2948154"/>
            <wp:effectExtent l="0" t="0" r="0" b="0"/>
            <wp:docPr id="6646013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4601397" name=""/>
                    <pic:cNvPicPr/>
                  </pic:nvPicPr>
                  <pic:blipFill>
                    <a:blip r:embed="rId7"/>
                    <a:stretch>
                      <a:fillRect/>
                    </a:stretch>
                  </pic:blipFill>
                  <pic:spPr>
                    <a:xfrm>
                      <a:off x="0" y="0"/>
                      <a:ext cx="4777858" cy="2952151"/>
                    </a:xfrm>
                    <a:prstGeom prst="rect">
                      <a:avLst/>
                    </a:prstGeom>
                  </pic:spPr>
                </pic:pic>
              </a:graphicData>
            </a:graphic>
          </wp:inline>
        </w:drawing>
      </w:r>
    </w:p>
    <w:p w14:paraId="0342EF90" w14:textId="77777777" w:rsidR="005616C7" w:rsidRPr="005616C7" w:rsidRDefault="005616C7" w:rsidP="005616C7">
      <w:pPr>
        <w:jc w:val="center"/>
        <w:rPr>
          <w:b/>
          <w:bCs/>
        </w:rPr>
      </w:pPr>
      <w:r w:rsidRPr="005616C7">
        <w:rPr>
          <w:b/>
          <w:bCs/>
        </w:rPr>
        <w:t xml:space="preserve">Figure 1: Labour turnover in Hospitality sector </w:t>
      </w:r>
    </w:p>
    <w:p w14:paraId="39ED2581" w14:textId="77777777" w:rsidR="005616C7" w:rsidRPr="002A0868" w:rsidRDefault="005616C7" w:rsidP="005616C7">
      <w:pPr>
        <w:jc w:val="center"/>
      </w:pPr>
      <w:r>
        <w:t xml:space="preserve">(Source: </w:t>
      </w:r>
      <w:r w:rsidRPr="005616C7">
        <w:rPr>
          <w:lang w:val="en-IN"/>
        </w:rPr>
        <w:t>Statista</w:t>
      </w:r>
      <w:r>
        <w:rPr>
          <w:lang w:val="en-IN"/>
        </w:rPr>
        <w:t xml:space="preserve">, </w:t>
      </w:r>
      <w:r w:rsidRPr="005616C7">
        <w:rPr>
          <w:lang w:val="en-IN"/>
        </w:rPr>
        <w:t>2023</w:t>
      </w:r>
      <w:r>
        <w:rPr>
          <w:lang w:val="en-IN"/>
        </w:rPr>
        <w:t>)</w:t>
      </w:r>
    </w:p>
    <w:p w14:paraId="31843DE1" w14:textId="39FD78A3" w:rsidR="002A0868" w:rsidRPr="002A0868" w:rsidRDefault="002A0868" w:rsidP="002A0868">
      <w:r w:rsidRPr="002A0868">
        <w:t>The hospitality industry in the UK is particularly sensitive to political changes and polices. The EU exit referred to as Brexit has had some impacts most especially concerning employee supply and commerce. Data from the Office for National Statistics (ONS) indicates that the hospitality industry was a major employer of EU citizens, with the sector having a 25 % EU born workforce prior to the Brexit vote</w:t>
      </w:r>
      <w:r w:rsidR="001E08E5">
        <w:t xml:space="preserve"> (</w:t>
      </w:r>
      <w:r w:rsidR="001E08E5" w:rsidRPr="00605D61">
        <w:t>Ntounis</w:t>
      </w:r>
      <w:r w:rsidR="001E08E5">
        <w:t xml:space="preserve"> </w:t>
      </w:r>
      <w:r w:rsidR="001E08E5" w:rsidRPr="001E08E5">
        <w:rPr>
          <w:i/>
          <w:iCs/>
        </w:rPr>
        <w:t>et al.,</w:t>
      </w:r>
      <w:r w:rsidR="001E08E5">
        <w:t xml:space="preserve"> 2022)</w:t>
      </w:r>
      <w:r w:rsidRPr="002A0868">
        <w:t xml:space="preserve">. Following Brexit, the situation was marked by a chronic shortage of </w:t>
      </w:r>
      <w:r w:rsidR="003A0FD8" w:rsidRPr="002A0868">
        <w:t>labour</w:t>
      </w:r>
      <w:r w:rsidRPr="002A0868">
        <w:t xml:space="preserve">, which, indeed, added to staffing problems in this sector. In the same way, shifts of trading policies and tariffs affect the costs of items and services, making an impact on the prices and, in turn, the revenues. The degree of </w:t>
      </w:r>
      <w:r w:rsidRPr="002A0868">
        <w:lastRenderedPageBreak/>
        <w:t>governmental commitment is also felt through strategies which include ‘Visit Britain’ which contributes to the success or otherwise of the industry.</w:t>
      </w:r>
    </w:p>
    <w:p w14:paraId="6911B5B4" w14:textId="5B427CE0" w:rsidR="002A0868" w:rsidRDefault="002A0868" w:rsidP="002A0868">
      <w:pPr>
        <w:rPr>
          <w:b/>
          <w:bCs/>
          <w:i/>
          <w:iCs/>
        </w:rPr>
      </w:pPr>
      <w:r w:rsidRPr="002A0868">
        <w:rPr>
          <w:b/>
          <w:bCs/>
          <w:i/>
          <w:iCs/>
        </w:rPr>
        <w:t>Economic Factors:</w:t>
      </w:r>
    </w:p>
    <w:p w14:paraId="43FBDD2E" w14:textId="2696C230" w:rsidR="005616C7" w:rsidRDefault="005616C7" w:rsidP="005616C7">
      <w:pPr>
        <w:jc w:val="center"/>
      </w:pPr>
      <w:r w:rsidRPr="005616C7">
        <w:rPr>
          <w:noProof/>
        </w:rPr>
        <w:drawing>
          <wp:inline distT="0" distB="0" distL="0" distR="0" wp14:anchorId="00A469B5" wp14:editId="3D0AD265">
            <wp:extent cx="4542790" cy="2907063"/>
            <wp:effectExtent l="0" t="0" r="0" b="0"/>
            <wp:docPr id="7091606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9160667" name=""/>
                    <pic:cNvPicPr/>
                  </pic:nvPicPr>
                  <pic:blipFill>
                    <a:blip r:embed="rId8"/>
                    <a:stretch>
                      <a:fillRect/>
                    </a:stretch>
                  </pic:blipFill>
                  <pic:spPr>
                    <a:xfrm>
                      <a:off x="0" y="0"/>
                      <a:ext cx="4548774" cy="2910892"/>
                    </a:xfrm>
                    <a:prstGeom prst="rect">
                      <a:avLst/>
                    </a:prstGeom>
                  </pic:spPr>
                </pic:pic>
              </a:graphicData>
            </a:graphic>
          </wp:inline>
        </w:drawing>
      </w:r>
    </w:p>
    <w:p w14:paraId="0279A7E3" w14:textId="39098D97" w:rsidR="005616C7" w:rsidRPr="005616C7" w:rsidRDefault="005616C7" w:rsidP="005616C7">
      <w:pPr>
        <w:jc w:val="center"/>
        <w:rPr>
          <w:b/>
          <w:bCs/>
        </w:rPr>
      </w:pPr>
      <w:r w:rsidRPr="005616C7">
        <w:rPr>
          <w:b/>
          <w:bCs/>
        </w:rPr>
        <w:t xml:space="preserve">Figure </w:t>
      </w:r>
      <w:r>
        <w:rPr>
          <w:b/>
          <w:bCs/>
        </w:rPr>
        <w:t>2</w:t>
      </w:r>
      <w:r w:rsidRPr="005616C7">
        <w:rPr>
          <w:b/>
          <w:bCs/>
        </w:rPr>
        <w:t xml:space="preserve">: </w:t>
      </w:r>
      <w:r>
        <w:rPr>
          <w:b/>
          <w:bCs/>
        </w:rPr>
        <w:t>marker size of hospitality sector</w:t>
      </w:r>
      <w:r w:rsidRPr="005616C7">
        <w:rPr>
          <w:b/>
          <w:bCs/>
        </w:rPr>
        <w:t xml:space="preserve"> </w:t>
      </w:r>
    </w:p>
    <w:p w14:paraId="33CC861F" w14:textId="36EC5527" w:rsidR="005616C7" w:rsidRPr="002A0868" w:rsidRDefault="005616C7" w:rsidP="005616C7">
      <w:pPr>
        <w:jc w:val="center"/>
      </w:pPr>
      <w:r>
        <w:t xml:space="preserve">(Source: </w:t>
      </w:r>
      <w:r w:rsidRPr="005616C7">
        <w:rPr>
          <w:lang w:val="en-IN"/>
        </w:rPr>
        <w:t>Statista</w:t>
      </w:r>
      <w:r>
        <w:rPr>
          <w:lang w:val="en-IN"/>
        </w:rPr>
        <w:t xml:space="preserve">, </w:t>
      </w:r>
      <w:r w:rsidRPr="005616C7">
        <w:rPr>
          <w:lang w:val="en-IN"/>
        </w:rPr>
        <w:t>202</w:t>
      </w:r>
      <w:r>
        <w:rPr>
          <w:lang w:val="en-IN"/>
        </w:rPr>
        <w:t>4)</w:t>
      </w:r>
    </w:p>
    <w:p w14:paraId="6774A8AF" w14:textId="34B0D988" w:rsidR="002A0868" w:rsidRPr="002A0868" w:rsidRDefault="002A0868" w:rsidP="002A0868">
      <w:r w:rsidRPr="002A0868">
        <w:t>The nature of the economic environment significantly influences the UK hospitality business. The sector is influenced by economic factors such as change in the spending power of the society and economic depression. The industry according to the British Hospitality Association (BHA) contributes around £130 billion to the UK economy and also provides employment to around 3.2 million jobs</w:t>
      </w:r>
      <w:r w:rsidR="001E08E5">
        <w:t xml:space="preserve"> (</w:t>
      </w:r>
      <w:r w:rsidR="001E08E5" w:rsidRPr="00605D61">
        <w:t>McCartney</w:t>
      </w:r>
      <w:r w:rsidR="001E08E5">
        <w:t xml:space="preserve"> </w:t>
      </w:r>
      <w:r w:rsidR="001E08E5" w:rsidRPr="00605D61">
        <w:t>and Kwok, 2023</w:t>
      </w:r>
      <w:r w:rsidR="001E08E5">
        <w:t>)</w:t>
      </w:r>
      <w:r w:rsidRPr="002A0868">
        <w:t>. Nevertheless, factors that are beyond the consumers’ control like inflation and shift in exchange rate may affect the availability of disposable income as well as the spending propensity. That is, for example, the present inflation rate has forced organizations to raise their operation costs such as wages and supply costs and as is well known the margins reduce following costs. In addition, other factors like those resulting from economic factors like political turmoil affect the number of tourists as well as the flow of business investment in the hospitality industry.</w:t>
      </w:r>
    </w:p>
    <w:p w14:paraId="79E86A59" w14:textId="211236D8" w:rsidR="002A0868" w:rsidRDefault="002A0868" w:rsidP="002A0868">
      <w:pPr>
        <w:rPr>
          <w:b/>
          <w:bCs/>
          <w:i/>
          <w:iCs/>
        </w:rPr>
      </w:pPr>
      <w:r w:rsidRPr="002A0868">
        <w:rPr>
          <w:b/>
          <w:bCs/>
          <w:i/>
          <w:iCs/>
        </w:rPr>
        <w:t>Social Factors:</w:t>
      </w:r>
    </w:p>
    <w:p w14:paraId="6444C01B" w14:textId="245968F5" w:rsidR="002A0868" w:rsidRPr="002A0868" w:rsidRDefault="002A0868" w:rsidP="002A0868">
      <w:r w:rsidRPr="002A0868">
        <w:t xml:space="preserve">Customers’ </w:t>
      </w:r>
      <w:r w:rsidR="003A0FD8" w:rsidRPr="002A0868">
        <w:t>behaviour</w:t>
      </w:r>
      <w:r w:rsidRPr="002A0868">
        <w:t xml:space="preserve"> and their sociocultural factors tremendously influence the outcome of the hospitality business. Organizations around the world tapped into the aspects of </w:t>
      </w:r>
      <w:r w:rsidRPr="002A0868">
        <w:lastRenderedPageBreak/>
        <w:t>sustainability and ethical courses of actions after consumers developed an appetite for environmentally-friendly and socially appropriately products. Another survey conducted by Mintel established that, 63% of the consumers, always take into consideration the effects of their actions on the environment before they book a hotel or buy food from a restaurant</w:t>
      </w:r>
      <w:r w:rsidR="001E08E5">
        <w:t xml:space="preserve"> (</w:t>
      </w:r>
      <w:r w:rsidR="001E08E5" w:rsidRPr="00605D61">
        <w:t>Koseoglu</w:t>
      </w:r>
      <w:r w:rsidR="001E08E5">
        <w:t xml:space="preserve"> </w:t>
      </w:r>
      <w:r w:rsidR="001E08E5" w:rsidRPr="001E08E5">
        <w:rPr>
          <w:i/>
          <w:iCs/>
        </w:rPr>
        <w:t>et al.,</w:t>
      </w:r>
      <w:r w:rsidR="001E08E5">
        <w:t xml:space="preserve"> 2020)</w:t>
      </w:r>
      <w:r w:rsidRPr="002A0868">
        <w:t>. Furthermore, customers’ expectations, their lifestyle, and future trends have a significant impact on the market and are characterized by pursuing a more individualistic approach and the tendency to search for exclusive products or services. The pandemic has also influenced consumers’ preferences by increasing the demand for traveling and eating locally, as well attention to the sanitary conditions.</w:t>
      </w:r>
    </w:p>
    <w:p w14:paraId="3309690A" w14:textId="4C113CCF" w:rsidR="002A0868" w:rsidRPr="002A0868" w:rsidRDefault="002A0868" w:rsidP="002A0868">
      <w:pPr>
        <w:rPr>
          <w:b/>
          <w:bCs/>
          <w:i/>
          <w:iCs/>
        </w:rPr>
      </w:pPr>
      <w:r w:rsidRPr="002A0868">
        <w:rPr>
          <w:b/>
          <w:bCs/>
          <w:i/>
          <w:iCs/>
        </w:rPr>
        <w:t>Technological Factors:</w:t>
      </w:r>
    </w:p>
    <w:p w14:paraId="0B0F793B" w14:textId="7B63C9D2" w:rsidR="002A0868" w:rsidRPr="002A0868" w:rsidRDefault="002A0868" w:rsidP="002A0868">
      <w:r w:rsidRPr="002A0868">
        <w:t xml:space="preserve">Technology as a factor remains one of the most important determinants that affect the functionality and sustainability of hospitality enterprises, customers’ perceptions and organizational competitiveness. I have identified the following trends to have had significant impacts on consumers and the hospitality services they engage </w:t>
      </w:r>
      <w:r w:rsidR="003A0FD8" w:rsidRPr="002A0868">
        <w:t>in,</w:t>
      </w:r>
      <w:r w:rsidRPr="002A0868">
        <w:t xml:space="preserve"> Mobile booking platforms, online reviews and artificial intelligence. A Phocuswright report suggests that as many as 83% of travellers rely on OTAs, showing a shift to digitalisation of the travel market</w:t>
      </w:r>
      <w:r w:rsidR="001E08E5">
        <w:t xml:space="preserve"> (</w:t>
      </w:r>
      <w:r w:rsidR="001E08E5" w:rsidRPr="00605D61">
        <w:t>Ghosh, 2022</w:t>
      </w:r>
      <w:r w:rsidR="001E08E5">
        <w:t>)</w:t>
      </w:r>
      <w:r w:rsidRPr="002A0868">
        <w:t>. Moreover, products such as contactless payments and smart control of the rooms are becoming more and more important by the consumers as they require comfort and quality experiences. AI is also hybridized with data analytics to brought new forms of marketing and service delivery to satisfy customers’ preferences.</w:t>
      </w:r>
    </w:p>
    <w:p w14:paraId="07643A89" w14:textId="636DA7E1" w:rsidR="002A0868" w:rsidRPr="002A0868" w:rsidRDefault="002A0868" w:rsidP="002A0868">
      <w:pPr>
        <w:rPr>
          <w:b/>
          <w:bCs/>
          <w:i/>
          <w:iCs/>
        </w:rPr>
      </w:pPr>
      <w:r w:rsidRPr="002A0868">
        <w:rPr>
          <w:b/>
          <w:bCs/>
          <w:i/>
          <w:iCs/>
        </w:rPr>
        <w:t>Legal Factors:</w:t>
      </w:r>
    </w:p>
    <w:p w14:paraId="2B264DD9" w14:textId="350CCF3F" w:rsidR="002A0868" w:rsidRDefault="00CE2EB6" w:rsidP="002A0868">
      <w:r w:rsidRPr="00CE2EB6">
        <w:t xml:space="preserve">The legal and regulatory factors vice of hospitality industries are Legal requirements that affect the operation of the hospitality industry. The legalities that play a huge role include health and safety regulation, employment laws, and data protection laws among others. GDPR stands for General Data Protection </w:t>
      </w:r>
      <w:r w:rsidR="003A0FD8" w:rsidRPr="00CE2EB6">
        <w:t>Regulation,</w:t>
      </w:r>
      <w:r w:rsidRPr="00CE2EB6">
        <w:t xml:space="preserve"> and it has also increased awareness towards data protection, business organisations have to ensure protection from customer data. Moreover, working with food, the industry has to adhere to numerous standards of hygiene, as well as receiving licenses for the activity</w:t>
      </w:r>
      <w:r w:rsidR="001E08E5">
        <w:t xml:space="preserve"> (</w:t>
      </w:r>
      <w:r w:rsidR="001E08E5" w:rsidRPr="00605D61">
        <w:t>Piga</w:t>
      </w:r>
      <w:r w:rsidR="001E08E5" w:rsidRPr="001E08E5">
        <w:rPr>
          <w:i/>
          <w:iCs/>
        </w:rPr>
        <w:t xml:space="preserve"> et al</w:t>
      </w:r>
      <w:r w:rsidR="001E08E5">
        <w:t>., 2022)</w:t>
      </w:r>
      <w:r w:rsidRPr="00CE2EB6">
        <w:t>. Adherence to these legal provisions also reduces the risks besides serving the image and efficiency of the industry</w:t>
      </w:r>
      <w:r w:rsidR="002A0868" w:rsidRPr="002A0868">
        <w:t>.</w:t>
      </w:r>
    </w:p>
    <w:p w14:paraId="36129DAF" w14:textId="77777777" w:rsidR="00A71276" w:rsidRDefault="00A71276" w:rsidP="002A0868"/>
    <w:p w14:paraId="19734E05" w14:textId="77777777" w:rsidR="00A71276" w:rsidRPr="002A0868" w:rsidRDefault="00A71276" w:rsidP="002A0868"/>
    <w:p w14:paraId="4D230577" w14:textId="09CCAFD1" w:rsidR="002A0868" w:rsidRPr="002A0868" w:rsidRDefault="002A0868" w:rsidP="002A0868">
      <w:r w:rsidRPr="00CE2EB6">
        <w:rPr>
          <w:b/>
          <w:bCs/>
          <w:i/>
          <w:iCs/>
        </w:rPr>
        <w:lastRenderedPageBreak/>
        <w:t>Environmental Factors</w:t>
      </w:r>
      <w:r w:rsidRPr="002A0868">
        <w:t>:</w:t>
      </w:r>
    </w:p>
    <w:p w14:paraId="53957787" w14:textId="1E7D7E63" w:rsidR="002A0868" w:rsidRPr="002A0868" w:rsidRDefault="00CE2EB6" w:rsidP="002A0868">
      <w:r w:rsidRPr="00CE2EB6">
        <w:t>Economic and social sustainability issues are becoming more predominant determining factors of the hospitality industry. There is a sentiment within the sector indicating that the place must lower its effects on the environment and embrace sustainability. The UK government has already established goals concerning the carbon emissions, and though the hospitality industry has not been given specific targets, it is expected to introduce such practices as application of energy-saving technologies, and waste minimization</w:t>
      </w:r>
      <w:r w:rsidR="001E08E5">
        <w:t xml:space="preserve"> (</w:t>
      </w:r>
      <w:r w:rsidR="001E08E5" w:rsidRPr="00605D61">
        <w:t>Ioannou and Dukes, 2021</w:t>
      </w:r>
      <w:r w:rsidR="001E08E5">
        <w:t>)</w:t>
      </w:r>
      <w:r w:rsidRPr="00CE2EB6">
        <w:t>. Global hospitality industry according to the Sustainable Hospitality Alliance is estimated to produce more than 1.2 million tonnes a year which implies that to reduce the impact of this menace, there is need to embrace proper waste management and recycling. In addition, a shift towards procuring goods that are beneficial for the environment and produced domestically is observed, which is also in line with consumers’ tendencies towards ethical purchases</w:t>
      </w:r>
      <w:r w:rsidR="001E08E5">
        <w:t xml:space="preserve"> (</w:t>
      </w:r>
      <w:r w:rsidR="001E08E5" w:rsidRPr="00605D61">
        <w:t>Ruel</w:t>
      </w:r>
      <w:r w:rsidR="001E08E5">
        <w:t xml:space="preserve"> </w:t>
      </w:r>
      <w:r w:rsidR="001E08E5" w:rsidRPr="00605D61">
        <w:t>and Njoku, 2021</w:t>
      </w:r>
      <w:r w:rsidR="001E08E5">
        <w:t>)</w:t>
      </w:r>
      <w:r w:rsidR="002A0868" w:rsidRPr="002A0868">
        <w:t>.</w:t>
      </w:r>
    </w:p>
    <w:p w14:paraId="225E07D7" w14:textId="20318282" w:rsidR="00DE2097" w:rsidRDefault="00DE2097" w:rsidP="00DE2097">
      <w:pPr>
        <w:pStyle w:val="Heading1"/>
      </w:pPr>
      <w:bookmarkStart w:id="2" w:name="_Toc173672003"/>
      <w:r w:rsidRPr="002A0868">
        <w:t>Porters five force analysis</w:t>
      </w:r>
      <w:bookmarkEnd w:id="2"/>
    </w:p>
    <w:p w14:paraId="061B1090" w14:textId="76FB3E0D" w:rsidR="008D358B" w:rsidRDefault="008D358B" w:rsidP="008D358B">
      <w:pPr>
        <w:jc w:val="center"/>
      </w:pPr>
      <w:r>
        <w:rPr>
          <w:noProof/>
        </w:rPr>
        <w:drawing>
          <wp:inline distT="0" distB="0" distL="0" distR="0" wp14:anchorId="11862C33" wp14:editId="16E6C7B7">
            <wp:extent cx="3346450" cy="3246120"/>
            <wp:effectExtent l="0" t="0" r="0" b="0"/>
            <wp:docPr id="1465342986" name="Picture 1" descr="Porter's Five Forces Analysis: Assessing The Competitive Environment -  Planium Pr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Porter's Five Forces Analysis: Assessing The Competitive Environment -  Planium Pro"/>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346450" cy="3246120"/>
                    </a:xfrm>
                    <a:prstGeom prst="rect">
                      <a:avLst/>
                    </a:prstGeom>
                    <a:noFill/>
                    <a:ln>
                      <a:noFill/>
                    </a:ln>
                  </pic:spPr>
                </pic:pic>
              </a:graphicData>
            </a:graphic>
          </wp:inline>
        </w:drawing>
      </w:r>
    </w:p>
    <w:p w14:paraId="2F26F690" w14:textId="1725A3C1" w:rsidR="008D358B" w:rsidRPr="008D358B" w:rsidRDefault="008D358B" w:rsidP="008D358B">
      <w:pPr>
        <w:jc w:val="center"/>
        <w:rPr>
          <w:b/>
          <w:bCs/>
        </w:rPr>
      </w:pPr>
      <w:r w:rsidRPr="008D358B">
        <w:rPr>
          <w:b/>
          <w:bCs/>
        </w:rPr>
        <w:t>Figure 3: Kloutsiniotis and Mihail, 2020</w:t>
      </w:r>
    </w:p>
    <w:p w14:paraId="65169A36" w14:textId="5F734420" w:rsidR="008D358B" w:rsidRDefault="008D358B" w:rsidP="008D358B">
      <w:pPr>
        <w:jc w:val="center"/>
      </w:pPr>
      <w:r>
        <w:t>(Source: Learner)</w:t>
      </w:r>
    </w:p>
    <w:p w14:paraId="3EF12AFA" w14:textId="77777777" w:rsidR="00A71276" w:rsidRDefault="00A71276" w:rsidP="008D358B">
      <w:pPr>
        <w:jc w:val="center"/>
      </w:pPr>
    </w:p>
    <w:p w14:paraId="42EB2095" w14:textId="77777777" w:rsidR="00A71276" w:rsidRPr="008D358B" w:rsidRDefault="00A71276" w:rsidP="008D358B">
      <w:pPr>
        <w:jc w:val="center"/>
      </w:pPr>
    </w:p>
    <w:p w14:paraId="6BB327F9" w14:textId="2C64FF72" w:rsidR="004C1726" w:rsidRPr="004C1726" w:rsidRDefault="004C1726" w:rsidP="004C1726">
      <w:pPr>
        <w:rPr>
          <w:b/>
          <w:bCs/>
          <w:i/>
          <w:iCs/>
        </w:rPr>
      </w:pPr>
      <w:r w:rsidRPr="004C1726">
        <w:rPr>
          <w:b/>
          <w:bCs/>
          <w:i/>
          <w:iCs/>
        </w:rPr>
        <w:lastRenderedPageBreak/>
        <w:t>Threat of New Entrants - Moderate</w:t>
      </w:r>
    </w:p>
    <w:p w14:paraId="53117D15" w14:textId="4BF17355" w:rsidR="004C1726" w:rsidRDefault="004C1726" w:rsidP="004C1726">
      <w:r w:rsidRPr="004C1726">
        <w:t>Industry barriers like high initial capital, and reporting and regulatory hurdles that can prevent new entrants are addressable, although new competitors used to be a challenge because of high capital investment and regulatory compulsions of handling complex and huge data, which is not a challenge anymore because of digital platforms</w:t>
      </w:r>
      <w:r w:rsidR="001E08E5">
        <w:t xml:space="preserve"> (</w:t>
      </w:r>
      <w:r w:rsidR="001E08E5" w:rsidRPr="00605D61">
        <w:t>Kloutsiniotis</w:t>
      </w:r>
      <w:r w:rsidR="001E08E5">
        <w:t xml:space="preserve"> </w:t>
      </w:r>
      <w:r w:rsidR="001E08E5" w:rsidRPr="00605D61">
        <w:t>and Mihail,</w:t>
      </w:r>
      <w:r w:rsidR="001E08E5">
        <w:t xml:space="preserve"> </w:t>
      </w:r>
      <w:r w:rsidR="001E08E5" w:rsidRPr="00605D61">
        <w:t>2020</w:t>
      </w:r>
      <w:r w:rsidR="001E08E5">
        <w:t>)</w:t>
      </w:r>
      <w:r w:rsidRPr="004C1726">
        <w:t xml:space="preserve">. For instance, markets such as Airbnb have created new competition in form of </w:t>
      </w:r>
      <w:r w:rsidR="003A0FD8" w:rsidRPr="004C1726">
        <w:t>short-term</w:t>
      </w:r>
      <w:r w:rsidRPr="004C1726">
        <w:t xml:space="preserve"> rental services to the traditional hotels and establishments. Still, economies of scales, the brand name, well-established linkages with the suppliers and clients may help the incumbent brands keep new entrants in check.</w:t>
      </w:r>
    </w:p>
    <w:p w14:paraId="3631053B" w14:textId="7DADB066" w:rsidR="004C1726" w:rsidRPr="004C1726" w:rsidRDefault="004C1726" w:rsidP="004C1726">
      <w:pPr>
        <w:rPr>
          <w:b/>
          <w:bCs/>
          <w:i/>
          <w:iCs/>
        </w:rPr>
      </w:pPr>
      <w:r w:rsidRPr="004C1726">
        <w:rPr>
          <w:b/>
          <w:bCs/>
          <w:i/>
          <w:iCs/>
        </w:rPr>
        <w:t>Bargaining Power of Suppliers - Moderate</w:t>
      </w:r>
    </w:p>
    <w:p w14:paraId="2083DF17" w14:textId="0AD493F8" w:rsidR="004C1726" w:rsidRDefault="004C1726" w:rsidP="004C1726">
      <w:r w:rsidRPr="004C1726">
        <w:t xml:space="preserve">In case of food and beverage suppliers the power can be moderate as there are many </w:t>
      </w:r>
      <w:r w:rsidR="003A0FD8" w:rsidRPr="004C1726">
        <w:t>suppliers,</w:t>
      </w:r>
      <w:r w:rsidRPr="004C1726">
        <w:t xml:space="preserve"> and it is easy to switch to another supplier. However, the power can be higher in the case of specialized suppliers, involved in the supply of luxury products or technology services</w:t>
      </w:r>
      <w:r w:rsidR="001E08E5">
        <w:t xml:space="preserve"> (</w:t>
      </w:r>
      <w:r w:rsidR="001E08E5" w:rsidRPr="00605D61">
        <w:t>Liu,</w:t>
      </w:r>
      <w:r w:rsidR="001E08E5">
        <w:t xml:space="preserve"> </w:t>
      </w:r>
      <w:r w:rsidR="001E08E5" w:rsidRPr="001E08E5">
        <w:rPr>
          <w:i/>
          <w:iCs/>
        </w:rPr>
        <w:t>et al</w:t>
      </w:r>
      <w:r w:rsidR="001E08E5">
        <w:t>., 2022)</w:t>
      </w:r>
      <w:r w:rsidRPr="004C1726">
        <w:t>. Some items can only be purchased from specific suppliers, meaning that suppliers of such products can easily control the price as well as the conditions of sales affecting operational costs of hospitality firms</w:t>
      </w:r>
      <w:r>
        <w:t>.</w:t>
      </w:r>
    </w:p>
    <w:p w14:paraId="7E12326B" w14:textId="67833614" w:rsidR="004C1726" w:rsidRPr="004C1726" w:rsidRDefault="004C1726" w:rsidP="004C1726">
      <w:pPr>
        <w:rPr>
          <w:b/>
          <w:bCs/>
          <w:i/>
          <w:iCs/>
        </w:rPr>
      </w:pPr>
      <w:r w:rsidRPr="004C1726">
        <w:rPr>
          <w:b/>
          <w:bCs/>
          <w:i/>
          <w:iCs/>
        </w:rPr>
        <w:t>Bargaining Power of Buyers - High</w:t>
      </w:r>
    </w:p>
    <w:p w14:paraId="7D5BCF43" w14:textId="2253C446" w:rsidR="004C1726" w:rsidRDefault="004C1726" w:rsidP="004C1726">
      <w:r w:rsidRPr="004C1726">
        <w:t>The use of the internet by way of the internet booking sites and the reviewing sites provide consumers with vast information, with which they are able to compare and arrive at a decision. The raise of package transparency and reasonable prices enable buyers to expect more quality services and Product Value from the hospitality industry affecting it positively; they are forced to innovate and have reasonable prices</w:t>
      </w:r>
      <w:r w:rsidR="001E08E5">
        <w:t xml:space="preserve"> (</w:t>
      </w:r>
      <w:r w:rsidR="001E08E5" w:rsidRPr="00605D61">
        <w:t>Alsuwaidi, Eid</w:t>
      </w:r>
      <w:r w:rsidR="001E08E5">
        <w:t xml:space="preserve"> </w:t>
      </w:r>
      <w:r w:rsidR="001E08E5" w:rsidRPr="00605D61">
        <w:t>and Agag, 2022</w:t>
      </w:r>
      <w:r w:rsidR="001E08E5">
        <w:t>)</w:t>
      </w:r>
      <w:r w:rsidRPr="004C1726">
        <w:t>.</w:t>
      </w:r>
    </w:p>
    <w:p w14:paraId="462B4975" w14:textId="1DCAE934" w:rsidR="004C1726" w:rsidRPr="004C1726" w:rsidRDefault="004C1726" w:rsidP="004C1726">
      <w:pPr>
        <w:rPr>
          <w:b/>
          <w:bCs/>
          <w:i/>
          <w:iCs/>
        </w:rPr>
      </w:pPr>
      <w:r w:rsidRPr="004C1726">
        <w:rPr>
          <w:b/>
          <w:bCs/>
          <w:i/>
          <w:iCs/>
        </w:rPr>
        <w:t>Threat of Substitutes - Moderate</w:t>
      </w:r>
    </w:p>
    <w:p w14:paraId="79AE025D" w14:textId="4CF7268A" w:rsidR="004C1726" w:rsidRDefault="004C1726" w:rsidP="004C1726">
      <w:r w:rsidRPr="004C1726">
        <w:t>The intensity of the threat associated with the presence of substitutes in the hospitality business is moderate to high. Holidays like vacation rentals, serviced apartments, and staycations are offered by other services that can replace hotels</w:t>
      </w:r>
      <w:r w:rsidR="001E08E5">
        <w:t xml:space="preserve"> (</w:t>
      </w:r>
      <w:r w:rsidR="001E08E5" w:rsidRPr="00605D61">
        <w:t>Levkulych, and Momot, 2021</w:t>
      </w:r>
      <w:r w:rsidR="001E08E5">
        <w:t>)</w:t>
      </w:r>
      <w:r w:rsidRPr="004C1726">
        <w:t>. However, tendencies such as working from home have beef up forced such accommodation types to be considered more valuable. This diversity makes it much more difficult for more traditional forms of hospitality suppliers to compete for the consumers’ business</w:t>
      </w:r>
      <w:r>
        <w:t>.</w:t>
      </w:r>
    </w:p>
    <w:p w14:paraId="239DAB57" w14:textId="5CCE9830" w:rsidR="004C1726" w:rsidRPr="004C1726" w:rsidRDefault="004C1726" w:rsidP="004C1726">
      <w:pPr>
        <w:rPr>
          <w:b/>
          <w:bCs/>
          <w:i/>
          <w:iCs/>
        </w:rPr>
      </w:pPr>
      <w:r w:rsidRPr="004C1726">
        <w:rPr>
          <w:b/>
          <w:bCs/>
          <w:i/>
          <w:iCs/>
        </w:rPr>
        <w:lastRenderedPageBreak/>
        <w:t>Industry Rivalry - High</w:t>
      </w:r>
    </w:p>
    <w:p w14:paraId="72C2DE54" w14:textId="3B5D5FC5" w:rsidR="004C1726" w:rsidRDefault="004C1726" w:rsidP="004C1726">
      <w:r w:rsidRPr="004C1726">
        <w:t>There is a large number of players that comprises of chain hotels, luxury hotels, boutique hotels, and economy hotels. These aspects can cause this rivalry such as the war on prices, diverse services and marketing initiatives</w:t>
      </w:r>
      <w:r w:rsidR="001E08E5">
        <w:t xml:space="preserve"> (</w:t>
      </w:r>
      <w:r w:rsidR="001E08E5" w:rsidRPr="00605D61">
        <w:t>Aksoy</w:t>
      </w:r>
      <w:r w:rsidR="001E08E5">
        <w:t xml:space="preserve"> </w:t>
      </w:r>
      <w:r w:rsidR="001E08E5" w:rsidRPr="001E08E5">
        <w:rPr>
          <w:i/>
          <w:iCs/>
        </w:rPr>
        <w:t>et al.</w:t>
      </w:r>
      <w:r w:rsidR="001E08E5">
        <w:t>, 2022)</w:t>
      </w:r>
      <w:r w:rsidRPr="004C1726">
        <w:t>. The fact that market share is a critical business asset means it has to be protected, especially by ‘established’ brands whose value offers have to be improved in response to competitive pressures</w:t>
      </w:r>
      <w:r>
        <w:t>.</w:t>
      </w:r>
    </w:p>
    <w:p w14:paraId="10E6F7A6" w14:textId="54A20F30" w:rsidR="00DE2097" w:rsidRDefault="00DE2097" w:rsidP="00DE2097">
      <w:pPr>
        <w:pStyle w:val="Heading1"/>
      </w:pPr>
      <w:bookmarkStart w:id="3" w:name="_Toc173672004"/>
      <w:r w:rsidRPr="002A0868">
        <w:t>Shareholders analysis</w:t>
      </w:r>
      <w:bookmarkEnd w:id="3"/>
    </w:p>
    <w:p w14:paraId="3785769C" w14:textId="7A8E30D8" w:rsidR="00DE2097" w:rsidRDefault="00000000" w:rsidP="00DE2097">
      <w:r>
        <w:pict w14:anchorId="3841D9EA">
          <v:group id="_x0000_s1027" editas="canvas" style="width:451.3pt;height:363.2pt;mso-position-horizontal-relative:char;mso-position-vertical-relative:line" coordorigin="2358,5748" coordsize="7200,5794">
            <o:lock v:ext="edit" aspectratio="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6" type="#_x0000_t75" style="position:absolute;left:2358;top:5748;width:7200;height:5794" o:preferrelative="f" filled="t" fillcolor="#fbe4d5 [661]">
              <v:fill o:detectmouseclick="t"/>
              <v:path o:extrusionok="t" o:connecttype="none"/>
              <o:lock v:ext="edit" text="t"/>
            </v:shape>
            <v:shapetype id="_x0000_t32" coordsize="21600,21600" o:spt="32" o:oned="t" path="m,l21600,21600e" filled="f">
              <v:path arrowok="t" fillok="f" o:connecttype="none"/>
              <o:lock v:ext="edit" shapetype="t"/>
            </v:shapetype>
            <v:shape id="_x0000_s1028" type="#_x0000_t32" style="position:absolute;left:2865;top:8631;width:6356;height:1" o:connectortype="straight">
              <v:stroke startarrow="block" endarrow="block"/>
            </v:shape>
            <v:shape id="_x0000_s1030" type="#_x0000_t32" style="position:absolute;left:5938;top:6373;width:10;height:4489" o:connectortype="straight">
              <v:stroke startarrow="block" endarrow="block"/>
            </v:shape>
            <v:shapetype id="_x0000_t202" coordsize="21600,21600" o:spt="202" path="m,l,21600r21600,l21600,xe">
              <v:stroke joinstyle="miter"/>
              <v:path gradientshapeok="t" o:connecttype="rect"/>
            </v:shapetype>
            <v:shape id="_x0000_s1031" type="#_x0000_t202" style="position:absolute;left:5067;top:5913;width:1771;height:412">
              <v:textbox>
                <w:txbxContent>
                  <w:p w14:paraId="1BF6565C" w14:textId="243B7154" w:rsidR="00475724" w:rsidRPr="00475724" w:rsidRDefault="00475724" w:rsidP="00475724">
                    <w:pPr>
                      <w:jc w:val="center"/>
                      <w:rPr>
                        <w:lang w:val="en-US"/>
                      </w:rPr>
                    </w:pPr>
                    <w:r>
                      <w:rPr>
                        <w:lang w:val="en-US"/>
                      </w:rPr>
                      <w:t>High Interest</w:t>
                    </w:r>
                  </w:p>
                </w:txbxContent>
              </v:textbox>
            </v:shape>
            <v:shape id="_x0000_s1032" type="#_x0000_t202" style="position:absolute;left:7641;top:8765;width:1772;height:412">
              <v:textbox>
                <w:txbxContent>
                  <w:p w14:paraId="6900794B" w14:textId="4D4418BB" w:rsidR="00475724" w:rsidRPr="00475724" w:rsidRDefault="00475724" w:rsidP="00475724">
                    <w:pPr>
                      <w:rPr>
                        <w:lang w:val="en-US"/>
                      </w:rPr>
                    </w:pPr>
                    <w:r>
                      <w:rPr>
                        <w:lang w:val="en-US"/>
                      </w:rPr>
                      <w:t>High Influence</w:t>
                    </w:r>
                  </w:p>
                </w:txbxContent>
              </v:textbox>
            </v:shape>
            <v:shape id="_x0000_s1033" type="#_x0000_t202" style="position:absolute;left:2443;top:8765;width:1542;height:306">
              <v:textbox>
                <w:txbxContent>
                  <w:p w14:paraId="310A7E8A" w14:textId="31E7B033" w:rsidR="00475724" w:rsidRPr="00475724" w:rsidRDefault="00475724" w:rsidP="00475724">
                    <w:pPr>
                      <w:jc w:val="center"/>
                      <w:rPr>
                        <w:lang w:val="en-US"/>
                      </w:rPr>
                    </w:pPr>
                    <w:r>
                      <w:rPr>
                        <w:lang w:val="en-US"/>
                      </w:rPr>
                      <w:t>Low influence</w:t>
                    </w:r>
                  </w:p>
                </w:txbxContent>
              </v:textbox>
            </v:shape>
            <v:shape id="_x0000_s1034" type="#_x0000_t202" style="position:absolute;left:5066;top:10919;width:1772;height:306">
              <v:textbox>
                <w:txbxContent>
                  <w:p w14:paraId="00BA4DF0" w14:textId="2D909ECC" w:rsidR="00475724" w:rsidRPr="00475724" w:rsidRDefault="00475724" w:rsidP="00475724">
                    <w:pPr>
                      <w:jc w:val="center"/>
                      <w:rPr>
                        <w:lang w:val="en-US"/>
                      </w:rPr>
                    </w:pPr>
                    <w:r>
                      <w:rPr>
                        <w:lang w:val="en-US"/>
                      </w:rPr>
                      <w:t>Low Interest</w:t>
                    </w:r>
                  </w:p>
                </w:txbxContent>
              </v:textbox>
            </v:shape>
            <v:shape id="_x0000_s1035" type="#_x0000_t202" style="position:absolute;left:7699;top:7837;width:1465;height:412">
              <v:textbox>
                <w:txbxContent>
                  <w:p w14:paraId="22B094F9" w14:textId="47F7E957" w:rsidR="00475724" w:rsidRPr="00475724" w:rsidRDefault="00475724" w:rsidP="00475724">
                    <w:pPr>
                      <w:jc w:val="center"/>
                      <w:rPr>
                        <w:lang w:val="en-US"/>
                      </w:rPr>
                    </w:pPr>
                    <w:r>
                      <w:rPr>
                        <w:lang w:val="en-US"/>
                      </w:rPr>
                      <w:t>Customers</w:t>
                    </w:r>
                  </w:p>
                </w:txbxContent>
              </v:textbox>
            </v:shape>
            <v:shape id="_x0000_s1036" type="#_x0000_t202" style="position:absolute;left:6168;top:6373;width:1043;height:382">
              <v:textbox>
                <w:txbxContent>
                  <w:p w14:paraId="08C6EF00" w14:textId="4BC290D0" w:rsidR="00475724" w:rsidRPr="00475724" w:rsidRDefault="00475724" w:rsidP="00475724">
                    <w:pPr>
                      <w:rPr>
                        <w:lang w:val="en-US"/>
                      </w:rPr>
                    </w:pPr>
                    <w:r>
                      <w:rPr>
                        <w:lang w:val="en-US"/>
                      </w:rPr>
                      <w:t>Investors</w:t>
                    </w:r>
                  </w:p>
                </w:txbxContent>
              </v:textbox>
            </v:shape>
            <v:shape id="_x0000_s1037" type="#_x0000_t202" style="position:absolute;left:3220;top:9742;width:1770;height:421">
              <v:textbox>
                <w:txbxContent>
                  <w:p w14:paraId="666072F4" w14:textId="3C7A101F" w:rsidR="00475724" w:rsidRPr="00475724" w:rsidRDefault="00475724" w:rsidP="00475724">
                    <w:pPr>
                      <w:rPr>
                        <w:lang w:val="en-US"/>
                      </w:rPr>
                    </w:pPr>
                    <w:r>
                      <w:rPr>
                        <w:lang w:val="en-US"/>
                      </w:rPr>
                      <w:t>Local community</w:t>
                    </w:r>
                  </w:p>
                </w:txbxContent>
              </v:textbox>
            </v:shape>
            <v:shape id="_x0000_s1038" type="#_x0000_t202" style="position:absolute;left:4033;top:7330;width:1771;height:421">
              <v:textbox>
                <w:txbxContent>
                  <w:p w14:paraId="794D1021" w14:textId="765C944E" w:rsidR="00475724" w:rsidRPr="00475724" w:rsidRDefault="00475724" w:rsidP="00475724">
                    <w:pPr>
                      <w:jc w:val="center"/>
                      <w:rPr>
                        <w:lang w:val="en-US"/>
                      </w:rPr>
                    </w:pPr>
                    <w:r>
                      <w:rPr>
                        <w:lang w:val="en-US"/>
                      </w:rPr>
                      <w:t>Suppliers</w:t>
                    </w:r>
                  </w:p>
                </w:txbxContent>
              </v:textbox>
            </v:shape>
            <v:shape id="_x0000_s1039" type="#_x0000_t202" style="position:absolute;left:6838;top:9790;width:1771;height:440">
              <v:textbox>
                <w:txbxContent>
                  <w:p w14:paraId="3667D3BD" w14:textId="4FD65295" w:rsidR="00475724" w:rsidRPr="00475724" w:rsidRDefault="00475724" w:rsidP="00475724">
                    <w:pPr>
                      <w:jc w:val="center"/>
                      <w:rPr>
                        <w:lang w:val="en-US"/>
                      </w:rPr>
                    </w:pPr>
                    <w:r>
                      <w:rPr>
                        <w:lang w:val="en-US"/>
                      </w:rPr>
                      <w:t>Board members</w:t>
                    </w:r>
                  </w:p>
                </w:txbxContent>
              </v:textbox>
            </v:shape>
            <w10:anchorlock/>
          </v:group>
        </w:pict>
      </w:r>
    </w:p>
    <w:p w14:paraId="6D7D3E0D" w14:textId="6F1C32D6" w:rsidR="001E08E5" w:rsidRPr="001E08E5" w:rsidRDefault="001E08E5" w:rsidP="001E08E5">
      <w:pPr>
        <w:jc w:val="center"/>
        <w:rPr>
          <w:b/>
          <w:bCs/>
        </w:rPr>
      </w:pPr>
      <w:r w:rsidRPr="001E08E5">
        <w:rPr>
          <w:b/>
          <w:bCs/>
        </w:rPr>
        <w:t xml:space="preserve">Figure </w:t>
      </w:r>
      <w:r w:rsidR="008D358B">
        <w:rPr>
          <w:b/>
          <w:bCs/>
        </w:rPr>
        <w:t>4</w:t>
      </w:r>
      <w:r w:rsidRPr="001E08E5">
        <w:rPr>
          <w:b/>
          <w:bCs/>
        </w:rPr>
        <w:t>: Shareholders analysis</w:t>
      </w:r>
    </w:p>
    <w:p w14:paraId="4A428BB3" w14:textId="45126385" w:rsidR="001E08E5" w:rsidRDefault="001E08E5" w:rsidP="001E08E5">
      <w:pPr>
        <w:jc w:val="center"/>
      </w:pPr>
      <w:r>
        <w:t>(Source: Learner)</w:t>
      </w:r>
    </w:p>
    <w:p w14:paraId="2FEB777A" w14:textId="2FC51978" w:rsidR="00475724" w:rsidRPr="002A0868" w:rsidRDefault="00A73843" w:rsidP="00DE2097">
      <w:r w:rsidRPr="00A73843">
        <w:t xml:space="preserve">In the context of the hospitality industry, it is essential to understand the role of shareholders in managing companies’ strategies and performance. Common shareholders are those institutions and individuals who invest in a company with an aim of getting their money back most preferably through dividends besides the appreciation in the price of the shares. Market </w:t>
      </w:r>
      <w:r w:rsidRPr="00A73843">
        <w:lastRenderedPageBreak/>
        <w:t>aspects like economic cycles and customer behaviour directly affect the hospitality firms’ performance and results</w:t>
      </w:r>
      <w:r w:rsidR="001E08E5">
        <w:t xml:space="preserve"> (</w:t>
      </w:r>
      <w:r w:rsidR="001E08E5" w:rsidRPr="00605D61">
        <w:t>Sakshi</w:t>
      </w:r>
      <w:r w:rsidR="001E08E5">
        <w:t xml:space="preserve"> </w:t>
      </w:r>
      <w:r w:rsidR="001E08E5" w:rsidRPr="001E08E5">
        <w:rPr>
          <w:i/>
          <w:iCs/>
        </w:rPr>
        <w:t>et al</w:t>
      </w:r>
      <w:r w:rsidR="001E08E5">
        <w:t>., 2020)</w:t>
      </w:r>
      <w:r w:rsidRPr="00A73843">
        <w:t>. Financial ratios that include the growth rate of revenue, profitability, and the efficiency of operations are some of the popular measures ranging in the eyes of investors. Thus, there are more apparently environmental, social and governance (ESG) considerations in the shareholders’ discussions, as the stakeholders expect even the purely financial actions to be supported by sustainable environmental and ethical managerial actions</w:t>
      </w:r>
      <w:r w:rsidR="001E08E5">
        <w:t xml:space="preserve"> (</w:t>
      </w:r>
      <w:r w:rsidR="001E08E5" w:rsidRPr="00605D61">
        <w:t>Dashper, 2020</w:t>
      </w:r>
      <w:r w:rsidR="001E08E5">
        <w:t>)</w:t>
      </w:r>
      <w:r w:rsidRPr="00A73843">
        <w:t>.</w:t>
      </w:r>
    </w:p>
    <w:p w14:paraId="7E3274C6" w14:textId="065F5F66" w:rsidR="00DE2097" w:rsidRPr="002A0868" w:rsidRDefault="00DE2097" w:rsidP="00DE2097">
      <w:pPr>
        <w:pStyle w:val="Heading1"/>
      </w:pPr>
      <w:bookmarkStart w:id="4" w:name="_Toc173672005"/>
      <w:r w:rsidRPr="002A0868">
        <w:t>Conclusion</w:t>
      </w:r>
      <w:bookmarkEnd w:id="4"/>
    </w:p>
    <w:p w14:paraId="68725199" w14:textId="4222DC8B" w:rsidR="00DE2097" w:rsidRPr="002A0868" w:rsidRDefault="00A73843" w:rsidP="00DE2097">
      <w:r w:rsidRPr="00A73843">
        <w:t>Therefore, the hospitality industry is a complex category of activity subjected to different extra- and intersystem factors. Applying Porter’s Five Force Model analysis indicate high threat from new entrants, substitutes, high bargaining power of buyers and suppliers. PESTLE analysis examines the areas of political, economic, social, technical, legal and environmental effects on the industry focus. Shareholders, in return, use their power to influence the company’s operations with regard to its objective of achieving a desirable financial status as well as taking into account the ESG factors. Knowledge of these dynamics is crucial for operating within the context of this industry’s difficulties and for exploiting its potential for development and stability.</w:t>
      </w:r>
    </w:p>
    <w:p w14:paraId="421834AF" w14:textId="77777777" w:rsidR="00DE2097" w:rsidRPr="002A0868" w:rsidRDefault="00DE2097" w:rsidP="00711FBB">
      <w:pPr>
        <w:jc w:val="left"/>
      </w:pPr>
    </w:p>
    <w:p w14:paraId="52D082D6" w14:textId="7109C378" w:rsidR="001E08E5" w:rsidRDefault="001E08E5">
      <w:pPr>
        <w:spacing w:line="259" w:lineRule="auto"/>
        <w:jc w:val="left"/>
        <w:rPr>
          <w:lang w:val="en-US"/>
        </w:rPr>
      </w:pPr>
      <w:r>
        <w:rPr>
          <w:lang w:val="en-US"/>
        </w:rPr>
        <w:br w:type="page"/>
      </w:r>
    </w:p>
    <w:p w14:paraId="1E9CD712" w14:textId="60E4E82E" w:rsidR="00DE2097" w:rsidRDefault="001E08E5" w:rsidP="001E08E5">
      <w:pPr>
        <w:pStyle w:val="Heading1"/>
        <w:rPr>
          <w:lang w:val="en-US"/>
        </w:rPr>
      </w:pPr>
      <w:bookmarkStart w:id="5" w:name="_Toc173672006"/>
      <w:r>
        <w:rPr>
          <w:lang w:val="en-US"/>
        </w:rPr>
        <w:lastRenderedPageBreak/>
        <w:t>References</w:t>
      </w:r>
      <w:bookmarkEnd w:id="5"/>
    </w:p>
    <w:p w14:paraId="023F9C03" w14:textId="77777777" w:rsidR="005C7CAB" w:rsidRPr="00605D61" w:rsidRDefault="005C7CAB" w:rsidP="001E08E5">
      <w:bookmarkStart w:id="6" w:name="_Hlk173670699"/>
      <w:r w:rsidRPr="00605D61">
        <w:t>Aksoy</w:t>
      </w:r>
      <w:bookmarkEnd w:id="6"/>
      <w:r w:rsidRPr="00605D61">
        <w:t xml:space="preserve">, L., Choi, S., Dogru, T., Keiningham, T., Lorenz, M., Rubin, D. and Tracey, J.B., </w:t>
      </w:r>
      <w:r>
        <w:t>(2022)</w:t>
      </w:r>
      <w:r w:rsidRPr="00605D61">
        <w:t>. Global trends in hospitality. Journal of Business Research, 142, pp.957-973.</w:t>
      </w:r>
    </w:p>
    <w:p w14:paraId="5D50CA2C" w14:textId="77777777" w:rsidR="005C7CAB" w:rsidRPr="00605D61" w:rsidRDefault="005C7CAB" w:rsidP="001E08E5">
      <w:bookmarkStart w:id="7" w:name="_Hlk173670670"/>
      <w:r w:rsidRPr="00605D61">
        <w:t xml:space="preserve">Alsuwaidi, M., Eid, R. and Agag, G., </w:t>
      </w:r>
      <w:r>
        <w:t>(2022)</w:t>
      </w:r>
      <w:bookmarkEnd w:id="7"/>
      <w:r w:rsidRPr="00605D61">
        <w:t>. Tackling the complexity of guests' food waste reduction behaviour in the hospitality industry. Tourism Management Perspectives, 42, p.100963.</w:t>
      </w:r>
    </w:p>
    <w:p w14:paraId="7F68E4D5" w14:textId="77777777" w:rsidR="005C7CAB" w:rsidRDefault="005C7CAB" w:rsidP="001E08E5">
      <w:bookmarkStart w:id="8" w:name="_Hlk173670765"/>
      <w:r w:rsidRPr="00605D61">
        <w:t xml:space="preserve">Dashper, K., </w:t>
      </w:r>
      <w:r>
        <w:t>(2020)</w:t>
      </w:r>
      <w:bookmarkEnd w:id="8"/>
      <w:r w:rsidRPr="00605D61">
        <w:t>. Mentoring for gender equality: Supporting female leaders in the hospitality industry. International Journal of Hospitality Management, 88, p.102397.</w:t>
      </w:r>
    </w:p>
    <w:p w14:paraId="761FB0F8" w14:textId="77777777" w:rsidR="005C7CAB" w:rsidRPr="00605D61" w:rsidRDefault="005C7CAB" w:rsidP="001E08E5">
      <w:bookmarkStart w:id="9" w:name="_Hlk173670567"/>
      <w:r w:rsidRPr="00605D61">
        <w:t xml:space="preserve">Ghosh, S., </w:t>
      </w:r>
      <w:r>
        <w:t>(2022)</w:t>
      </w:r>
      <w:bookmarkEnd w:id="9"/>
      <w:r w:rsidRPr="00605D61">
        <w:t>. Female entrepreneurs in the hospitality industry: A panel causality analysis of EU countries. Arthaniti: Journal of Economic Theory and Practice, 21(1), pp.93-116.</w:t>
      </w:r>
    </w:p>
    <w:p w14:paraId="38D50205" w14:textId="77777777" w:rsidR="005C7CAB" w:rsidRPr="00605D61" w:rsidRDefault="005C7CAB" w:rsidP="001E08E5">
      <w:bookmarkStart w:id="10" w:name="_Hlk173670604"/>
      <w:r w:rsidRPr="00605D61">
        <w:t xml:space="preserve">Ioannou, G. and Dukes, R., </w:t>
      </w:r>
      <w:r>
        <w:t>(2021)</w:t>
      </w:r>
      <w:bookmarkEnd w:id="10"/>
      <w:r w:rsidRPr="00605D61">
        <w:t>. Anything goes? Exploring the limits of employment law in UK hospitality and catering. Industrial Relations Journal, 52(3), pp.255-269.</w:t>
      </w:r>
    </w:p>
    <w:p w14:paraId="5EBB5142" w14:textId="77777777" w:rsidR="005C7CAB" w:rsidRPr="00605D61" w:rsidRDefault="005C7CAB" w:rsidP="001E08E5">
      <w:bookmarkStart w:id="11" w:name="_Hlk173670632"/>
      <w:r w:rsidRPr="00605D61">
        <w:t xml:space="preserve">Kloutsiniotis, P.V. and Mihail, D.M., </w:t>
      </w:r>
      <w:r>
        <w:t>(2020)</w:t>
      </w:r>
      <w:r w:rsidRPr="00605D61">
        <w:t xml:space="preserve">. </w:t>
      </w:r>
      <w:bookmarkEnd w:id="11"/>
      <w:r w:rsidRPr="00605D61">
        <w:t>High performance work systems in the tourism and hospitality industry: a critical review. International Journal of Contemporary Hospitality Management, 32(7), pp.2365-2395.</w:t>
      </w:r>
    </w:p>
    <w:p w14:paraId="532929D7" w14:textId="77777777" w:rsidR="005C7CAB" w:rsidRPr="00605D61" w:rsidRDefault="005C7CAB" w:rsidP="001E08E5">
      <w:bookmarkStart w:id="12" w:name="_Hlk173670550"/>
      <w:r w:rsidRPr="00605D61">
        <w:t>Koseoglu</w:t>
      </w:r>
      <w:bookmarkEnd w:id="12"/>
      <w:r w:rsidRPr="00605D61">
        <w:t xml:space="preserve">, M.A., Law, R. and Dogan, I.C., </w:t>
      </w:r>
      <w:r>
        <w:t>(2020)</w:t>
      </w:r>
      <w:r w:rsidRPr="00605D61">
        <w:t>. Exploring the social structure of strategic management research with a hospitality industry focus. International Journal of Contemporary Hospitality Management, 32(2), pp.463-488.</w:t>
      </w:r>
    </w:p>
    <w:p w14:paraId="6D370747" w14:textId="77777777" w:rsidR="005C7CAB" w:rsidRPr="00605D61" w:rsidRDefault="005C7CAB" w:rsidP="001E08E5">
      <w:bookmarkStart w:id="13" w:name="_Hlk173670685"/>
      <w:r w:rsidRPr="00605D61">
        <w:t xml:space="preserve">Levkulych, V. and Momot, A., </w:t>
      </w:r>
      <w:r>
        <w:t>(2021)</w:t>
      </w:r>
      <w:bookmarkEnd w:id="13"/>
      <w:r w:rsidRPr="00605D61">
        <w:t>. The use of ISO standards in the hospitality industry: a comparative analysis of European clusters. In E3S Web of Conferences (Vol. 277, p. 02004). EDP Sciences.</w:t>
      </w:r>
    </w:p>
    <w:p w14:paraId="731F1764" w14:textId="77777777" w:rsidR="005C7CAB" w:rsidRPr="00605D61" w:rsidRDefault="005C7CAB" w:rsidP="001E08E5">
      <w:bookmarkStart w:id="14" w:name="_Hlk173670651"/>
      <w:r w:rsidRPr="00605D61">
        <w:t>Liu,</w:t>
      </w:r>
      <w:bookmarkEnd w:id="14"/>
      <w:r w:rsidRPr="00605D61">
        <w:t xml:space="preserve"> X., Yu, J., Guo, Q. and Li, J., </w:t>
      </w:r>
      <w:r>
        <w:t>(2022)</w:t>
      </w:r>
      <w:r w:rsidRPr="00605D61">
        <w:t>. Employee engagement, its antecedents and effects on business performance in hospitality industry: a multilevel analysis. International Journal of Contemporary Hospitality Management, 34(12), pp.4631-4652.</w:t>
      </w:r>
    </w:p>
    <w:p w14:paraId="0AD1470D" w14:textId="77777777" w:rsidR="005C7CAB" w:rsidRPr="00605D61" w:rsidRDefault="005C7CAB" w:rsidP="001E08E5">
      <w:bookmarkStart w:id="15" w:name="_Hlk173670530"/>
      <w:r w:rsidRPr="00605D61">
        <w:t xml:space="preserve">McCartney, G. and Kwok, S.S., </w:t>
      </w:r>
      <w:r>
        <w:t>(2023)</w:t>
      </w:r>
      <w:bookmarkEnd w:id="15"/>
      <w:r w:rsidRPr="00605D61">
        <w:t>. Closing the gap between hospitality industry and academia research agendas: An exploratory analysis case study. Journal of Quality Assurance in Hospitality &amp; Tourism, 24(2), pp.192-210.</w:t>
      </w:r>
    </w:p>
    <w:p w14:paraId="199F6A9B" w14:textId="77777777" w:rsidR="005C7CAB" w:rsidRPr="00605D61" w:rsidRDefault="005C7CAB" w:rsidP="001E08E5">
      <w:bookmarkStart w:id="16" w:name="_Hlk173670514"/>
      <w:r w:rsidRPr="00605D61">
        <w:t>Ntounis</w:t>
      </w:r>
      <w:bookmarkEnd w:id="16"/>
      <w:r w:rsidRPr="00605D61">
        <w:t xml:space="preserve">, N., Parker, C., Skinner, H., Steadman, C. and Warnaby, G., </w:t>
      </w:r>
      <w:r>
        <w:t>(2022)</w:t>
      </w:r>
      <w:r w:rsidRPr="00605D61">
        <w:t>. Tourism and Hospitality industry resilience during the Covid-19 pandemic: Evidence from England. Current Issues in Tourism, 25(1), pp.46-59.</w:t>
      </w:r>
    </w:p>
    <w:p w14:paraId="13C98E95" w14:textId="77777777" w:rsidR="005C7CAB" w:rsidRPr="00605D61" w:rsidRDefault="005C7CAB" w:rsidP="001E08E5">
      <w:bookmarkStart w:id="17" w:name="_Hlk173670579"/>
      <w:r w:rsidRPr="00605D61">
        <w:lastRenderedPageBreak/>
        <w:t>Piga</w:t>
      </w:r>
      <w:bookmarkEnd w:id="17"/>
      <w:r w:rsidRPr="00605D61">
        <w:t xml:space="preserve">, C.A., Abrate, G., Viglia, G. and De Canio, F., </w:t>
      </w:r>
      <w:r>
        <w:t>(2022)</w:t>
      </w:r>
      <w:r w:rsidRPr="00605D61">
        <w:t>. How the hospitality industry reacts to COVID-19: structural, managerial and tactical factors. Journal of Revenue and Pricing Management, 21(5), p.503.</w:t>
      </w:r>
    </w:p>
    <w:p w14:paraId="366FAE8A" w14:textId="77777777" w:rsidR="005C7CAB" w:rsidRPr="00605D61" w:rsidRDefault="005C7CAB" w:rsidP="001E08E5">
      <w:bookmarkStart w:id="18" w:name="_Hlk173670620"/>
      <w:r w:rsidRPr="00605D61">
        <w:t xml:space="preserve">Ruel, H. and Njoku, E., </w:t>
      </w:r>
      <w:r>
        <w:t>(2021)</w:t>
      </w:r>
      <w:bookmarkEnd w:id="18"/>
      <w:r w:rsidRPr="00605D61">
        <w:t>. AI redefining the hospitality industry. Journal of Tourism Futures, 7(1), pp.53-66.</w:t>
      </w:r>
    </w:p>
    <w:p w14:paraId="7587B7C0" w14:textId="77777777" w:rsidR="005C7CAB" w:rsidRPr="00605D61" w:rsidRDefault="005C7CAB" w:rsidP="001E08E5">
      <w:bookmarkStart w:id="19" w:name="_Hlk173670750"/>
      <w:r w:rsidRPr="00605D61">
        <w:t>Sakshi</w:t>
      </w:r>
      <w:bookmarkEnd w:id="19"/>
      <w:r w:rsidRPr="00605D61">
        <w:t xml:space="preserve">, Shashi, Cerchione, R. and Bansal, H., </w:t>
      </w:r>
      <w:r>
        <w:t>(2020)</w:t>
      </w:r>
      <w:r w:rsidRPr="00605D61">
        <w:t>. Measuring the impact of sustainability policy and practices in tourism and hospitality industry. Business Strategy and the Environment, 29(3), pp.1109-1126.</w:t>
      </w:r>
    </w:p>
    <w:p w14:paraId="72A135DC" w14:textId="77777777" w:rsidR="005C7CAB" w:rsidRPr="005616C7" w:rsidRDefault="005C7CAB" w:rsidP="005616C7">
      <w:pPr>
        <w:rPr>
          <w:lang w:val="en-IN"/>
        </w:rPr>
      </w:pPr>
      <w:r w:rsidRPr="005616C7">
        <w:rPr>
          <w:lang w:val="en-IN"/>
        </w:rPr>
        <w:t xml:space="preserve">Statista (2023) </w:t>
      </w:r>
      <w:r w:rsidRPr="005616C7">
        <w:rPr>
          <w:i/>
          <w:iCs/>
          <w:lang w:val="en-IN"/>
        </w:rPr>
        <w:t>Hospitality and tourism labour turnover in the United Kingdom (UK) 2012, by industry</w:t>
      </w:r>
      <w:r w:rsidRPr="005616C7">
        <w:rPr>
          <w:lang w:val="en-IN"/>
        </w:rPr>
        <w:t>. https://www.statista.com/statistics/301182/labour-turnover-in-hospitality-and-tourism-in-the-united-kingdom/ (Accessed: August 4, 2024).</w:t>
      </w:r>
    </w:p>
    <w:p w14:paraId="2D9C3587" w14:textId="77777777" w:rsidR="005C7CAB" w:rsidRPr="005C7CAB" w:rsidRDefault="005C7CAB" w:rsidP="005616C7">
      <w:pPr>
        <w:rPr>
          <w:lang w:val="en-IN"/>
        </w:rPr>
      </w:pPr>
      <w:r w:rsidRPr="005616C7">
        <w:rPr>
          <w:lang w:val="en-IN"/>
        </w:rPr>
        <w:t xml:space="preserve">Statista (2024) </w:t>
      </w:r>
      <w:r w:rsidRPr="005616C7">
        <w:rPr>
          <w:i/>
          <w:iCs/>
          <w:lang w:val="en-IN"/>
        </w:rPr>
        <w:t>Revenue of the hotels industry in the UK 2020-2029</w:t>
      </w:r>
      <w:r w:rsidRPr="005616C7">
        <w:rPr>
          <w:lang w:val="en-IN"/>
        </w:rPr>
        <w:t>. https://www.statista.com/forecasts/515548/revenue-in-the-hotels-market-in-the-united-kingdom (Accessed: August 4, 2024).</w:t>
      </w:r>
    </w:p>
    <w:p w14:paraId="0FBFA4A2" w14:textId="77777777" w:rsidR="001E08E5" w:rsidRPr="00711FBB" w:rsidRDefault="001E08E5" w:rsidP="00711FBB">
      <w:pPr>
        <w:jc w:val="left"/>
        <w:rPr>
          <w:lang w:val="en-US"/>
        </w:rPr>
      </w:pPr>
    </w:p>
    <w:sectPr w:rsidR="001E08E5" w:rsidRPr="00711FBB" w:rsidSect="00A71276">
      <w:footerReference w:type="default" r:id="rId10"/>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4E5876C" w14:textId="77777777" w:rsidR="00E5036B" w:rsidRPr="002A0868" w:rsidRDefault="00E5036B" w:rsidP="00711FBB">
      <w:pPr>
        <w:spacing w:after="0" w:line="240" w:lineRule="auto"/>
      </w:pPr>
      <w:r w:rsidRPr="002A0868">
        <w:separator/>
      </w:r>
    </w:p>
  </w:endnote>
  <w:endnote w:type="continuationSeparator" w:id="0">
    <w:p w14:paraId="074D2BAD" w14:textId="77777777" w:rsidR="00E5036B" w:rsidRPr="002A0868" w:rsidRDefault="00E5036B" w:rsidP="00711FBB">
      <w:pPr>
        <w:spacing w:after="0" w:line="240" w:lineRule="auto"/>
      </w:pPr>
      <w:r w:rsidRPr="002A0868">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Cordia New">
    <w:panose1 w:val="020B0304020202020204"/>
    <w:charset w:val="DE"/>
    <w:family w:val="swiss"/>
    <w:pitch w:val="variable"/>
    <w:sig w:usb0="81000003" w:usb1="00000000" w:usb2="00000000" w:usb3="00000000" w:csb0="00010001"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Angsana New">
    <w:panose1 w:val="02020603050405020304"/>
    <w:charset w:val="DE"/>
    <w:family w:val="roman"/>
    <w:pitch w:val="variable"/>
    <w:sig w:usb0="81000003" w:usb1="00000000" w:usb2="00000000" w:usb3="00000000" w:csb0="00010001"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456222020"/>
      <w:docPartObj>
        <w:docPartGallery w:val="Page Numbers (Bottom of Page)"/>
        <w:docPartUnique/>
      </w:docPartObj>
    </w:sdtPr>
    <w:sdtContent>
      <w:sdt>
        <w:sdtPr>
          <w:id w:val="-1769616900"/>
          <w:docPartObj>
            <w:docPartGallery w:val="Page Numbers (Top of Page)"/>
            <w:docPartUnique/>
          </w:docPartObj>
        </w:sdtPr>
        <w:sdtContent>
          <w:p w14:paraId="39F5850D" w14:textId="21AFAFC3" w:rsidR="00711FBB" w:rsidRPr="002A0868" w:rsidRDefault="00711FBB">
            <w:pPr>
              <w:pStyle w:val="Footer"/>
              <w:jc w:val="right"/>
            </w:pPr>
            <w:r w:rsidRPr="002A0868">
              <w:t xml:space="preserve">Page </w:t>
            </w:r>
            <w:r w:rsidRPr="002A0868">
              <w:rPr>
                <w:b/>
                <w:bCs/>
                <w:szCs w:val="24"/>
              </w:rPr>
              <w:fldChar w:fldCharType="begin"/>
            </w:r>
            <w:r w:rsidRPr="002A0868">
              <w:rPr>
                <w:b/>
                <w:bCs/>
              </w:rPr>
              <w:instrText xml:space="preserve"> PAGE </w:instrText>
            </w:r>
            <w:r w:rsidRPr="002A0868">
              <w:rPr>
                <w:b/>
                <w:bCs/>
                <w:szCs w:val="24"/>
              </w:rPr>
              <w:fldChar w:fldCharType="separate"/>
            </w:r>
            <w:r w:rsidRPr="002A0868">
              <w:rPr>
                <w:b/>
                <w:bCs/>
              </w:rPr>
              <w:t>2</w:t>
            </w:r>
            <w:r w:rsidRPr="002A0868">
              <w:rPr>
                <w:b/>
                <w:bCs/>
                <w:szCs w:val="24"/>
              </w:rPr>
              <w:fldChar w:fldCharType="end"/>
            </w:r>
            <w:r w:rsidRPr="002A0868">
              <w:t xml:space="preserve"> of </w:t>
            </w:r>
            <w:r w:rsidRPr="002A0868">
              <w:rPr>
                <w:b/>
                <w:bCs/>
                <w:szCs w:val="24"/>
              </w:rPr>
              <w:fldChar w:fldCharType="begin"/>
            </w:r>
            <w:r w:rsidRPr="002A0868">
              <w:rPr>
                <w:b/>
                <w:bCs/>
              </w:rPr>
              <w:instrText xml:space="preserve"> NUMPAGES  </w:instrText>
            </w:r>
            <w:r w:rsidRPr="002A0868">
              <w:rPr>
                <w:b/>
                <w:bCs/>
                <w:szCs w:val="24"/>
              </w:rPr>
              <w:fldChar w:fldCharType="separate"/>
            </w:r>
            <w:r w:rsidRPr="002A0868">
              <w:rPr>
                <w:b/>
                <w:bCs/>
              </w:rPr>
              <w:t>2</w:t>
            </w:r>
            <w:r w:rsidRPr="002A0868">
              <w:rPr>
                <w:b/>
                <w:bCs/>
                <w:szCs w:val="24"/>
              </w:rPr>
              <w:fldChar w:fldCharType="end"/>
            </w:r>
          </w:p>
        </w:sdtContent>
      </w:sdt>
    </w:sdtContent>
  </w:sdt>
  <w:p w14:paraId="5D0BF203" w14:textId="77777777" w:rsidR="00711FBB" w:rsidRPr="002A0868" w:rsidRDefault="00711FB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1D52211" w14:textId="77777777" w:rsidR="00E5036B" w:rsidRPr="002A0868" w:rsidRDefault="00E5036B" w:rsidP="00711FBB">
      <w:pPr>
        <w:spacing w:after="0" w:line="240" w:lineRule="auto"/>
      </w:pPr>
      <w:r w:rsidRPr="002A0868">
        <w:separator/>
      </w:r>
    </w:p>
  </w:footnote>
  <w:footnote w:type="continuationSeparator" w:id="0">
    <w:p w14:paraId="40FECDD7" w14:textId="77777777" w:rsidR="00E5036B" w:rsidRPr="002A0868" w:rsidRDefault="00E5036B" w:rsidP="00711FBB">
      <w:pPr>
        <w:spacing w:after="0" w:line="240" w:lineRule="auto"/>
      </w:pPr>
      <w:r w:rsidRPr="002A0868">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1C6250"/>
    <w:rsid w:val="00025976"/>
    <w:rsid w:val="00083B9E"/>
    <w:rsid w:val="000A53CC"/>
    <w:rsid w:val="000E71F6"/>
    <w:rsid w:val="001C6250"/>
    <w:rsid w:val="001E08E5"/>
    <w:rsid w:val="001F2162"/>
    <w:rsid w:val="002421F3"/>
    <w:rsid w:val="002A0868"/>
    <w:rsid w:val="003A0FD8"/>
    <w:rsid w:val="003B7C34"/>
    <w:rsid w:val="003C7FE0"/>
    <w:rsid w:val="00475724"/>
    <w:rsid w:val="0049384A"/>
    <w:rsid w:val="004C1726"/>
    <w:rsid w:val="004F1013"/>
    <w:rsid w:val="0053764B"/>
    <w:rsid w:val="005616C7"/>
    <w:rsid w:val="0057456F"/>
    <w:rsid w:val="005C1482"/>
    <w:rsid w:val="005C7CAB"/>
    <w:rsid w:val="005D4C16"/>
    <w:rsid w:val="00644CC3"/>
    <w:rsid w:val="00701859"/>
    <w:rsid w:val="00711FBB"/>
    <w:rsid w:val="007F5EF9"/>
    <w:rsid w:val="008A0BF5"/>
    <w:rsid w:val="008C699E"/>
    <w:rsid w:val="008D358B"/>
    <w:rsid w:val="00917798"/>
    <w:rsid w:val="0092268A"/>
    <w:rsid w:val="00A357C5"/>
    <w:rsid w:val="00A6048A"/>
    <w:rsid w:val="00A71276"/>
    <w:rsid w:val="00A73843"/>
    <w:rsid w:val="00A83A70"/>
    <w:rsid w:val="00A900AF"/>
    <w:rsid w:val="00AA4AA1"/>
    <w:rsid w:val="00B23041"/>
    <w:rsid w:val="00B91D9F"/>
    <w:rsid w:val="00BC5288"/>
    <w:rsid w:val="00BE3CFD"/>
    <w:rsid w:val="00C02D8D"/>
    <w:rsid w:val="00CA5537"/>
    <w:rsid w:val="00CB4436"/>
    <w:rsid w:val="00CD2C49"/>
    <w:rsid w:val="00CE2EB6"/>
    <w:rsid w:val="00D6085D"/>
    <w:rsid w:val="00D65D5F"/>
    <w:rsid w:val="00DB3470"/>
    <w:rsid w:val="00DE2097"/>
    <w:rsid w:val="00E05EB4"/>
    <w:rsid w:val="00E25A6A"/>
    <w:rsid w:val="00E5036B"/>
    <w:rsid w:val="00E71A78"/>
    <w:rsid w:val="00EC1932"/>
    <w:rsid w:val="00EF2C45"/>
    <w:rsid w:val="00F54E74"/>
    <w:rsid w:val="00F77EAA"/>
    <w:rsid w:val="00FA3F19"/>
    <w:rsid w:val="00FF07FE"/>
  </w:rsids>
  <m:mathPr>
    <m:mathFont m:val="Cambria Math"/>
    <m:brkBin m:val="before"/>
    <m:brkBinSub m:val="--"/>
    <m:smallFrac m:val="0"/>
    <m:dispDef/>
    <m:lMargin m:val="0"/>
    <m:rMargin m:val="0"/>
    <m:defJc m:val="centerGroup"/>
    <m:wrapIndent m:val="1440"/>
    <m:intLim m:val="subSup"/>
    <m:naryLim m:val="undOvr"/>
  </m:mathPr>
  <w:themeFontLang w:val="en-IN" w:eastAsia="zh-CN" w:bidi="th-TH"/>
  <w:clrSchemeMapping w:bg1="light1" w:t1="dark1" w:bg2="light2" w:t2="dark2" w:accent1="accent1" w:accent2="accent2" w:accent3="accent3" w:accent4="accent4" w:accent5="accent5" w:accent6="accent6" w:hyperlink="hyperlink" w:followedHyperlink="followedHyperlink"/>
  <w:shapeDefaults>
    <o:shapedefaults v:ext="edit" spidmax="1040"/>
    <o:shapelayout v:ext="edit">
      <o:idmap v:ext="edit" data="1"/>
      <o:rules v:ext="edit">
        <o:r id="V:Rule1" type="connector" idref="#_x0000_s1028"/>
        <o:r id="V:Rule2" type="connector" idref="#_x0000_s1030"/>
      </o:rules>
    </o:shapelayout>
  </w:shapeDefaults>
  <w:decimalSymbol w:val="."/>
  <w:listSeparator w:val=","/>
  <w14:docId w14:val="6CEAFDD9"/>
  <w15:chartTrackingRefBased/>
  <w15:docId w15:val="{68E67AD9-BA1E-400A-8267-B29CE31986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8"/>
        <w:lang w:val="en-IN" w:eastAsia="en-US" w:bidi="th-TH"/>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2D8D"/>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C02D8D"/>
    <w:pPr>
      <w:keepNext/>
      <w:keepLines/>
      <w:spacing w:before="240" w:after="0"/>
      <w:outlineLvl w:val="0"/>
    </w:pPr>
    <w:rPr>
      <w:rFonts w:eastAsiaTheme="majorEastAsia" w:cstheme="majorBidi"/>
      <w:b/>
      <w:sz w:val="28"/>
      <w:szCs w:val="40"/>
    </w:rPr>
  </w:style>
  <w:style w:type="paragraph" w:styleId="Heading2">
    <w:name w:val="heading 2"/>
    <w:basedOn w:val="Normal"/>
    <w:next w:val="Normal"/>
    <w:link w:val="Heading2Char"/>
    <w:uiPriority w:val="9"/>
    <w:semiHidden/>
    <w:unhideWhenUsed/>
    <w:qFormat/>
    <w:rsid w:val="00C02D8D"/>
    <w:pPr>
      <w:keepNext/>
      <w:keepLines/>
      <w:spacing w:before="40" w:after="0"/>
      <w:outlineLvl w:val="1"/>
    </w:pPr>
    <w:rPr>
      <w:rFonts w:eastAsiaTheme="majorEastAsia" w:cstheme="majorBidi"/>
      <w:b/>
      <w:sz w:val="26"/>
      <w:szCs w:val="33"/>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02D8D"/>
    <w:rPr>
      <w:rFonts w:ascii="Times New Roman" w:eastAsiaTheme="majorEastAsia" w:hAnsi="Times New Roman" w:cstheme="majorBidi"/>
      <w:b/>
      <w:sz w:val="28"/>
      <w:szCs w:val="40"/>
    </w:rPr>
  </w:style>
  <w:style w:type="character" w:customStyle="1" w:styleId="Heading2Char">
    <w:name w:val="Heading 2 Char"/>
    <w:basedOn w:val="DefaultParagraphFont"/>
    <w:link w:val="Heading2"/>
    <w:uiPriority w:val="9"/>
    <w:semiHidden/>
    <w:rsid w:val="00C02D8D"/>
    <w:rPr>
      <w:rFonts w:ascii="Times New Roman" w:eastAsiaTheme="majorEastAsia" w:hAnsi="Times New Roman" w:cstheme="majorBidi"/>
      <w:b/>
      <w:sz w:val="26"/>
      <w:szCs w:val="33"/>
    </w:rPr>
  </w:style>
  <w:style w:type="paragraph" w:styleId="Header">
    <w:name w:val="header"/>
    <w:basedOn w:val="Normal"/>
    <w:link w:val="HeaderChar"/>
    <w:uiPriority w:val="99"/>
    <w:unhideWhenUsed/>
    <w:rsid w:val="00711FBB"/>
    <w:pPr>
      <w:tabs>
        <w:tab w:val="center" w:pos="4513"/>
        <w:tab w:val="right" w:pos="9026"/>
      </w:tabs>
      <w:spacing w:after="0" w:line="240" w:lineRule="auto"/>
    </w:pPr>
  </w:style>
  <w:style w:type="character" w:customStyle="1" w:styleId="HeaderChar">
    <w:name w:val="Header Char"/>
    <w:basedOn w:val="DefaultParagraphFont"/>
    <w:link w:val="Header"/>
    <w:uiPriority w:val="99"/>
    <w:rsid w:val="00711FBB"/>
    <w:rPr>
      <w:rFonts w:ascii="Times New Roman" w:hAnsi="Times New Roman"/>
      <w:sz w:val="24"/>
      <w:lang w:val="en-GB"/>
    </w:rPr>
  </w:style>
  <w:style w:type="paragraph" w:styleId="Footer">
    <w:name w:val="footer"/>
    <w:basedOn w:val="Normal"/>
    <w:link w:val="FooterChar"/>
    <w:uiPriority w:val="99"/>
    <w:unhideWhenUsed/>
    <w:rsid w:val="00711FBB"/>
    <w:pPr>
      <w:tabs>
        <w:tab w:val="center" w:pos="4513"/>
        <w:tab w:val="right" w:pos="9026"/>
      </w:tabs>
      <w:spacing w:after="0" w:line="240" w:lineRule="auto"/>
    </w:pPr>
  </w:style>
  <w:style w:type="character" w:customStyle="1" w:styleId="FooterChar">
    <w:name w:val="Footer Char"/>
    <w:basedOn w:val="DefaultParagraphFont"/>
    <w:link w:val="Footer"/>
    <w:uiPriority w:val="99"/>
    <w:rsid w:val="00711FBB"/>
    <w:rPr>
      <w:rFonts w:ascii="Times New Roman" w:hAnsi="Times New Roman"/>
      <w:sz w:val="24"/>
      <w:lang w:val="en-GB"/>
    </w:rPr>
  </w:style>
  <w:style w:type="paragraph" w:styleId="TOCHeading">
    <w:name w:val="TOC Heading"/>
    <w:basedOn w:val="Heading1"/>
    <w:next w:val="Normal"/>
    <w:uiPriority w:val="39"/>
    <w:unhideWhenUsed/>
    <w:qFormat/>
    <w:rsid w:val="00A6048A"/>
    <w:pPr>
      <w:spacing w:line="259" w:lineRule="auto"/>
      <w:jc w:val="left"/>
      <w:outlineLvl w:val="9"/>
    </w:pPr>
    <w:rPr>
      <w:rFonts w:asciiTheme="majorHAnsi" w:hAnsiTheme="majorHAnsi"/>
      <w:b w:val="0"/>
      <w:color w:val="2F5496" w:themeColor="accent1" w:themeShade="BF"/>
      <w:kern w:val="0"/>
      <w:sz w:val="32"/>
      <w:szCs w:val="32"/>
      <w:lang w:val="en-US" w:bidi="ar-SA"/>
    </w:rPr>
  </w:style>
  <w:style w:type="paragraph" w:styleId="TOC1">
    <w:name w:val="toc 1"/>
    <w:basedOn w:val="Normal"/>
    <w:next w:val="Normal"/>
    <w:autoRedefine/>
    <w:uiPriority w:val="39"/>
    <w:unhideWhenUsed/>
    <w:rsid w:val="00A6048A"/>
    <w:pPr>
      <w:spacing w:after="100"/>
    </w:pPr>
  </w:style>
  <w:style w:type="character" w:styleId="Hyperlink">
    <w:name w:val="Hyperlink"/>
    <w:basedOn w:val="DefaultParagraphFont"/>
    <w:uiPriority w:val="99"/>
    <w:unhideWhenUsed/>
    <w:rsid w:val="00A6048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97549082">
      <w:bodyDiv w:val="1"/>
      <w:marLeft w:val="0"/>
      <w:marRight w:val="0"/>
      <w:marTop w:val="0"/>
      <w:marBottom w:val="0"/>
      <w:divBdr>
        <w:top w:val="none" w:sz="0" w:space="0" w:color="auto"/>
        <w:left w:val="none" w:sz="0" w:space="0" w:color="auto"/>
        <w:bottom w:val="none" w:sz="0" w:space="0" w:color="auto"/>
        <w:right w:val="none" w:sz="0" w:space="0" w:color="auto"/>
      </w:divBdr>
      <w:divsChild>
        <w:div w:id="888229527">
          <w:marLeft w:val="-720"/>
          <w:marRight w:val="0"/>
          <w:marTop w:val="0"/>
          <w:marBottom w:val="0"/>
          <w:divBdr>
            <w:top w:val="none" w:sz="0" w:space="0" w:color="auto"/>
            <w:left w:val="none" w:sz="0" w:space="0" w:color="auto"/>
            <w:bottom w:val="none" w:sz="0" w:space="0" w:color="auto"/>
            <w:right w:val="none" w:sz="0" w:space="0" w:color="auto"/>
          </w:divBdr>
        </w:div>
      </w:divsChild>
    </w:div>
    <w:div w:id="716780558">
      <w:bodyDiv w:val="1"/>
      <w:marLeft w:val="0"/>
      <w:marRight w:val="0"/>
      <w:marTop w:val="0"/>
      <w:marBottom w:val="0"/>
      <w:divBdr>
        <w:top w:val="none" w:sz="0" w:space="0" w:color="auto"/>
        <w:left w:val="none" w:sz="0" w:space="0" w:color="auto"/>
        <w:bottom w:val="none" w:sz="0" w:space="0" w:color="auto"/>
        <w:right w:val="none" w:sz="0" w:space="0" w:color="auto"/>
      </w:divBdr>
    </w:div>
    <w:div w:id="1006714262">
      <w:bodyDiv w:val="1"/>
      <w:marLeft w:val="0"/>
      <w:marRight w:val="0"/>
      <w:marTop w:val="0"/>
      <w:marBottom w:val="0"/>
      <w:divBdr>
        <w:top w:val="none" w:sz="0" w:space="0" w:color="auto"/>
        <w:left w:val="none" w:sz="0" w:space="0" w:color="auto"/>
        <w:bottom w:val="none" w:sz="0" w:space="0" w:color="auto"/>
        <w:right w:val="none" w:sz="0" w:space="0" w:color="auto"/>
      </w:divBdr>
    </w:div>
    <w:div w:id="1146971375">
      <w:bodyDiv w:val="1"/>
      <w:marLeft w:val="0"/>
      <w:marRight w:val="0"/>
      <w:marTop w:val="0"/>
      <w:marBottom w:val="0"/>
      <w:divBdr>
        <w:top w:val="none" w:sz="0" w:space="0" w:color="auto"/>
        <w:left w:val="none" w:sz="0" w:space="0" w:color="auto"/>
        <w:bottom w:val="none" w:sz="0" w:space="0" w:color="auto"/>
        <w:right w:val="none" w:sz="0" w:space="0" w:color="auto"/>
      </w:divBdr>
      <w:divsChild>
        <w:div w:id="1910964509">
          <w:marLeft w:val="-720"/>
          <w:marRight w:val="0"/>
          <w:marTop w:val="0"/>
          <w:marBottom w:val="0"/>
          <w:divBdr>
            <w:top w:val="none" w:sz="0" w:space="0" w:color="auto"/>
            <w:left w:val="none" w:sz="0" w:space="0" w:color="auto"/>
            <w:bottom w:val="none" w:sz="0" w:space="0" w:color="auto"/>
            <w:right w:val="none" w:sz="0" w:space="0" w:color="auto"/>
          </w:divBdr>
        </w:div>
      </w:divsChild>
    </w:div>
    <w:div w:id="1422137532">
      <w:bodyDiv w:val="1"/>
      <w:marLeft w:val="0"/>
      <w:marRight w:val="0"/>
      <w:marTop w:val="0"/>
      <w:marBottom w:val="0"/>
      <w:divBdr>
        <w:top w:val="none" w:sz="0" w:space="0" w:color="auto"/>
        <w:left w:val="none" w:sz="0" w:space="0" w:color="auto"/>
        <w:bottom w:val="none" w:sz="0" w:space="0" w:color="auto"/>
        <w:right w:val="none" w:sz="0" w:space="0" w:color="auto"/>
      </w:divBdr>
      <w:divsChild>
        <w:div w:id="1717775535">
          <w:marLeft w:val="-720"/>
          <w:marRight w:val="0"/>
          <w:marTop w:val="0"/>
          <w:marBottom w:val="0"/>
          <w:divBdr>
            <w:top w:val="none" w:sz="0" w:space="0" w:color="auto"/>
            <w:left w:val="none" w:sz="0" w:space="0" w:color="auto"/>
            <w:bottom w:val="none" w:sz="0" w:space="0" w:color="auto"/>
            <w:right w:val="none" w:sz="0" w:space="0" w:color="auto"/>
          </w:divBdr>
        </w:div>
      </w:divsChild>
    </w:div>
    <w:div w:id="1625043394">
      <w:bodyDiv w:val="1"/>
      <w:marLeft w:val="0"/>
      <w:marRight w:val="0"/>
      <w:marTop w:val="0"/>
      <w:marBottom w:val="0"/>
      <w:divBdr>
        <w:top w:val="none" w:sz="0" w:space="0" w:color="auto"/>
        <w:left w:val="none" w:sz="0" w:space="0" w:color="auto"/>
        <w:bottom w:val="none" w:sz="0" w:space="0" w:color="auto"/>
        <w:right w:val="none" w:sz="0" w:space="0" w:color="auto"/>
      </w:divBdr>
      <w:divsChild>
        <w:div w:id="651952274">
          <w:marLeft w:val="-720"/>
          <w:marRight w:val="0"/>
          <w:marTop w:val="0"/>
          <w:marBottom w:val="0"/>
          <w:divBdr>
            <w:top w:val="none" w:sz="0" w:space="0" w:color="auto"/>
            <w:left w:val="none" w:sz="0" w:space="0" w:color="auto"/>
            <w:bottom w:val="none" w:sz="0" w:space="0" w:color="auto"/>
            <w:right w:val="none" w:sz="0" w:space="0" w:color="auto"/>
          </w:divBdr>
        </w:div>
      </w:divsChild>
    </w:div>
    <w:div w:id="1704134525">
      <w:bodyDiv w:val="1"/>
      <w:marLeft w:val="0"/>
      <w:marRight w:val="0"/>
      <w:marTop w:val="0"/>
      <w:marBottom w:val="0"/>
      <w:divBdr>
        <w:top w:val="none" w:sz="0" w:space="0" w:color="auto"/>
        <w:left w:val="none" w:sz="0" w:space="0" w:color="auto"/>
        <w:bottom w:val="none" w:sz="0" w:space="0" w:color="auto"/>
        <w:right w:val="none" w:sz="0" w:space="0" w:color="auto"/>
      </w:divBdr>
      <w:divsChild>
        <w:div w:id="765542914">
          <w:marLeft w:val="-720"/>
          <w:marRight w:val="0"/>
          <w:marTop w:val="0"/>
          <w:marBottom w:val="0"/>
          <w:divBdr>
            <w:top w:val="none" w:sz="0" w:space="0" w:color="auto"/>
            <w:left w:val="none" w:sz="0" w:space="0" w:color="auto"/>
            <w:bottom w:val="none" w:sz="0" w:space="0" w:color="auto"/>
            <w:right w:val="none" w:sz="0" w:space="0" w:color="auto"/>
          </w:divBdr>
        </w:div>
      </w:divsChild>
    </w:div>
    <w:div w:id="2110197916">
      <w:bodyDiv w:val="1"/>
      <w:marLeft w:val="0"/>
      <w:marRight w:val="0"/>
      <w:marTop w:val="0"/>
      <w:marBottom w:val="0"/>
      <w:divBdr>
        <w:top w:val="none" w:sz="0" w:space="0" w:color="auto"/>
        <w:left w:val="none" w:sz="0" w:space="0" w:color="auto"/>
        <w:bottom w:val="none" w:sz="0" w:space="0" w:color="auto"/>
        <w:right w:val="none" w:sz="0" w:space="0" w:color="auto"/>
      </w:divBdr>
      <w:divsChild>
        <w:div w:id="1235429492">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DD1F59C-5FE7-40D9-B800-8E4229151E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TotalTime>
  <Pages>11</Pages>
  <Words>2225</Words>
  <Characters>12685</Characters>
  <DocSecurity>0</DocSecurity>
  <Lines>105</Lines>
  <Paragraphs>29</Paragraphs>
  <ScaleCrop>false</ScaleCrop>
  <HeadingPairs>
    <vt:vector size="4" baseType="variant">
      <vt:variant>
        <vt:lpstr>Title</vt:lpstr>
      </vt:variant>
      <vt:variant>
        <vt:i4>1</vt:i4>
      </vt:variant>
      <vt:variant>
        <vt:lpstr>Headings</vt:lpstr>
      </vt:variant>
      <vt:variant>
        <vt:i4>6</vt:i4>
      </vt:variant>
    </vt:vector>
  </HeadingPairs>
  <TitlesOfParts>
    <vt:vector size="7" baseType="lpstr">
      <vt:lpstr/>
      <vt:lpstr>Introduction</vt:lpstr>
      <vt:lpstr>PESTLE analysis</vt:lpstr>
      <vt:lpstr>Porters five force analysis</vt:lpstr>
      <vt:lpstr>Shareholders analysis</vt:lpstr>
      <vt:lpstr>Conclusion</vt:lpstr>
      <vt:lpstr>References</vt:lpstr>
    </vt:vector>
  </TitlesOfParts>
  <Company/>
  <LinksUpToDate>false</LinksUpToDate>
  <CharactersWithSpaces>14881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2024-08-04T07:23:00Z</dcterms:created>
  <dcterms:modified xsi:type="dcterms:W3CDTF">2024-08-14T21:27:00Z</dcterms:modified>
</cp:coreProperties>
</file>