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08E" w:rsidRDefault="0063708E">
      <w:pPr>
        <w:rPr>
          <w:b/>
          <w:bCs/>
          <w:sz w:val="32"/>
          <w:szCs w:val="32"/>
        </w:rPr>
      </w:pPr>
    </w:p>
    <w:p w:rsidR="0063708E" w:rsidRDefault="0063708E">
      <w:pPr>
        <w:jc w:val="center"/>
        <w:rPr>
          <w:b/>
          <w:bCs/>
          <w:sz w:val="32"/>
          <w:szCs w:val="32"/>
        </w:rPr>
      </w:pPr>
    </w:p>
    <w:p w:rsidR="0063708E" w:rsidRDefault="0063708E">
      <w:pPr>
        <w:jc w:val="center"/>
        <w:rPr>
          <w:b/>
          <w:bCs/>
          <w:sz w:val="32"/>
          <w:szCs w:val="32"/>
        </w:rPr>
      </w:pPr>
    </w:p>
    <w:p w:rsidR="0063708E" w:rsidRDefault="00B649F4">
      <w:pPr>
        <w:jc w:val="center"/>
        <w:rPr>
          <w:b/>
          <w:bCs/>
          <w:sz w:val="32"/>
          <w:szCs w:val="32"/>
        </w:rPr>
      </w:pPr>
      <w:r>
        <w:rPr>
          <w:b/>
          <w:bCs/>
          <w:sz w:val="32"/>
          <w:szCs w:val="32"/>
        </w:rPr>
        <w:t>PROGRAMME: MASTER OF BUSINESS ADMINISTRATION</w:t>
      </w:r>
    </w:p>
    <w:p w:rsidR="0063708E" w:rsidRDefault="00B649F4">
      <w:pPr>
        <w:jc w:val="center"/>
        <w:rPr>
          <w:b/>
          <w:bCs/>
          <w:sz w:val="32"/>
          <w:szCs w:val="32"/>
        </w:rPr>
      </w:pPr>
      <w:r>
        <w:rPr>
          <w:b/>
          <w:bCs/>
          <w:sz w:val="32"/>
          <w:szCs w:val="32"/>
        </w:rPr>
        <w:t>MODULE: MARKETING MANAGEMENT</w:t>
      </w:r>
    </w:p>
    <w:p w:rsidR="0063708E" w:rsidRDefault="00B649F4">
      <w:pPr>
        <w:jc w:val="center"/>
        <w:rPr>
          <w:b/>
          <w:bCs/>
          <w:sz w:val="32"/>
          <w:szCs w:val="32"/>
        </w:rPr>
      </w:pPr>
      <w:r>
        <w:rPr>
          <w:b/>
          <w:bCs/>
          <w:sz w:val="32"/>
          <w:szCs w:val="32"/>
        </w:rPr>
        <w:t>MODULE CODE: LCMB7024</w:t>
      </w:r>
    </w:p>
    <w:p w:rsidR="0063708E" w:rsidRDefault="00B649F4">
      <w:pPr>
        <w:jc w:val="center"/>
        <w:rPr>
          <w:b/>
          <w:bCs/>
          <w:sz w:val="32"/>
          <w:szCs w:val="32"/>
        </w:rPr>
      </w:pPr>
      <w:r>
        <w:rPr>
          <w:b/>
          <w:bCs/>
          <w:sz w:val="32"/>
          <w:szCs w:val="32"/>
        </w:rPr>
        <w:t>ASSIGNMENT TITLE: MARKETING ENVIRONMENT ANALYSIS OF TATA STEEL</w:t>
      </w:r>
    </w:p>
    <w:p w:rsidR="0063708E" w:rsidRDefault="00B649F4">
      <w:pPr>
        <w:jc w:val="center"/>
        <w:rPr>
          <w:b/>
          <w:bCs/>
          <w:color w:val="EE0000"/>
          <w:sz w:val="32"/>
          <w:szCs w:val="32"/>
        </w:rPr>
      </w:pPr>
      <w:r>
        <w:rPr>
          <w:b/>
          <w:bCs/>
          <w:sz w:val="32"/>
          <w:szCs w:val="32"/>
        </w:rPr>
        <w:t xml:space="preserve">LECTURER’S NAME: </w:t>
      </w:r>
      <w:r w:rsidR="0085236B">
        <w:rPr>
          <w:b/>
          <w:bCs/>
          <w:sz w:val="32"/>
          <w:szCs w:val="32"/>
        </w:rPr>
        <w:t>TAONGA KAONGA SOBERE-SNITHERS</w:t>
      </w:r>
    </w:p>
    <w:p w:rsidR="0063708E" w:rsidRDefault="00B649F4">
      <w:pPr>
        <w:jc w:val="center"/>
        <w:rPr>
          <w:b/>
          <w:bCs/>
          <w:sz w:val="32"/>
          <w:szCs w:val="32"/>
        </w:rPr>
      </w:pPr>
      <w:r>
        <w:rPr>
          <w:b/>
          <w:bCs/>
          <w:sz w:val="32"/>
          <w:szCs w:val="32"/>
        </w:rPr>
        <w:t>STUDENT NAME: KRISH AVADABHAI ODEDRA</w:t>
      </w:r>
    </w:p>
    <w:p w:rsidR="0063708E" w:rsidRDefault="00B649F4">
      <w:pPr>
        <w:jc w:val="center"/>
        <w:rPr>
          <w:b/>
          <w:bCs/>
          <w:sz w:val="32"/>
          <w:szCs w:val="32"/>
        </w:rPr>
      </w:pPr>
      <w:r>
        <w:rPr>
          <w:b/>
          <w:bCs/>
          <w:sz w:val="32"/>
          <w:szCs w:val="32"/>
        </w:rPr>
        <w:t>STUDENT ID: 2603808</w:t>
      </w:r>
    </w:p>
    <w:p w:rsidR="0063708E" w:rsidRPr="0085236B" w:rsidRDefault="0085236B">
      <w:pPr>
        <w:jc w:val="center"/>
        <w:rPr>
          <w:b/>
          <w:bCs/>
          <w:sz w:val="32"/>
          <w:szCs w:val="32"/>
        </w:rPr>
      </w:pPr>
      <w:r w:rsidRPr="0085236B">
        <w:rPr>
          <w:b/>
          <w:bCs/>
          <w:sz w:val="32"/>
          <w:szCs w:val="32"/>
        </w:rPr>
        <w:t>FINAL WORD COUNT: 2640 WORDS</w:t>
      </w:r>
    </w:p>
    <w:p w:rsidR="0063708E" w:rsidRPr="0085236B" w:rsidRDefault="0085236B">
      <w:pPr>
        <w:jc w:val="center"/>
        <w:rPr>
          <w:b/>
          <w:bCs/>
          <w:sz w:val="32"/>
          <w:szCs w:val="32"/>
        </w:rPr>
      </w:pPr>
      <w:r w:rsidRPr="0085236B">
        <w:rPr>
          <w:b/>
          <w:bCs/>
          <w:sz w:val="32"/>
          <w:szCs w:val="32"/>
        </w:rPr>
        <w:t>SUBMISSION DATE: 22</w:t>
      </w:r>
      <w:r w:rsidRPr="0085236B">
        <w:rPr>
          <w:b/>
          <w:bCs/>
          <w:sz w:val="32"/>
          <w:szCs w:val="32"/>
          <w:vertAlign w:val="superscript"/>
        </w:rPr>
        <w:t>ND</w:t>
      </w:r>
      <w:r w:rsidRPr="0085236B">
        <w:rPr>
          <w:b/>
          <w:bCs/>
          <w:sz w:val="32"/>
          <w:szCs w:val="32"/>
        </w:rPr>
        <w:t xml:space="preserve"> OCTOBER 2026</w:t>
      </w:r>
    </w:p>
    <w:p w:rsidR="0063708E" w:rsidRDefault="00B649F4">
      <w:pPr>
        <w:rPr>
          <w:b/>
          <w:bCs/>
          <w:sz w:val="32"/>
          <w:szCs w:val="32"/>
        </w:rPr>
      </w:pP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p>
    <w:p w:rsidR="0063708E" w:rsidRDefault="0063708E">
      <w:pPr>
        <w:jc w:val="center"/>
        <w:rPr>
          <w:b/>
          <w:bCs/>
          <w:sz w:val="32"/>
          <w:szCs w:val="32"/>
        </w:rPr>
      </w:pPr>
    </w:p>
    <w:p w:rsidR="0063708E" w:rsidRDefault="00B649F4">
      <w:pPr>
        <w:rPr>
          <w:b/>
          <w:bCs/>
        </w:rPr>
      </w:pPr>
      <w:r>
        <w:br w:type="page"/>
      </w:r>
    </w:p>
    <w:p w:rsidR="0063708E" w:rsidRDefault="00B649F4">
      <w:pPr>
        <w:jc w:val="center"/>
        <w:rPr>
          <w:b/>
          <w:bCs/>
        </w:rPr>
      </w:pPr>
      <w:r>
        <w:rPr>
          <w:b/>
          <w:bCs/>
        </w:rPr>
        <w:lastRenderedPageBreak/>
        <w:t>Table of Contents</w:t>
      </w:r>
    </w:p>
    <w:sdt>
      <w:sdtPr>
        <w:id w:val="-857266298"/>
        <w:docPartObj>
          <w:docPartGallery w:val="Table of Contents"/>
          <w:docPartUnique/>
        </w:docPartObj>
      </w:sdtPr>
      <w:sdtEndPr/>
      <w:sdtContent>
        <w:p w:rsidR="0085236B" w:rsidRDefault="00B649F4" w:rsidP="0085236B">
          <w:pPr>
            <w:pStyle w:val="TOC1"/>
            <w:rPr>
              <w:noProof/>
            </w:rPr>
          </w:pPr>
          <w:r>
            <w:fldChar w:fldCharType="begin"/>
          </w:r>
          <w:r>
            <w:instrText xml:space="preserve"> TOC \h \u \z \t "Heading 1,1,Heading 2,2,Heading 3,3,Heading 4,4,Heading 5,5,Heading 6,6,"</w:instrText>
          </w:r>
          <w:r>
            <w:fldChar w:fldCharType="separate"/>
          </w:r>
          <w:hyperlink w:anchor="_Toc243569048" w:history="1">
            <w:r w:rsidR="0085236B" w:rsidRPr="00880D18">
              <w:rPr>
                <w:rStyle w:val="Hyperlink"/>
                <w:noProof/>
              </w:rPr>
              <w:t xml:space="preserve">Task 1: </w:t>
            </w:r>
            <w:bookmarkStart w:id="0" w:name="_GoBack"/>
            <w:bookmarkEnd w:id="0"/>
            <w:r w:rsidR="0085236B" w:rsidRPr="00880D18">
              <w:rPr>
                <w:rStyle w:val="Hyperlink"/>
                <w:noProof/>
              </w:rPr>
              <w:t>Marketing Environment Analysis</w:t>
            </w:r>
            <w:r w:rsidR="0085236B">
              <w:rPr>
                <w:noProof/>
                <w:webHidden/>
              </w:rPr>
              <w:tab/>
            </w:r>
            <w:r w:rsidR="0085236B">
              <w:rPr>
                <w:noProof/>
                <w:webHidden/>
              </w:rPr>
              <w:fldChar w:fldCharType="begin"/>
            </w:r>
            <w:r w:rsidR="0085236B">
              <w:rPr>
                <w:noProof/>
                <w:webHidden/>
              </w:rPr>
              <w:instrText xml:space="preserve"> PAGEREF _Toc243569048 \h </w:instrText>
            </w:r>
            <w:r w:rsidR="0085236B">
              <w:rPr>
                <w:noProof/>
                <w:webHidden/>
              </w:rPr>
            </w:r>
            <w:r w:rsidR="0085236B">
              <w:rPr>
                <w:noProof/>
                <w:webHidden/>
              </w:rPr>
              <w:fldChar w:fldCharType="separate"/>
            </w:r>
            <w:r w:rsidR="0085236B">
              <w:rPr>
                <w:noProof/>
                <w:webHidden/>
              </w:rPr>
              <w:t>3</w:t>
            </w:r>
            <w:r w:rsidR="0085236B">
              <w:rPr>
                <w:noProof/>
                <w:webHidden/>
              </w:rPr>
              <w:fldChar w:fldCharType="end"/>
            </w:r>
          </w:hyperlink>
        </w:p>
        <w:p w:rsidR="0085236B" w:rsidRDefault="0085236B">
          <w:pPr>
            <w:pStyle w:val="TOC2"/>
            <w:tabs>
              <w:tab w:val="right" w:leader="dot" w:pos="9350"/>
            </w:tabs>
            <w:rPr>
              <w:noProof/>
            </w:rPr>
          </w:pPr>
          <w:hyperlink w:anchor="_Toc243569049" w:history="1">
            <w:r w:rsidRPr="00880D18">
              <w:rPr>
                <w:rStyle w:val="Hyperlink"/>
                <w:noProof/>
              </w:rPr>
              <w:t>1.1 Company overview</w:t>
            </w:r>
            <w:r>
              <w:rPr>
                <w:noProof/>
                <w:webHidden/>
              </w:rPr>
              <w:tab/>
            </w:r>
            <w:r>
              <w:rPr>
                <w:noProof/>
                <w:webHidden/>
              </w:rPr>
              <w:fldChar w:fldCharType="begin"/>
            </w:r>
            <w:r>
              <w:rPr>
                <w:noProof/>
                <w:webHidden/>
              </w:rPr>
              <w:instrText xml:space="preserve"> PAGEREF _Toc243569049 \h </w:instrText>
            </w:r>
            <w:r>
              <w:rPr>
                <w:noProof/>
                <w:webHidden/>
              </w:rPr>
            </w:r>
            <w:r>
              <w:rPr>
                <w:noProof/>
                <w:webHidden/>
              </w:rPr>
              <w:fldChar w:fldCharType="separate"/>
            </w:r>
            <w:r>
              <w:rPr>
                <w:noProof/>
                <w:webHidden/>
              </w:rPr>
              <w:t>3</w:t>
            </w:r>
            <w:r>
              <w:rPr>
                <w:noProof/>
                <w:webHidden/>
              </w:rPr>
              <w:fldChar w:fldCharType="end"/>
            </w:r>
          </w:hyperlink>
        </w:p>
        <w:p w:rsidR="0085236B" w:rsidRDefault="0085236B">
          <w:pPr>
            <w:pStyle w:val="TOC2"/>
            <w:tabs>
              <w:tab w:val="right" w:leader="dot" w:pos="9350"/>
            </w:tabs>
            <w:rPr>
              <w:noProof/>
            </w:rPr>
          </w:pPr>
          <w:hyperlink w:anchor="_Toc243569050" w:history="1">
            <w:r w:rsidRPr="00880D18">
              <w:rPr>
                <w:rStyle w:val="Hyperlink"/>
                <w:noProof/>
              </w:rPr>
              <w:t>1.2 Analysis of market environment actors</w:t>
            </w:r>
            <w:r>
              <w:rPr>
                <w:noProof/>
                <w:webHidden/>
              </w:rPr>
              <w:tab/>
            </w:r>
            <w:r>
              <w:rPr>
                <w:noProof/>
                <w:webHidden/>
              </w:rPr>
              <w:fldChar w:fldCharType="begin"/>
            </w:r>
            <w:r>
              <w:rPr>
                <w:noProof/>
                <w:webHidden/>
              </w:rPr>
              <w:instrText xml:space="preserve"> PAGEREF _Toc243569050 \h </w:instrText>
            </w:r>
            <w:r>
              <w:rPr>
                <w:noProof/>
                <w:webHidden/>
              </w:rPr>
            </w:r>
            <w:r>
              <w:rPr>
                <w:noProof/>
                <w:webHidden/>
              </w:rPr>
              <w:fldChar w:fldCharType="separate"/>
            </w:r>
            <w:r>
              <w:rPr>
                <w:noProof/>
                <w:webHidden/>
              </w:rPr>
              <w:t>3</w:t>
            </w:r>
            <w:r>
              <w:rPr>
                <w:noProof/>
                <w:webHidden/>
              </w:rPr>
              <w:fldChar w:fldCharType="end"/>
            </w:r>
          </w:hyperlink>
        </w:p>
        <w:p w:rsidR="0085236B" w:rsidRDefault="0085236B">
          <w:pPr>
            <w:pStyle w:val="TOC3"/>
            <w:tabs>
              <w:tab w:val="right" w:leader="dot" w:pos="9350"/>
            </w:tabs>
            <w:rPr>
              <w:noProof/>
            </w:rPr>
          </w:pPr>
          <w:hyperlink w:anchor="_Toc243569051" w:history="1">
            <w:r w:rsidRPr="00880D18">
              <w:rPr>
                <w:rStyle w:val="Hyperlink"/>
                <w:noProof/>
              </w:rPr>
              <w:t>1.2.1 Political, legal, and environmental (PEL) actors influencing Tata Steel’s transition towards lower-carbon products</w:t>
            </w:r>
            <w:r>
              <w:rPr>
                <w:noProof/>
                <w:webHidden/>
              </w:rPr>
              <w:tab/>
            </w:r>
            <w:r>
              <w:rPr>
                <w:noProof/>
                <w:webHidden/>
              </w:rPr>
              <w:fldChar w:fldCharType="begin"/>
            </w:r>
            <w:r>
              <w:rPr>
                <w:noProof/>
                <w:webHidden/>
              </w:rPr>
              <w:instrText xml:space="preserve"> PAGEREF _Toc243569051 \h </w:instrText>
            </w:r>
            <w:r>
              <w:rPr>
                <w:noProof/>
                <w:webHidden/>
              </w:rPr>
            </w:r>
            <w:r>
              <w:rPr>
                <w:noProof/>
                <w:webHidden/>
              </w:rPr>
              <w:fldChar w:fldCharType="separate"/>
            </w:r>
            <w:r>
              <w:rPr>
                <w:noProof/>
                <w:webHidden/>
              </w:rPr>
              <w:t>3</w:t>
            </w:r>
            <w:r>
              <w:rPr>
                <w:noProof/>
                <w:webHidden/>
              </w:rPr>
              <w:fldChar w:fldCharType="end"/>
            </w:r>
          </w:hyperlink>
        </w:p>
        <w:p w:rsidR="0085236B" w:rsidRDefault="0085236B">
          <w:pPr>
            <w:pStyle w:val="TOC3"/>
            <w:tabs>
              <w:tab w:val="right" w:leader="dot" w:pos="9350"/>
            </w:tabs>
            <w:rPr>
              <w:noProof/>
            </w:rPr>
          </w:pPr>
          <w:hyperlink w:anchor="_Toc243569052" w:history="1">
            <w:r w:rsidRPr="00880D18">
              <w:rPr>
                <w:rStyle w:val="Hyperlink"/>
                <w:noProof/>
              </w:rPr>
              <w:t>1.2.2 Environmental factors pushing towards transition</w:t>
            </w:r>
            <w:r>
              <w:rPr>
                <w:noProof/>
                <w:webHidden/>
              </w:rPr>
              <w:tab/>
            </w:r>
            <w:r>
              <w:rPr>
                <w:noProof/>
                <w:webHidden/>
              </w:rPr>
              <w:fldChar w:fldCharType="begin"/>
            </w:r>
            <w:r>
              <w:rPr>
                <w:noProof/>
                <w:webHidden/>
              </w:rPr>
              <w:instrText xml:space="preserve"> PAGEREF _Toc243569052 \h </w:instrText>
            </w:r>
            <w:r>
              <w:rPr>
                <w:noProof/>
                <w:webHidden/>
              </w:rPr>
            </w:r>
            <w:r>
              <w:rPr>
                <w:noProof/>
                <w:webHidden/>
              </w:rPr>
              <w:fldChar w:fldCharType="separate"/>
            </w:r>
            <w:r>
              <w:rPr>
                <w:noProof/>
                <w:webHidden/>
              </w:rPr>
              <w:t>7</w:t>
            </w:r>
            <w:r>
              <w:rPr>
                <w:noProof/>
                <w:webHidden/>
              </w:rPr>
              <w:fldChar w:fldCharType="end"/>
            </w:r>
          </w:hyperlink>
        </w:p>
        <w:p w:rsidR="0085236B" w:rsidRDefault="0085236B" w:rsidP="0085236B">
          <w:pPr>
            <w:pStyle w:val="TOC1"/>
            <w:rPr>
              <w:noProof/>
            </w:rPr>
          </w:pPr>
          <w:hyperlink w:anchor="_Toc243569053" w:history="1">
            <w:r w:rsidRPr="00880D18">
              <w:rPr>
                <w:rStyle w:val="Hyperlink"/>
                <w:noProof/>
              </w:rPr>
              <w:t>Task 2: Strategic Growth and Competitive Positioning</w:t>
            </w:r>
            <w:r>
              <w:rPr>
                <w:noProof/>
                <w:webHidden/>
              </w:rPr>
              <w:tab/>
            </w:r>
            <w:r>
              <w:rPr>
                <w:noProof/>
                <w:webHidden/>
              </w:rPr>
              <w:fldChar w:fldCharType="begin"/>
            </w:r>
            <w:r>
              <w:rPr>
                <w:noProof/>
                <w:webHidden/>
              </w:rPr>
              <w:instrText xml:space="preserve"> PAGEREF _Toc243569053 \h </w:instrText>
            </w:r>
            <w:r>
              <w:rPr>
                <w:noProof/>
                <w:webHidden/>
              </w:rPr>
            </w:r>
            <w:r>
              <w:rPr>
                <w:noProof/>
                <w:webHidden/>
              </w:rPr>
              <w:fldChar w:fldCharType="separate"/>
            </w:r>
            <w:r>
              <w:rPr>
                <w:noProof/>
                <w:webHidden/>
              </w:rPr>
              <w:t>9</w:t>
            </w:r>
            <w:r>
              <w:rPr>
                <w:noProof/>
                <w:webHidden/>
              </w:rPr>
              <w:fldChar w:fldCharType="end"/>
            </w:r>
          </w:hyperlink>
        </w:p>
        <w:p w:rsidR="0085236B" w:rsidRDefault="0085236B">
          <w:pPr>
            <w:pStyle w:val="TOC2"/>
            <w:tabs>
              <w:tab w:val="right" w:leader="dot" w:pos="9350"/>
            </w:tabs>
            <w:rPr>
              <w:noProof/>
            </w:rPr>
          </w:pPr>
          <w:hyperlink w:anchor="_Toc243569054" w:history="1">
            <w:r w:rsidRPr="00880D18">
              <w:rPr>
                <w:rStyle w:val="Hyperlink"/>
                <w:noProof/>
              </w:rPr>
              <w:t>2.1 Strategic Growth Strategy</w:t>
            </w:r>
            <w:r>
              <w:rPr>
                <w:noProof/>
                <w:webHidden/>
              </w:rPr>
              <w:tab/>
            </w:r>
            <w:r>
              <w:rPr>
                <w:noProof/>
                <w:webHidden/>
              </w:rPr>
              <w:fldChar w:fldCharType="begin"/>
            </w:r>
            <w:r>
              <w:rPr>
                <w:noProof/>
                <w:webHidden/>
              </w:rPr>
              <w:instrText xml:space="preserve"> PAGEREF _Toc243569054 \h </w:instrText>
            </w:r>
            <w:r>
              <w:rPr>
                <w:noProof/>
                <w:webHidden/>
              </w:rPr>
            </w:r>
            <w:r>
              <w:rPr>
                <w:noProof/>
                <w:webHidden/>
              </w:rPr>
              <w:fldChar w:fldCharType="separate"/>
            </w:r>
            <w:r>
              <w:rPr>
                <w:noProof/>
                <w:webHidden/>
              </w:rPr>
              <w:t>9</w:t>
            </w:r>
            <w:r>
              <w:rPr>
                <w:noProof/>
                <w:webHidden/>
              </w:rPr>
              <w:fldChar w:fldCharType="end"/>
            </w:r>
          </w:hyperlink>
        </w:p>
        <w:p w:rsidR="0085236B" w:rsidRDefault="0085236B">
          <w:pPr>
            <w:pStyle w:val="TOC3"/>
            <w:tabs>
              <w:tab w:val="right" w:leader="dot" w:pos="9350"/>
            </w:tabs>
            <w:rPr>
              <w:noProof/>
            </w:rPr>
          </w:pPr>
          <w:hyperlink w:anchor="_Toc243569055" w:history="1">
            <w:r w:rsidRPr="00880D18">
              <w:rPr>
                <w:rStyle w:val="Hyperlink"/>
                <w:noProof/>
              </w:rPr>
              <w:t>2.1.1 Applying the Ansoff Matrix</w:t>
            </w:r>
            <w:r>
              <w:rPr>
                <w:noProof/>
                <w:webHidden/>
              </w:rPr>
              <w:tab/>
            </w:r>
            <w:r>
              <w:rPr>
                <w:noProof/>
                <w:webHidden/>
              </w:rPr>
              <w:fldChar w:fldCharType="begin"/>
            </w:r>
            <w:r>
              <w:rPr>
                <w:noProof/>
                <w:webHidden/>
              </w:rPr>
              <w:instrText xml:space="preserve"> PAGEREF _Toc243569055 \h </w:instrText>
            </w:r>
            <w:r>
              <w:rPr>
                <w:noProof/>
                <w:webHidden/>
              </w:rPr>
            </w:r>
            <w:r>
              <w:rPr>
                <w:noProof/>
                <w:webHidden/>
              </w:rPr>
              <w:fldChar w:fldCharType="separate"/>
            </w:r>
            <w:r>
              <w:rPr>
                <w:noProof/>
                <w:webHidden/>
              </w:rPr>
              <w:t>9</w:t>
            </w:r>
            <w:r>
              <w:rPr>
                <w:noProof/>
                <w:webHidden/>
              </w:rPr>
              <w:fldChar w:fldCharType="end"/>
            </w:r>
          </w:hyperlink>
        </w:p>
        <w:p w:rsidR="0085236B" w:rsidRDefault="0085236B">
          <w:pPr>
            <w:pStyle w:val="TOC3"/>
            <w:tabs>
              <w:tab w:val="right" w:leader="dot" w:pos="9350"/>
            </w:tabs>
            <w:rPr>
              <w:noProof/>
            </w:rPr>
          </w:pPr>
          <w:hyperlink w:anchor="_Toc243569056" w:history="1">
            <w:r w:rsidRPr="00880D18">
              <w:rPr>
                <w:rStyle w:val="Hyperlink"/>
                <w:noProof/>
              </w:rPr>
              <w:t>2.1.2 Critical evaluation supported by PLC</w:t>
            </w:r>
            <w:r>
              <w:rPr>
                <w:noProof/>
                <w:webHidden/>
              </w:rPr>
              <w:tab/>
            </w:r>
            <w:r>
              <w:rPr>
                <w:noProof/>
                <w:webHidden/>
              </w:rPr>
              <w:fldChar w:fldCharType="begin"/>
            </w:r>
            <w:r>
              <w:rPr>
                <w:noProof/>
                <w:webHidden/>
              </w:rPr>
              <w:instrText xml:space="preserve"> PAGEREF _Toc243569056 \h </w:instrText>
            </w:r>
            <w:r>
              <w:rPr>
                <w:noProof/>
                <w:webHidden/>
              </w:rPr>
            </w:r>
            <w:r>
              <w:rPr>
                <w:noProof/>
                <w:webHidden/>
              </w:rPr>
              <w:fldChar w:fldCharType="separate"/>
            </w:r>
            <w:r>
              <w:rPr>
                <w:noProof/>
                <w:webHidden/>
              </w:rPr>
              <w:t>9</w:t>
            </w:r>
            <w:r>
              <w:rPr>
                <w:noProof/>
                <w:webHidden/>
              </w:rPr>
              <w:fldChar w:fldCharType="end"/>
            </w:r>
          </w:hyperlink>
        </w:p>
        <w:p w:rsidR="0085236B" w:rsidRDefault="0085236B">
          <w:pPr>
            <w:pStyle w:val="TOC3"/>
            <w:tabs>
              <w:tab w:val="right" w:leader="dot" w:pos="9350"/>
            </w:tabs>
            <w:rPr>
              <w:noProof/>
            </w:rPr>
          </w:pPr>
          <w:hyperlink w:anchor="_Toc243569057" w:history="1">
            <w:r w:rsidRPr="00880D18">
              <w:rPr>
                <w:rStyle w:val="Hyperlink"/>
                <w:noProof/>
              </w:rPr>
              <w:t>2.1.3 Business unit or portfolio level analysis</w:t>
            </w:r>
            <w:r>
              <w:rPr>
                <w:noProof/>
                <w:webHidden/>
              </w:rPr>
              <w:tab/>
            </w:r>
            <w:r>
              <w:rPr>
                <w:noProof/>
                <w:webHidden/>
              </w:rPr>
              <w:fldChar w:fldCharType="begin"/>
            </w:r>
            <w:r>
              <w:rPr>
                <w:noProof/>
                <w:webHidden/>
              </w:rPr>
              <w:instrText xml:space="preserve"> PAGEREF _Toc243569057 \h </w:instrText>
            </w:r>
            <w:r>
              <w:rPr>
                <w:noProof/>
                <w:webHidden/>
              </w:rPr>
            </w:r>
            <w:r>
              <w:rPr>
                <w:noProof/>
                <w:webHidden/>
              </w:rPr>
              <w:fldChar w:fldCharType="separate"/>
            </w:r>
            <w:r>
              <w:rPr>
                <w:noProof/>
                <w:webHidden/>
              </w:rPr>
              <w:t>11</w:t>
            </w:r>
            <w:r>
              <w:rPr>
                <w:noProof/>
                <w:webHidden/>
              </w:rPr>
              <w:fldChar w:fldCharType="end"/>
            </w:r>
          </w:hyperlink>
        </w:p>
        <w:p w:rsidR="0085236B" w:rsidRDefault="0085236B">
          <w:pPr>
            <w:pStyle w:val="TOC3"/>
            <w:tabs>
              <w:tab w:val="right" w:leader="dot" w:pos="9350"/>
            </w:tabs>
            <w:rPr>
              <w:noProof/>
            </w:rPr>
          </w:pPr>
          <w:hyperlink w:anchor="_Toc243569058" w:history="1">
            <w:r w:rsidRPr="00880D18">
              <w:rPr>
                <w:rStyle w:val="Hyperlink"/>
                <w:noProof/>
              </w:rPr>
              <w:t>2.1.4 Risk-adjusted Ansoff evaluation</w:t>
            </w:r>
            <w:r>
              <w:rPr>
                <w:noProof/>
                <w:webHidden/>
              </w:rPr>
              <w:tab/>
            </w:r>
            <w:r>
              <w:rPr>
                <w:noProof/>
                <w:webHidden/>
              </w:rPr>
              <w:fldChar w:fldCharType="begin"/>
            </w:r>
            <w:r>
              <w:rPr>
                <w:noProof/>
                <w:webHidden/>
              </w:rPr>
              <w:instrText xml:space="preserve"> PAGEREF _Toc243569058 \h </w:instrText>
            </w:r>
            <w:r>
              <w:rPr>
                <w:noProof/>
                <w:webHidden/>
              </w:rPr>
            </w:r>
            <w:r>
              <w:rPr>
                <w:noProof/>
                <w:webHidden/>
              </w:rPr>
              <w:fldChar w:fldCharType="separate"/>
            </w:r>
            <w:r>
              <w:rPr>
                <w:noProof/>
                <w:webHidden/>
              </w:rPr>
              <w:t>11</w:t>
            </w:r>
            <w:r>
              <w:rPr>
                <w:noProof/>
                <w:webHidden/>
              </w:rPr>
              <w:fldChar w:fldCharType="end"/>
            </w:r>
          </w:hyperlink>
        </w:p>
        <w:p w:rsidR="0085236B" w:rsidRDefault="0085236B">
          <w:pPr>
            <w:pStyle w:val="TOC2"/>
            <w:tabs>
              <w:tab w:val="right" w:leader="dot" w:pos="9350"/>
            </w:tabs>
            <w:rPr>
              <w:noProof/>
            </w:rPr>
          </w:pPr>
          <w:hyperlink w:anchor="_Toc243569059" w:history="1">
            <w:r w:rsidRPr="00880D18">
              <w:rPr>
                <w:rStyle w:val="Hyperlink"/>
                <w:noProof/>
              </w:rPr>
              <w:t>2.2 Competitive Advantage and Positioning</w:t>
            </w:r>
            <w:r>
              <w:rPr>
                <w:noProof/>
                <w:webHidden/>
              </w:rPr>
              <w:tab/>
            </w:r>
            <w:r>
              <w:rPr>
                <w:noProof/>
                <w:webHidden/>
              </w:rPr>
              <w:fldChar w:fldCharType="begin"/>
            </w:r>
            <w:r>
              <w:rPr>
                <w:noProof/>
                <w:webHidden/>
              </w:rPr>
              <w:instrText xml:space="preserve"> PAGEREF _Toc243569059 \h </w:instrText>
            </w:r>
            <w:r>
              <w:rPr>
                <w:noProof/>
                <w:webHidden/>
              </w:rPr>
            </w:r>
            <w:r>
              <w:rPr>
                <w:noProof/>
                <w:webHidden/>
              </w:rPr>
              <w:fldChar w:fldCharType="separate"/>
            </w:r>
            <w:r>
              <w:rPr>
                <w:noProof/>
                <w:webHidden/>
              </w:rPr>
              <w:t>12</w:t>
            </w:r>
            <w:r>
              <w:rPr>
                <w:noProof/>
                <w:webHidden/>
              </w:rPr>
              <w:fldChar w:fldCharType="end"/>
            </w:r>
          </w:hyperlink>
        </w:p>
        <w:p w:rsidR="0085236B" w:rsidRDefault="0085236B">
          <w:pPr>
            <w:pStyle w:val="TOC3"/>
            <w:tabs>
              <w:tab w:val="right" w:leader="dot" w:pos="9350"/>
            </w:tabs>
            <w:rPr>
              <w:noProof/>
            </w:rPr>
          </w:pPr>
          <w:hyperlink w:anchor="_Toc243569060" w:history="1">
            <w:r w:rsidRPr="00880D18">
              <w:rPr>
                <w:rStyle w:val="Hyperlink"/>
                <w:noProof/>
              </w:rPr>
              <w:t>2.2.1 Applying Porter’s Generic strategies</w:t>
            </w:r>
            <w:r>
              <w:rPr>
                <w:noProof/>
                <w:webHidden/>
              </w:rPr>
              <w:tab/>
            </w:r>
            <w:r>
              <w:rPr>
                <w:noProof/>
                <w:webHidden/>
              </w:rPr>
              <w:fldChar w:fldCharType="begin"/>
            </w:r>
            <w:r>
              <w:rPr>
                <w:noProof/>
                <w:webHidden/>
              </w:rPr>
              <w:instrText xml:space="preserve"> PAGEREF _Toc243569060 \h </w:instrText>
            </w:r>
            <w:r>
              <w:rPr>
                <w:noProof/>
                <w:webHidden/>
              </w:rPr>
            </w:r>
            <w:r>
              <w:rPr>
                <w:noProof/>
                <w:webHidden/>
              </w:rPr>
              <w:fldChar w:fldCharType="separate"/>
            </w:r>
            <w:r>
              <w:rPr>
                <w:noProof/>
                <w:webHidden/>
              </w:rPr>
              <w:t>12</w:t>
            </w:r>
            <w:r>
              <w:rPr>
                <w:noProof/>
                <w:webHidden/>
              </w:rPr>
              <w:fldChar w:fldCharType="end"/>
            </w:r>
          </w:hyperlink>
        </w:p>
        <w:p w:rsidR="0085236B" w:rsidRDefault="0085236B">
          <w:pPr>
            <w:pStyle w:val="TOC3"/>
            <w:tabs>
              <w:tab w:val="right" w:leader="dot" w:pos="9350"/>
            </w:tabs>
            <w:rPr>
              <w:noProof/>
            </w:rPr>
          </w:pPr>
          <w:hyperlink w:anchor="_Toc243569061" w:history="1">
            <w:r w:rsidRPr="00880D18">
              <w:rPr>
                <w:rStyle w:val="Hyperlink"/>
                <w:noProof/>
              </w:rPr>
              <w:t>2.2.2 Strategic competitor matrix</w:t>
            </w:r>
            <w:r>
              <w:rPr>
                <w:noProof/>
                <w:webHidden/>
              </w:rPr>
              <w:tab/>
            </w:r>
            <w:r>
              <w:rPr>
                <w:noProof/>
                <w:webHidden/>
              </w:rPr>
              <w:fldChar w:fldCharType="begin"/>
            </w:r>
            <w:r>
              <w:rPr>
                <w:noProof/>
                <w:webHidden/>
              </w:rPr>
              <w:instrText xml:space="preserve"> PAGEREF _Toc243569061 \h </w:instrText>
            </w:r>
            <w:r>
              <w:rPr>
                <w:noProof/>
                <w:webHidden/>
              </w:rPr>
            </w:r>
            <w:r>
              <w:rPr>
                <w:noProof/>
                <w:webHidden/>
              </w:rPr>
              <w:fldChar w:fldCharType="separate"/>
            </w:r>
            <w:r>
              <w:rPr>
                <w:noProof/>
                <w:webHidden/>
              </w:rPr>
              <w:t>12</w:t>
            </w:r>
            <w:r>
              <w:rPr>
                <w:noProof/>
                <w:webHidden/>
              </w:rPr>
              <w:fldChar w:fldCharType="end"/>
            </w:r>
          </w:hyperlink>
        </w:p>
        <w:p w:rsidR="0085236B" w:rsidRDefault="0085236B">
          <w:pPr>
            <w:pStyle w:val="TOC2"/>
            <w:tabs>
              <w:tab w:val="right" w:leader="dot" w:pos="9350"/>
            </w:tabs>
            <w:rPr>
              <w:noProof/>
            </w:rPr>
          </w:pPr>
          <w:hyperlink w:anchor="_Toc243569062" w:history="1">
            <w:r w:rsidRPr="00880D18">
              <w:rPr>
                <w:rStyle w:val="Hyperlink"/>
                <w:noProof/>
              </w:rPr>
              <w:t>2.3 Brief Strategic Synthesis</w:t>
            </w:r>
            <w:r>
              <w:rPr>
                <w:noProof/>
                <w:webHidden/>
              </w:rPr>
              <w:tab/>
            </w:r>
            <w:r>
              <w:rPr>
                <w:noProof/>
                <w:webHidden/>
              </w:rPr>
              <w:fldChar w:fldCharType="begin"/>
            </w:r>
            <w:r>
              <w:rPr>
                <w:noProof/>
                <w:webHidden/>
              </w:rPr>
              <w:instrText xml:space="preserve"> PAGEREF _Toc243569062 \h </w:instrText>
            </w:r>
            <w:r>
              <w:rPr>
                <w:noProof/>
                <w:webHidden/>
              </w:rPr>
            </w:r>
            <w:r>
              <w:rPr>
                <w:noProof/>
                <w:webHidden/>
              </w:rPr>
              <w:fldChar w:fldCharType="separate"/>
            </w:r>
            <w:r>
              <w:rPr>
                <w:noProof/>
                <w:webHidden/>
              </w:rPr>
              <w:t>14</w:t>
            </w:r>
            <w:r>
              <w:rPr>
                <w:noProof/>
                <w:webHidden/>
              </w:rPr>
              <w:fldChar w:fldCharType="end"/>
            </w:r>
          </w:hyperlink>
        </w:p>
        <w:p w:rsidR="0085236B" w:rsidRDefault="0085236B" w:rsidP="0085236B">
          <w:pPr>
            <w:pStyle w:val="TOC1"/>
            <w:rPr>
              <w:noProof/>
            </w:rPr>
          </w:pPr>
          <w:hyperlink w:anchor="_Toc243569063" w:history="1">
            <w:r w:rsidRPr="00880D18">
              <w:rPr>
                <w:rStyle w:val="Hyperlink"/>
                <w:noProof/>
              </w:rPr>
              <w:t>Task 3: Managerial and Professional Reflection</w:t>
            </w:r>
            <w:r>
              <w:rPr>
                <w:noProof/>
                <w:webHidden/>
              </w:rPr>
              <w:tab/>
            </w:r>
            <w:r>
              <w:rPr>
                <w:noProof/>
                <w:webHidden/>
              </w:rPr>
              <w:fldChar w:fldCharType="begin"/>
            </w:r>
            <w:r>
              <w:rPr>
                <w:noProof/>
                <w:webHidden/>
              </w:rPr>
              <w:instrText xml:space="preserve"> PAGEREF _Toc243569063 \h </w:instrText>
            </w:r>
            <w:r>
              <w:rPr>
                <w:noProof/>
                <w:webHidden/>
              </w:rPr>
            </w:r>
            <w:r>
              <w:rPr>
                <w:noProof/>
                <w:webHidden/>
              </w:rPr>
              <w:fldChar w:fldCharType="separate"/>
            </w:r>
            <w:r>
              <w:rPr>
                <w:noProof/>
                <w:webHidden/>
              </w:rPr>
              <w:t>15</w:t>
            </w:r>
            <w:r>
              <w:rPr>
                <w:noProof/>
                <w:webHidden/>
              </w:rPr>
              <w:fldChar w:fldCharType="end"/>
            </w:r>
          </w:hyperlink>
        </w:p>
        <w:p w:rsidR="0085236B" w:rsidRDefault="0085236B">
          <w:pPr>
            <w:pStyle w:val="TOC2"/>
            <w:tabs>
              <w:tab w:val="right" w:leader="dot" w:pos="9350"/>
            </w:tabs>
            <w:rPr>
              <w:noProof/>
            </w:rPr>
          </w:pPr>
          <w:hyperlink w:anchor="_Toc243569064" w:history="1">
            <w:r w:rsidRPr="00880D18">
              <w:rPr>
                <w:rStyle w:val="Hyperlink"/>
                <w:noProof/>
              </w:rPr>
              <w:t>3.1 Rationale for Company Selection</w:t>
            </w:r>
            <w:r>
              <w:rPr>
                <w:noProof/>
                <w:webHidden/>
              </w:rPr>
              <w:tab/>
            </w:r>
            <w:r>
              <w:rPr>
                <w:noProof/>
                <w:webHidden/>
              </w:rPr>
              <w:fldChar w:fldCharType="begin"/>
            </w:r>
            <w:r>
              <w:rPr>
                <w:noProof/>
                <w:webHidden/>
              </w:rPr>
              <w:instrText xml:space="preserve"> PAGEREF _Toc243569064 \h </w:instrText>
            </w:r>
            <w:r>
              <w:rPr>
                <w:noProof/>
                <w:webHidden/>
              </w:rPr>
            </w:r>
            <w:r>
              <w:rPr>
                <w:noProof/>
                <w:webHidden/>
              </w:rPr>
              <w:fldChar w:fldCharType="separate"/>
            </w:r>
            <w:r>
              <w:rPr>
                <w:noProof/>
                <w:webHidden/>
              </w:rPr>
              <w:t>15</w:t>
            </w:r>
            <w:r>
              <w:rPr>
                <w:noProof/>
                <w:webHidden/>
              </w:rPr>
              <w:fldChar w:fldCharType="end"/>
            </w:r>
          </w:hyperlink>
        </w:p>
        <w:p w:rsidR="0085236B" w:rsidRDefault="0085236B">
          <w:pPr>
            <w:pStyle w:val="TOC2"/>
            <w:tabs>
              <w:tab w:val="right" w:leader="dot" w:pos="9350"/>
            </w:tabs>
            <w:rPr>
              <w:noProof/>
            </w:rPr>
          </w:pPr>
          <w:hyperlink w:anchor="_Toc243569065" w:history="1">
            <w:r w:rsidRPr="00880D18">
              <w:rPr>
                <w:rStyle w:val="Hyperlink"/>
                <w:noProof/>
              </w:rPr>
              <w:t>3.2 Reflection on Environmental Analysis Decision</w:t>
            </w:r>
            <w:r>
              <w:rPr>
                <w:noProof/>
                <w:webHidden/>
              </w:rPr>
              <w:tab/>
            </w:r>
            <w:r>
              <w:rPr>
                <w:noProof/>
                <w:webHidden/>
              </w:rPr>
              <w:fldChar w:fldCharType="begin"/>
            </w:r>
            <w:r>
              <w:rPr>
                <w:noProof/>
                <w:webHidden/>
              </w:rPr>
              <w:instrText xml:space="preserve"> PAGEREF _Toc243569065 \h </w:instrText>
            </w:r>
            <w:r>
              <w:rPr>
                <w:noProof/>
                <w:webHidden/>
              </w:rPr>
            </w:r>
            <w:r>
              <w:rPr>
                <w:noProof/>
                <w:webHidden/>
              </w:rPr>
              <w:fldChar w:fldCharType="separate"/>
            </w:r>
            <w:r>
              <w:rPr>
                <w:noProof/>
                <w:webHidden/>
              </w:rPr>
              <w:t>15</w:t>
            </w:r>
            <w:r>
              <w:rPr>
                <w:noProof/>
                <w:webHidden/>
              </w:rPr>
              <w:fldChar w:fldCharType="end"/>
            </w:r>
          </w:hyperlink>
        </w:p>
        <w:p w:rsidR="0085236B" w:rsidRDefault="0085236B">
          <w:pPr>
            <w:pStyle w:val="TOC2"/>
            <w:tabs>
              <w:tab w:val="right" w:leader="dot" w:pos="9350"/>
            </w:tabs>
            <w:rPr>
              <w:noProof/>
            </w:rPr>
          </w:pPr>
          <w:hyperlink w:anchor="_Toc243569066" w:history="1">
            <w:r w:rsidRPr="00880D18">
              <w:rPr>
                <w:rStyle w:val="Hyperlink"/>
                <w:noProof/>
              </w:rPr>
              <w:t>3.3 Reflection on Strategic Growth Decisions</w:t>
            </w:r>
            <w:r>
              <w:rPr>
                <w:noProof/>
                <w:webHidden/>
              </w:rPr>
              <w:tab/>
            </w:r>
            <w:r>
              <w:rPr>
                <w:noProof/>
                <w:webHidden/>
              </w:rPr>
              <w:fldChar w:fldCharType="begin"/>
            </w:r>
            <w:r>
              <w:rPr>
                <w:noProof/>
                <w:webHidden/>
              </w:rPr>
              <w:instrText xml:space="preserve"> PAGEREF _Toc243569066 \h </w:instrText>
            </w:r>
            <w:r>
              <w:rPr>
                <w:noProof/>
                <w:webHidden/>
              </w:rPr>
            </w:r>
            <w:r>
              <w:rPr>
                <w:noProof/>
                <w:webHidden/>
              </w:rPr>
              <w:fldChar w:fldCharType="separate"/>
            </w:r>
            <w:r>
              <w:rPr>
                <w:noProof/>
                <w:webHidden/>
              </w:rPr>
              <w:t>15</w:t>
            </w:r>
            <w:r>
              <w:rPr>
                <w:noProof/>
                <w:webHidden/>
              </w:rPr>
              <w:fldChar w:fldCharType="end"/>
            </w:r>
          </w:hyperlink>
        </w:p>
        <w:p w:rsidR="0085236B" w:rsidRDefault="0085236B">
          <w:pPr>
            <w:pStyle w:val="TOC2"/>
            <w:tabs>
              <w:tab w:val="right" w:leader="dot" w:pos="9350"/>
            </w:tabs>
            <w:rPr>
              <w:noProof/>
            </w:rPr>
          </w:pPr>
          <w:hyperlink w:anchor="_Toc243569067" w:history="1">
            <w:r w:rsidRPr="00880D18">
              <w:rPr>
                <w:rStyle w:val="Hyperlink"/>
                <w:noProof/>
              </w:rPr>
              <w:t>3.4 Limitations and Gaps in the Analysis</w:t>
            </w:r>
            <w:r>
              <w:rPr>
                <w:noProof/>
                <w:webHidden/>
              </w:rPr>
              <w:tab/>
            </w:r>
            <w:r>
              <w:rPr>
                <w:noProof/>
                <w:webHidden/>
              </w:rPr>
              <w:fldChar w:fldCharType="begin"/>
            </w:r>
            <w:r>
              <w:rPr>
                <w:noProof/>
                <w:webHidden/>
              </w:rPr>
              <w:instrText xml:space="preserve"> PAGEREF _Toc243569067 \h </w:instrText>
            </w:r>
            <w:r>
              <w:rPr>
                <w:noProof/>
                <w:webHidden/>
              </w:rPr>
            </w:r>
            <w:r>
              <w:rPr>
                <w:noProof/>
                <w:webHidden/>
              </w:rPr>
              <w:fldChar w:fldCharType="separate"/>
            </w:r>
            <w:r>
              <w:rPr>
                <w:noProof/>
                <w:webHidden/>
              </w:rPr>
              <w:t>16</w:t>
            </w:r>
            <w:r>
              <w:rPr>
                <w:noProof/>
                <w:webHidden/>
              </w:rPr>
              <w:fldChar w:fldCharType="end"/>
            </w:r>
          </w:hyperlink>
        </w:p>
        <w:p w:rsidR="0085236B" w:rsidRDefault="0085236B">
          <w:pPr>
            <w:pStyle w:val="TOC2"/>
            <w:tabs>
              <w:tab w:val="right" w:leader="dot" w:pos="9350"/>
            </w:tabs>
            <w:rPr>
              <w:noProof/>
            </w:rPr>
          </w:pPr>
          <w:hyperlink w:anchor="_Toc243569068" w:history="1">
            <w:r w:rsidRPr="00880D18">
              <w:rPr>
                <w:rStyle w:val="Hyperlink"/>
                <w:noProof/>
              </w:rPr>
              <w:t>3.5 Information Required Before Final Recommendation</w:t>
            </w:r>
            <w:r>
              <w:rPr>
                <w:noProof/>
                <w:webHidden/>
              </w:rPr>
              <w:tab/>
            </w:r>
            <w:r>
              <w:rPr>
                <w:noProof/>
                <w:webHidden/>
              </w:rPr>
              <w:fldChar w:fldCharType="begin"/>
            </w:r>
            <w:r>
              <w:rPr>
                <w:noProof/>
                <w:webHidden/>
              </w:rPr>
              <w:instrText xml:space="preserve"> PAGEREF _Toc243569068 \h </w:instrText>
            </w:r>
            <w:r>
              <w:rPr>
                <w:noProof/>
                <w:webHidden/>
              </w:rPr>
            </w:r>
            <w:r>
              <w:rPr>
                <w:noProof/>
                <w:webHidden/>
              </w:rPr>
              <w:fldChar w:fldCharType="separate"/>
            </w:r>
            <w:r>
              <w:rPr>
                <w:noProof/>
                <w:webHidden/>
              </w:rPr>
              <w:t>16</w:t>
            </w:r>
            <w:r>
              <w:rPr>
                <w:noProof/>
                <w:webHidden/>
              </w:rPr>
              <w:fldChar w:fldCharType="end"/>
            </w:r>
          </w:hyperlink>
        </w:p>
        <w:p w:rsidR="0085236B" w:rsidRDefault="0085236B">
          <w:pPr>
            <w:pStyle w:val="TOC2"/>
            <w:tabs>
              <w:tab w:val="right" w:leader="dot" w:pos="9350"/>
            </w:tabs>
            <w:rPr>
              <w:noProof/>
            </w:rPr>
          </w:pPr>
          <w:hyperlink w:anchor="_Toc243569069" w:history="1">
            <w:r w:rsidRPr="00880D18">
              <w:rPr>
                <w:rStyle w:val="Hyperlink"/>
                <w:noProof/>
              </w:rPr>
              <w:t>3.6 Professional Learning and Reflection</w:t>
            </w:r>
            <w:r>
              <w:rPr>
                <w:noProof/>
                <w:webHidden/>
              </w:rPr>
              <w:tab/>
            </w:r>
            <w:r>
              <w:rPr>
                <w:noProof/>
                <w:webHidden/>
              </w:rPr>
              <w:fldChar w:fldCharType="begin"/>
            </w:r>
            <w:r>
              <w:rPr>
                <w:noProof/>
                <w:webHidden/>
              </w:rPr>
              <w:instrText xml:space="preserve"> PAGEREF _Toc243569069 \h </w:instrText>
            </w:r>
            <w:r>
              <w:rPr>
                <w:noProof/>
                <w:webHidden/>
              </w:rPr>
            </w:r>
            <w:r>
              <w:rPr>
                <w:noProof/>
                <w:webHidden/>
              </w:rPr>
              <w:fldChar w:fldCharType="separate"/>
            </w:r>
            <w:r>
              <w:rPr>
                <w:noProof/>
                <w:webHidden/>
              </w:rPr>
              <w:t>16</w:t>
            </w:r>
            <w:r>
              <w:rPr>
                <w:noProof/>
                <w:webHidden/>
              </w:rPr>
              <w:fldChar w:fldCharType="end"/>
            </w:r>
          </w:hyperlink>
        </w:p>
        <w:p w:rsidR="0085236B" w:rsidRDefault="0085236B" w:rsidP="0085236B">
          <w:pPr>
            <w:pStyle w:val="TOC1"/>
            <w:rPr>
              <w:noProof/>
            </w:rPr>
          </w:pPr>
          <w:hyperlink w:anchor="_Toc243569070" w:history="1">
            <w:r w:rsidRPr="00880D18">
              <w:rPr>
                <w:rStyle w:val="Hyperlink"/>
                <w:noProof/>
              </w:rPr>
              <w:t>Reference list</w:t>
            </w:r>
            <w:r>
              <w:rPr>
                <w:noProof/>
                <w:webHidden/>
              </w:rPr>
              <w:tab/>
            </w:r>
            <w:r>
              <w:rPr>
                <w:noProof/>
                <w:webHidden/>
              </w:rPr>
              <w:fldChar w:fldCharType="begin"/>
            </w:r>
            <w:r>
              <w:rPr>
                <w:noProof/>
                <w:webHidden/>
              </w:rPr>
              <w:instrText xml:space="preserve"> PAGEREF _Toc243569070 \h </w:instrText>
            </w:r>
            <w:r>
              <w:rPr>
                <w:noProof/>
                <w:webHidden/>
              </w:rPr>
            </w:r>
            <w:r>
              <w:rPr>
                <w:noProof/>
                <w:webHidden/>
              </w:rPr>
              <w:fldChar w:fldCharType="separate"/>
            </w:r>
            <w:r>
              <w:rPr>
                <w:noProof/>
                <w:webHidden/>
              </w:rPr>
              <w:t>17</w:t>
            </w:r>
            <w:r>
              <w:rPr>
                <w:noProof/>
                <w:webHidden/>
              </w:rPr>
              <w:fldChar w:fldCharType="end"/>
            </w:r>
          </w:hyperlink>
        </w:p>
        <w:p w:rsidR="0063708E" w:rsidRPr="0085236B" w:rsidRDefault="00B649F4" w:rsidP="0085236B">
          <w:pPr>
            <w:tabs>
              <w:tab w:val="right" w:pos="9350"/>
            </w:tabs>
            <w:spacing w:after="100"/>
          </w:pPr>
          <w:r>
            <w:fldChar w:fldCharType="end"/>
          </w:r>
        </w:p>
      </w:sdtContent>
    </w:sdt>
    <w:p w:rsidR="0063708E" w:rsidRDefault="00B649F4">
      <w:pPr>
        <w:pStyle w:val="Heading1"/>
      </w:pPr>
      <w:bookmarkStart w:id="1" w:name="_ydhv8npfqqr1" w:colFirst="0" w:colLast="0"/>
      <w:bookmarkStart w:id="2" w:name="_Toc243569048"/>
      <w:bookmarkEnd w:id="1"/>
      <w:r>
        <w:lastRenderedPageBreak/>
        <w:t>Task 1: Marketing Environment Analysis</w:t>
      </w:r>
      <w:bookmarkEnd w:id="2"/>
      <w:r>
        <w:t xml:space="preserve"> </w:t>
      </w:r>
    </w:p>
    <w:p w:rsidR="0063708E" w:rsidRDefault="00B649F4">
      <w:pPr>
        <w:pStyle w:val="Heading2"/>
      </w:pPr>
      <w:bookmarkStart w:id="3" w:name="_Toc243569049"/>
      <w:r>
        <w:t>1.1 Company overview</w:t>
      </w:r>
      <w:bookmarkEnd w:id="3"/>
      <w:r>
        <w:t xml:space="preserve"> </w:t>
      </w:r>
    </w:p>
    <w:p w:rsidR="0063708E" w:rsidRDefault="00B649F4">
      <w:pPr>
        <w:spacing w:after="0"/>
        <w:rPr>
          <w:color w:val="000000"/>
        </w:rPr>
      </w:pPr>
      <w:r>
        <w:rPr>
          <w:color w:val="000000"/>
        </w:rPr>
        <w:t xml:space="preserve">Tata Steel is </w:t>
      </w:r>
      <w:proofErr w:type="spellStart"/>
      <w:r>
        <w:rPr>
          <w:color w:val="000000"/>
        </w:rPr>
        <w:t>recognised</w:t>
      </w:r>
      <w:proofErr w:type="spellEnd"/>
      <w:r>
        <w:rPr>
          <w:color w:val="000000"/>
        </w:rPr>
        <w:t xml:space="preserve"> as one of the highest-valued</w:t>
      </w:r>
      <w:r>
        <w:rPr>
          <w:color w:val="000000"/>
        </w:rPr>
        <w:t xml:space="preserve"> companies in the global metal and mining sector, with consolidated revenue exceeding ₹2,32,140 </w:t>
      </w:r>
      <w:proofErr w:type="spellStart"/>
      <w:r>
        <w:rPr>
          <w:color w:val="000000"/>
        </w:rPr>
        <w:t>crore</w:t>
      </w:r>
      <w:proofErr w:type="spellEnd"/>
      <w:r>
        <w:rPr>
          <w:color w:val="000000"/>
        </w:rPr>
        <w:t xml:space="preserve"> and 6% </w:t>
      </w:r>
      <w:proofErr w:type="spellStart"/>
      <w:r>
        <w:rPr>
          <w:color w:val="000000"/>
        </w:rPr>
        <w:t>YoY</w:t>
      </w:r>
      <w:proofErr w:type="spellEnd"/>
      <w:r>
        <w:rPr>
          <w:color w:val="000000"/>
        </w:rPr>
        <w:t xml:space="preserve"> growth (Tata Steel, 2026). However, external actors, including environmental, political, and legal factors, are putting serious pressure on Tat</w:t>
      </w:r>
      <w:r>
        <w:rPr>
          <w:color w:val="000000"/>
        </w:rPr>
        <w:t xml:space="preserve">a Steel to transition to low-carbon products to capture market opportunities in green steel. </w:t>
      </w:r>
    </w:p>
    <w:p w:rsidR="0063708E" w:rsidRDefault="00B649F4">
      <w:pPr>
        <w:spacing w:after="0"/>
        <w:jc w:val="center"/>
        <w:rPr>
          <w:color w:val="000000"/>
        </w:rPr>
      </w:pPr>
      <w:r>
        <w:rPr>
          <w:noProof/>
          <w:color w:val="000000"/>
        </w:rPr>
        <w:drawing>
          <wp:inline distT="114300" distB="114300" distL="114300" distR="114300">
            <wp:extent cx="4876800" cy="36004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6800" cy="3600450"/>
                    </a:xfrm>
                    <a:prstGeom prst="rect">
                      <a:avLst/>
                    </a:prstGeom>
                    <a:ln w="12700">
                      <a:solidFill>
                        <a:srgbClr val="000000"/>
                      </a:solidFill>
                      <a:prstDash val="solid"/>
                    </a:ln>
                  </pic:spPr>
                </pic:pic>
              </a:graphicData>
            </a:graphic>
          </wp:inline>
        </w:drawing>
      </w:r>
    </w:p>
    <w:p w:rsidR="0063708E" w:rsidRDefault="00B649F4">
      <w:pPr>
        <w:spacing w:after="0"/>
        <w:jc w:val="center"/>
        <w:rPr>
          <w:b/>
          <w:bCs/>
          <w:color w:val="000000"/>
        </w:rPr>
      </w:pPr>
      <w:r>
        <w:rPr>
          <w:b/>
          <w:bCs/>
          <w:color w:val="000000"/>
        </w:rPr>
        <w:t>Figure 1: Economic output of Tata Steel in FY26</w:t>
      </w:r>
    </w:p>
    <w:p w:rsidR="0063708E" w:rsidRDefault="00B649F4">
      <w:pPr>
        <w:spacing w:after="0"/>
        <w:jc w:val="center"/>
        <w:rPr>
          <w:color w:val="000000"/>
        </w:rPr>
      </w:pPr>
      <w:r>
        <w:rPr>
          <w:color w:val="000000"/>
        </w:rPr>
        <w:t>(Source: Tata Steel, 2026)</w:t>
      </w:r>
    </w:p>
    <w:p w:rsidR="0063708E" w:rsidRDefault="00B649F4">
      <w:pPr>
        <w:pStyle w:val="Heading2"/>
      </w:pPr>
      <w:bookmarkStart w:id="4" w:name="_Toc243569050"/>
      <w:r>
        <w:t>1.2 Analysis of market environment actors</w:t>
      </w:r>
      <w:bookmarkEnd w:id="4"/>
    </w:p>
    <w:p w:rsidR="0063708E" w:rsidRDefault="00B649F4">
      <w:pPr>
        <w:pStyle w:val="Heading3"/>
      </w:pPr>
      <w:bookmarkStart w:id="5" w:name="_Toc243569051"/>
      <w:r>
        <w:t>1.2.1 Political, legal, and environmental (PEL) actors influencing Tata Steel’s transition towards lower-carbon products</w:t>
      </w:r>
      <w:bookmarkEnd w:id="5"/>
    </w:p>
    <w:p w:rsidR="0063708E" w:rsidRDefault="00B649F4">
      <w:pPr>
        <w:spacing w:after="0"/>
        <w:rPr>
          <w:b/>
          <w:bCs/>
          <w:i/>
          <w:iCs/>
          <w:color w:val="000000"/>
          <w:u w:val="single"/>
        </w:rPr>
      </w:pPr>
      <w:r>
        <w:rPr>
          <w:b/>
          <w:bCs/>
          <w:i/>
          <w:iCs/>
          <w:color w:val="000000"/>
          <w:u w:val="single"/>
        </w:rPr>
        <w:t>Political environmental actor</w:t>
      </w:r>
    </w:p>
    <w:p w:rsidR="0063708E" w:rsidRDefault="00B649F4">
      <w:pPr>
        <w:spacing w:after="0"/>
        <w:rPr>
          <w:color w:val="000000"/>
        </w:rPr>
      </w:pPr>
      <w:r>
        <w:rPr>
          <w:color w:val="000000"/>
        </w:rPr>
        <w:t xml:space="preserve">India’s Ministry of Steel launched the “Green Steel Initiative” and classified green steel as finished steel that generates less than 2.2 </w:t>
      </w:r>
      <w:proofErr w:type="spellStart"/>
      <w:r>
        <w:rPr>
          <w:color w:val="000000"/>
        </w:rPr>
        <w:t>tonnes</w:t>
      </w:r>
      <w:proofErr w:type="spellEnd"/>
      <w:r>
        <w:rPr>
          <w:color w:val="000000"/>
        </w:rPr>
        <w:t xml:space="preserve"> of </w:t>
      </w:r>
      <w:proofErr w:type="spellStart"/>
      <w:r>
        <w:rPr>
          <w:color w:val="000000"/>
        </w:rPr>
        <w:t>CO₂e</w:t>
      </w:r>
      <w:proofErr w:type="spellEnd"/>
      <w:r>
        <w:rPr>
          <w:color w:val="000000"/>
        </w:rPr>
        <w:t xml:space="preserve"> per </w:t>
      </w:r>
      <w:proofErr w:type="spellStart"/>
      <w:r>
        <w:rPr>
          <w:color w:val="000000"/>
        </w:rPr>
        <w:t>tonne</w:t>
      </w:r>
      <w:proofErr w:type="spellEnd"/>
      <w:r>
        <w:rPr>
          <w:color w:val="000000"/>
        </w:rPr>
        <w:t xml:space="preserve"> of finished steel. The Ministry of Steel launched a star rating system in the green steel tax</w:t>
      </w:r>
      <w:r>
        <w:rPr>
          <w:color w:val="000000"/>
        </w:rPr>
        <w:t xml:space="preserve">onomy, reserving 5-star for </w:t>
      </w:r>
      <w:r>
        <w:rPr>
          <w:color w:val="000000"/>
        </w:rPr>
        <w:lastRenderedPageBreak/>
        <w:t xml:space="preserve">&lt;1.6 </w:t>
      </w:r>
      <w:proofErr w:type="spellStart"/>
      <w:r>
        <w:rPr>
          <w:color w:val="000000"/>
        </w:rPr>
        <w:t>t-CO₂e</w:t>
      </w:r>
      <w:proofErr w:type="spellEnd"/>
      <w:r>
        <w:rPr>
          <w:color w:val="000000"/>
        </w:rPr>
        <w:t>/</w:t>
      </w:r>
      <w:proofErr w:type="spellStart"/>
      <w:r>
        <w:rPr>
          <w:color w:val="000000"/>
        </w:rPr>
        <w:t>tfs</w:t>
      </w:r>
      <w:proofErr w:type="spellEnd"/>
      <w:r>
        <w:rPr>
          <w:color w:val="000000"/>
        </w:rPr>
        <w:t xml:space="preserve">, 4-star for 1.6 to 2.0 </w:t>
      </w:r>
      <w:proofErr w:type="spellStart"/>
      <w:r>
        <w:rPr>
          <w:color w:val="000000"/>
        </w:rPr>
        <w:t>t-CO₂e</w:t>
      </w:r>
      <w:proofErr w:type="spellEnd"/>
      <w:r>
        <w:rPr>
          <w:color w:val="000000"/>
        </w:rPr>
        <w:t>/</w:t>
      </w:r>
      <w:proofErr w:type="spellStart"/>
      <w:r>
        <w:rPr>
          <w:color w:val="000000"/>
        </w:rPr>
        <w:t>tfs</w:t>
      </w:r>
      <w:proofErr w:type="spellEnd"/>
      <w:r>
        <w:rPr>
          <w:color w:val="000000"/>
        </w:rPr>
        <w:t xml:space="preserve">, and 3-star for 2.0 to 2.2 </w:t>
      </w:r>
      <w:proofErr w:type="spellStart"/>
      <w:r>
        <w:rPr>
          <w:color w:val="000000"/>
        </w:rPr>
        <w:t>t-CO₂e</w:t>
      </w:r>
      <w:proofErr w:type="spellEnd"/>
      <w:r>
        <w:rPr>
          <w:color w:val="000000"/>
        </w:rPr>
        <w:t>/</w:t>
      </w:r>
      <w:proofErr w:type="spellStart"/>
      <w:r>
        <w:rPr>
          <w:color w:val="000000"/>
        </w:rPr>
        <w:t>tfs</w:t>
      </w:r>
      <w:proofErr w:type="spellEnd"/>
      <w:r>
        <w:rPr>
          <w:color w:val="000000"/>
        </w:rPr>
        <w:t xml:space="preserve">. This Green Steel initiative created a political catalyst for Tata Steel, which reported 2.22 </w:t>
      </w:r>
      <w:proofErr w:type="spellStart"/>
      <w:r>
        <w:rPr>
          <w:color w:val="000000"/>
        </w:rPr>
        <w:t>t-CO₂e</w:t>
      </w:r>
      <w:proofErr w:type="spellEnd"/>
      <w:r>
        <w:rPr>
          <w:color w:val="000000"/>
        </w:rPr>
        <w:t>/</w:t>
      </w:r>
      <w:proofErr w:type="spellStart"/>
      <w:r>
        <w:rPr>
          <w:color w:val="000000"/>
        </w:rPr>
        <w:t>tcs</w:t>
      </w:r>
      <w:proofErr w:type="spellEnd"/>
      <w:r>
        <w:rPr>
          <w:color w:val="000000"/>
        </w:rPr>
        <w:t xml:space="preserve"> in GHG emission intensity, to trans</w:t>
      </w:r>
      <w:r>
        <w:rPr>
          <w:color w:val="000000"/>
        </w:rPr>
        <w:t xml:space="preserve">ition toward low-carbon initiatives. </w:t>
      </w:r>
    </w:p>
    <w:p w:rsidR="0063708E" w:rsidRDefault="00B649F4">
      <w:pPr>
        <w:spacing w:after="0"/>
        <w:jc w:val="center"/>
        <w:rPr>
          <w:color w:val="000000"/>
        </w:rPr>
      </w:pPr>
      <w:r>
        <w:rPr>
          <w:noProof/>
          <w:color w:val="000000"/>
        </w:rPr>
        <w:drawing>
          <wp:inline distT="114300" distB="114300" distL="114300" distR="114300">
            <wp:extent cx="4328931" cy="2650602"/>
            <wp:effectExtent l="19050" t="19050" r="14605" b="1651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26592" cy="2649170"/>
                    </a:xfrm>
                    <a:prstGeom prst="rect">
                      <a:avLst/>
                    </a:prstGeom>
                    <a:ln w="12700">
                      <a:solidFill>
                        <a:srgbClr val="000000"/>
                      </a:solidFill>
                      <a:prstDash val="solid"/>
                    </a:ln>
                  </pic:spPr>
                </pic:pic>
              </a:graphicData>
            </a:graphic>
          </wp:inline>
        </w:drawing>
      </w:r>
    </w:p>
    <w:p w:rsidR="0063708E" w:rsidRDefault="00B649F4">
      <w:pPr>
        <w:spacing w:after="0"/>
        <w:jc w:val="center"/>
        <w:rPr>
          <w:b/>
          <w:bCs/>
          <w:color w:val="000000"/>
        </w:rPr>
      </w:pPr>
      <w:r>
        <w:rPr>
          <w:b/>
          <w:bCs/>
          <w:color w:val="000000"/>
        </w:rPr>
        <w:t>Figure 2: CO</w:t>
      </w:r>
      <w:r>
        <w:rPr>
          <w:b/>
          <w:bCs/>
          <w:color w:val="000000"/>
          <w:vertAlign w:val="subscript"/>
        </w:rPr>
        <w:t>2</w:t>
      </w:r>
      <w:r>
        <w:rPr>
          <w:b/>
          <w:bCs/>
          <w:color w:val="000000"/>
        </w:rPr>
        <w:t xml:space="preserve"> emission intensity of Tata Steel in FY26</w:t>
      </w:r>
    </w:p>
    <w:p w:rsidR="0063708E" w:rsidRDefault="00B649F4">
      <w:pPr>
        <w:spacing w:after="0"/>
        <w:jc w:val="center"/>
        <w:rPr>
          <w:color w:val="000000"/>
        </w:rPr>
      </w:pPr>
      <w:r>
        <w:rPr>
          <w:color w:val="000000"/>
        </w:rPr>
        <w:t>(Source: Tata Steel, 2026)</w:t>
      </w:r>
    </w:p>
    <w:p w:rsidR="0063708E" w:rsidRDefault="00B649F4">
      <w:pPr>
        <w:spacing w:after="0"/>
        <w:rPr>
          <w:color w:val="000000"/>
        </w:rPr>
      </w:pPr>
      <w:r>
        <w:rPr>
          <w:color w:val="000000"/>
        </w:rPr>
        <w:t>Internationally, the European Union’s Carbon Border Adjustment Mechanism (CBAM) and the USA’s 25% Section 232 tariff are major politic</w:t>
      </w:r>
      <w:r>
        <w:rPr>
          <w:color w:val="000000"/>
        </w:rPr>
        <w:t>al actors that are motivating Tata Steel to transition toward low-carbon products.  CBAM subjects steel imports to $54 per ton of CO2 in 2030 and $147 per ton of CO2 in 2034, creating a financially non-viable scenario for Tata Steel (Global Efficiency Inte</w:t>
      </w:r>
      <w:r>
        <w:rPr>
          <w:color w:val="000000"/>
        </w:rPr>
        <w:t>lligence, 2026). To overcome political barriers, Tata Steel sought UK government funding of £500 million as part of its estimated £1.25 billion investment in the Port Talbot plant to replace the carbon-intensive blast furnace with an electric arc furnace (</w:t>
      </w:r>
      <w:r>
        <w:rPr>
          <w:color w:val="000000"/>
        </w:rPr>
        <w:t xml:space="preserve">EAF), which is expected to be functional by 2029 (Yahoo Finance, 2026). </w:t>
      </w:r>
    </w:p>
    <w:p w:rsidR="0063708E" w:rsidRDefault="00B649F4">
      <w:pPr>
        <w:spacing w:after="0"/>
        <w:rPr>
          <w:color w:val="000000"/>
        </w:rPr>
      </w:pPr>
      <w:r>
        <w:t>On the other hand</w:t>
      </w:r>
      <w:r>
        <w:rPr>
          <w:color w:val="000000"/>
        </w:rPr>
        <w:t xml:space="preserve">, dependence on government funds reveals a strategic flaw in the </w:t>
      </w:r>
      <w:proofErr w:type="spellStart"/>
      <w:r>
        <w:rPr>
          <w:color w:val="000000"/>
        </w:rPr>
        <w:t>decarbonisation</w:t>
      </w:r>
      <w:proofErr w:type="spellEnd"/>
      <w:r>
        <w:rPr>
          <w:color w:val="000000"/>
        </w:rPr>
        <w:t xml:space="preserve"> strategy, as the advancements will be directly intertwined with the evolution of the </w:t>
      </w:r>
      <w:r>
        <w:rPr>
          <w:color w:val="000000"/>
        </w:rPr>
        <w:t xml:space="preserve">political climate.  In India, Tata Steel made a ₹3,200 </w:t>
      </w:r>
      <w:proofErr w:type="spellStart"/>
      <w:r>
        <w:rPr>
          <w:color w:val="000000"/>
        </w:rPr>
        <w:t>crore</w:t>
      </w:r>
      <w:proofErr w:type="spellEnd"/>
      <w:r>
        <w:rPr>
          <w:color w:val="000000"/>
        </w:rPr>
        <w:t xml:space="preserve"> investment in Ludhiana, Punjab, with a capacity of 0.75 MTPA, employing 50% renewable energy and a Zero Effluent Discharge system, intending to limit the GHG footprint to less than 0.3 tCO</w:t>
      </w:r>
      <w:r>
        <w:rPr>
          <w:color w:val="000000"/>
          <w:vertAlign w:val="subscript"/>
        </w:rPr>
        <w:t>2</w:t>
      </w:r>
      <w:r>
        <w:rPr>
          <w:color w:val="000000"/>
        </w:rPr>
        <w:t>/</w:t>
      </w:r>
      <w:proofErr w:type="spellStart"/>
      <w:r>
        <w:rPr>
          <w:color w:val="000000"/>
        </w:rPr>
        <w:t>tcs</w:t>
      </w:r>
      <w:proofErr w:type="spellEnd"/>
      <w:r>
        <w:rPr>
          <w:color w:val="000000"/>
        </w:rPr>
        <w:t xml:space="preserve"> (</w:t>
      </w:r>
      <w:r>
        <w:rPr>
          <w:color w:val="000000"/>
        </w:rPr>
        <w:t>IBEF, 2026).</w:t>
      </w:r>
    </w:p>
    <w:p w:rsidR="0063708E" w:rsidRDefault="0063708E">
      <w:pPr>
        <w:spacing w:after="0"/>
        <w:rPr>
          <w:color w:val="000000"/>
        </w:rPr>
      </w:pPr>
    </w:p>
    <w:p w:rsidR="0063708E" w:rsidRDefault="00B649F4">
      <w:pPr>
        <w:spacing w:after="0"/>
        <w:jc w:val="center"/>
        <w:rPr>
          <w:color w:val="000000"/>
        </w:rPr>
      </w:pPr>
      <w:r>
        <w:rPr>
          <w:noProof/>
          <w:color w:val="000000"/>
        </w:rPr>
        <w:lastRenderedPageBreak/>
        <w:drawing>
          <wp:inline distT="114300" distB="114300" distL="114300" distR="114300" wp14:anchorId="7AC5A3C0" wp14:editId="0B27F46A">
            <wp:extent cx="5578997" cy="3391382"/>
            <wp:effectExtent l="19050" t="19050" r="22225" b="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581649" cy="3392994"/>
                    </a:xfrm>
                    <a:prstGeom prst="rect">
                      <a:avLst/>
                    </a:prstGeom>
                    <a:ln w="12700">
                      <a:solidFill>
                        <a:srgbClr val="000000"/>
                      </a:solidFill>
                      <a:prstDash val="solid"/>
                    </a:ln>
                  </pic:spPr>
                </pic:pic>
              </a:graphicData>
            </a:graphic>
          </wp:inline>
        </w:drawing>
      </w:r>
    </w:p>
    <w:p w:rsidR="0063708E" w:rsidRDefault="00B649F4">
      <w:pPr>
        <w:spacing w:after="0"/>
        <w:jc w:val="center"/>
        <w:rPr>
          <w:b/>
          <w:bCs/>
          <w:color w:val="000000"/>
        </w:rPr>
      </w:pPr>
      <w:r>
        <w:rPr>
          <w:b/>
          <w:bCs/>
          <w:color w:val="000000"/>
        </w:rPr>
        <w:t>Figure 3: Ludhiana EAF plants expected output efficiency</w:t>
      </w:r>
    </w:p>
    <w:p w:rsidR="0063708E" w:rsidRDefault="00B649F4">
      <w:pPr>
        <w:spacing w:after="0"/>
        <w:jc w:val="center"/>
        <w:rPr>
          <w:color w:val="000000"/>
        </w:rPr>
      </w:pPr>
      <w:r>
        <w:rPr>
          <w:color w:val="000000"/>
        </w:rPr>
        <w:t>(Source: Tata Steel, 2026)</w:t>
      </w:r>
    </w:p>
    <w:p w:rsidR="0063708E" w:rsidRDefault="00B649F4">
      <w:pPr>
        <w:spacing w:after="0"/>
        <w:rPr>
          <w:b/>
          <w:bCs/>
          <w:i/>
          <w:iCs/>
          <w:color w:val="000000"/>
          <w:u w:val="single"/>
        </w:rPr>
      </w:pPr>
      <w:r>
        <w:rPr>
          <w:b/>
          <w:bCs/>
          <w:i/>
          <w:iCs/>
          <w:color w:val="000000"/>
          <w:u w:val="single"/>
        </w:rPr>
        <w:t>Legal environmental actor</w:t>
      </w:r>
    </w:p>
    <w:p w:rsidR="0063708E" w:rsidRDefault="00B649F4">
      <w:pPr>
        <w:spacing w:after="0"/>
      </w:pPr>
      <w:r>
        <w:rPr>
          <w:color w:val="000000"/>
        </w:rPr>
        <w:t>Domestically, as per Securities and Exchange Board of India (SEBI) obligations, top Indian firms must publish a Business Respon</w:t>
      </w:r>
      <w:r>
        <w:rPr>
          <w:color w:val="000000"/>
        </w:rPr>
        <w:t xml:space="preserve">sibility and Sustainability Report (BRSR) annually. In the FY26 BRSR disclosure, Tata Steel reported Scope 1 and 2 emissions of 26,723,790 </w:t>
      </w:r>
      <w:proofErr w:type="spellStart"/>
      <w:r>
        <w:rPr>
          <w:color w:val="000000"/>
        </w:rPr>
        <w:t>tonnes</w:t>
      </w:r>
      <w:proofErr w:type="spellEnd"/>
      <w:r>
        <w:rPr>
          <w:color w:val="000000"/>
        </w:rPr>
        <w:t xml:space="preserve"> of CO</w:t>
      </w:r>
      <w:r>
        <w:rPr>
          <w:color w:val="000000"/>
          <w:vertAlign w:val="subscript"/>
        </w:rPr>
        <w:t>2</w:t>
      </w:r>
      <w:r>
        <w:rPr>
          <w:color w:val="000000"/>
        </w:rPr>
        <w:t xml:space="preserve">e (Scan X News, 2026). As a corrective course of action, Tata Steel recycled approximately 4.6 million </w:t>
      </w:r>
      <w:proofErr w:type="spellStart"/>
      <w:r>
        <w:rPr>
          <w:color w:val="000000"/>
        </w:rPr>
        <w:t>t</w:t>
      </w:r>
      <w:r>
        <w:rPr>
          <w:color w:val="000000"/>
        </w:rPr>
        <w:t>onnes</w:t>
      </w:r>
      <w:proofErr w:type="spellEnd"/>
      <w:r>
        <w:rPr>
          <w:color w:val="000000"/>
        </w:rPr>
        <w:t xml:space="preserve"> of scrap steel. Internationally, the GHG disclosure led to a </w:t>
      </w:r>
      <w:r>
        <w:rPr>
          <w:color w:val="666666"/>
        </w:rPr>
        <w:t>€</w:t>
      </w:r>
      <w:r>
        <w:rPr>
          <w:color w:val="000000"/>
        </w:rPr>
        <w:t>20 m</w:t>
      </w:r>
      <w:r>
        <w:t xml:space="preserve">illion in Dutch subsidiary, TSN, with threats of revoking operational permits in the Netherlands in case of failing to meet </w:t>
      </w:r>
      <w:proofErr w:type="spellStart"/>
      <w:r>
        <w:t>decarbonisation</w:t>
      </w:r>
      <w:proofErr w:type="spellEnd"/>
      <w:r>
        <w:t xml:space="preserve"> targets (</w:t>
      </w:r>
      <w:proofErr w:type="spellStart"/>
      <w:r>
        <w:t>Upadhyay</w:t>
      </w:r>
      <w:proofErr w:type="spellEnd"/>
      <w:r>
        <w:t xml:space="preserve">, 2026). </w:t>
      </w:r>
    </w:p>
    <w:p w:rsidR="0085236B" w:rsidRDefault="00B649F4">
      <w:pPr>
        <w:spacing w:after="0"/>
      </w:pPr>
      <w:r>
        <w:t>Therefore, regula</w:t>
      </w:r>
      <w:r>
        <w:t>tory actors create immediate pressure on Tata Steel to transition toward a low-carbon product portfolio to continue its operation in overseas markets. Threats of revoking operating permits act as regulatory pressure on Tata Steel to concentrate on the circ</w:t>
      </w:r>
      <w:r>
        <w:t xml:space="preserve">ular economy, committing to increase scrap use from 17% to 30% at TSN as part of its </w:t>
      </w:r>
      <w:proofErr w:type="spellStart"/>
      <w:r>
        <w:t>decarbonisation</w:t>
      </w:r>
      <w:proofErr w:type="spellEnd"/>
      <w:r>
        <w:t xml:space="preserve"> strategy (Tata Steel, 2026</w:t>
      </w:r>
      <w:r>
        <w:t xml:space="preserve">). </w:t>
      </w:r>
    </w:p>
    <w:p w:rsidR="0063708E" w:rsidRDefault="0085236B" w:rsidP="0085236B">
      <w:r>
        <w:br w:type="page"/>
      </w:r>
    </w:p>
    <w:p w:rsidR="0063708E" w:rsidRDefault="00B649F4">
      <w:pPr>
        <w:spacing w:after="0"/>
        <w:rPr>
          <w:b/>
          <w:bCs/>
          <w:i/>
          <w:iCs/>
          <w:u w:val="single"/>
        </w:rPr>
      </w:pPr>
      <w:r>
        <w:rPr>
          <w:b/>
          <w:bCs/>
          <w:i/>
          <w:iCs/>
          <w:u w:val="single"/>
        </w:rPr>
        <w:lastRenderedPageBreak/>
        <w:t>Environmental actor</w:t>
      </w:r>
    </w:p>
    <w:p w:rsidR="0063708E" w:rsidRDefault="00B649F4">
      <w:pPr>
        <w:spacing w:after="0"/>
      </w:pPr>
      <w:r>
        <w:t xml:space="preserve">This is one of the most critical and foundational factors that creates immediacy for Tata Steel to undergo green transformation. The Ministry of India’s Iron and Steel Scrap Recycling initiative aims to meet average global standards of 31% scrap </w:t>
      </w:r>
      <w:proofErr w:type="spellStart"/>
      <w:r>
        <w:t>reutilisat</w:t>
      </w:r>
      <w:r>
        <w:t>ion</w:t>
      </w:r>
      <w:proofErr w:type="spellEnd"/>
      <w:r>
        <w:t xml:space="preserve"> by 2031, which serves as another regulatory actor that helped to accelerate scrap </w:t>
      </w:r>
      <w:proofErr w:type="spellStart"/>
      <w:r>
        <w:t>reutilisation</w:t>
      </w:r>
      <w:proofErr w:type="spellEnd"/>
      <w:r>
        <w:t xml:space="preserve"> benchmarks for Tata Steel (Recycling International, 2026). </w:t>
      </w:r>
    </w:p>
    <w:p w:rsidR="0063708E" w:rsidRDefault="00B649F4">
      <w:pPr>
        <w:spacing w:after="0"/>
      </w:pPr>
      <w:r>
        <w:t xml:space="preserve">Scrap </w:t>
      </w:r>
      <w:proofErr w:type="spellStart"/>
      <w:r>
        <w:t>reutilisation</w:t>
      </w:r>
      <w:proofErr w:type="spellEnd"/>
      <w:r>
        <w:t xml:space="preserve">, a highly accessible resource, can accelerate Tata Steel’s </w:t>
      </w:r>
      <w:proofErr w:type="spellStart"/>
      <w:r>
        <w:t>decarbonisation</w:t>
      </w:r>
      <w:proofErr w:type="spellEnd"/>
      <w:r>
        <w:t xml:space="preserve"> r</w:t>
      </w:r>
      <w:r>
        <w:t>ate by 70-75%. However, Tata Steel is facing challenges regarding other critical corrective pathways. For example, the implementation of hydrogen-based Direct Reduced Iron (DRI) technology faces infrastructural hurdles due to high investment costs, as only</w:t>
      </w:r>
      <w:r>
        <w:t xml:space="preserve"> 2.8% of national planned green hydrogen capacity is functional (</w:t>
      </w:r>
      <w:proofErr w:type="spellStart"/>
      <w:r>
        <w:t>Chintan</w:t>
      </w:r>
      <w:proofErr w:type="spellEnd"/>
      <w:r>
        <w:t xml:space="preserve"> Research Foundation, 2026). </w:t>
      </w:r>
    </w:p>
    <w:p w:rsidR="0063708E" w:rsidRDefault="00B649F4">
      <w:pPr>
        <w:spacing w:after="0"/>
        <w:jc w:val="center"/>
      </w:pPr>
      <w:r>
        <w:rPr>
          <w:noProof/>
        </w:rPr>
        <w:drawing>
          <wp:inline distT="114300" distB="114300" distL="114300" distR="114300" wp14:anchorId="6B8E3A9D" wp14:editId="4A6B8FDF">
            <wp:extent cx="5943600" cy="23241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2324100"/>
                    </a:xfrm>
                    <a:prstGeom prst="rect">
                      <a:avLst/>
                    </a:prstGeom>
                    <a:ln w="12700">
                      <a:solidFill>
                        <a:srgbClr val="000000"/>
                      </a:solidFill>
                      <a:prstDash val="solid"/>
                    </a:ln>
                  </pic:spPr>
                </pic:pic>
              </a:graphicData>
            </a:graphic>
          </wp:inline>
        </w:drawing>
      </w:r>
    </w:p>
    <w:p w:rsidR="0063708E" w:rsidRDefault="00B649F4">
      <w:pPr>
        <w:spacing w:after="0"/>
        <w:jc w:val="center"/>
        <w:rPr>
          <w:b/>
          <w:bCs/>
        </w:rPr>
      </w:pPr>
      <w:r>
        <w:rPr>
          <w:b/>
          <w:bCs/>
        </w:rPr>
        <w:t>Figure 4: Present state of lack of functionality of planned production capacity of green hydrogen</w:t>
      </w:r>
    </w:p>
    <w:p w:rsidR="0063708E" w:rsidRDefault="00B649F4">
      <w:pPr>
        <w:spacing w:after="0"/>
        <w:jc w:val="center"/>
      </w:pPr>
      <w:r>
        <w:t xml:space="preserve">(Source: </w:t>
      </w:r>
      <w:proofErr w:type="spellStart"/>
      <w:r>
        <w:t>Chintan</w:t>
      </w:r>
      <w:proofErr w:type="spellEnd"/>
      <w:r>
        <w:t xml:space="preserve"> Research Foundation, 2026)</w:t>
      </w:r>
    </w:p>
    <w:p w:rsidR="0063708E" w:rsidRDefault="00B649F4">
      <w:pPr>
        <w:spacing w:after="0"/>
      </w:pPr>
      <w:r>
        <w:t>Automotive</w:t>
      </w:r>
      <w:r>
        <w:t xml:space="preserve"> consumers, such as Jaguar Land Rover, are demanding a sustainable supply chain to meet their net-zero goals and reduce Scope 3 emissions by 54% from their average vehicle value chain (RMI, 2026). As steel is an integral manufacturing component, upstream s</w:t>
      </w:r>
      <w:r>
        <w:t xml:space="preserve">uppliers like Tata Steel need to accelerate </w:t>
      </w:r>
      <w:proofErr w:type="spellStart"/>
      <w:r>
        <w:t>decarbonisation</w:t>
      </w:r>
      <w:proofErr w:type="spellEnd"/>
      <w:r>
        <w:t xml:space="preserve"> plans to be able to offer certified low-carbon products as soon as possible. Failing to offer certified low-carbon products may lead to weakening competitive positioning and losing premium clients</w:t>
      </w:r>
      <w:r>
        <w:t xml:space="preserve">. </w:t>
      </w:r>
    </w:p>
    <w:p w:rsidR="0063708E" w:rsidRDefault="00B649F4">
      <w:pPr>
        <w:spacing w:after="0"/>
      </w:pPr>
      <w:r>
        <w:t xml:space="preserve">ESG-driven pressure can permeate into macroeconomic factors, and in the global market, industry positions are undoubtedly volatile, especially in the case of firms that are failing to meet </w:t>
      </w:r>
      <w:r>
        <w:lastRenderedPageBreak/>
        <w:t>external environment expectations.  For example, Tata Steel obse</w:t>
      </w:r>
      <w:r>
        <w:t>rved a 20% drop in its stock price, from ₹185 in Q4 FY25 to ₹148 in Q1 FY26 despite satisfactory economic output (Acumen Group, 2026). From an environmental perspective, importing steel components that exceed the GHG emission benchmark can reduce access to</w:t>
      </w:r>
      <w:r>
        <w:t xml:space="preserve"> the EU market due to violations of CSDDD. </w:t>
      </w:r>
    </w:p>
    <w:p w:rsidR="0063708E" w:rsidRDefault="00B649F4">
      <w:pPr>
        <w:pStyle w:val="Heading3"/>
      </w:pPr>
      <w:bookmarkStart w:id="6" w:name="_Toc243569052"/>
      <w:r>
        <w:t>1.2.2 Environmental factors pushing towards transition</w:t>
      </w:r>
      <w:bookmarkEnd w:id="6"/>
    </w:p>
    <w:p w:rsidR="0063708E" w:rsidRDefault="00B649F4">
      <w:pPr>
        <w:spacing w:after="0"/>
      </w:pPr>
      <w:r>
        <w:t>The global conventional steel industry is one of the most energy-intensive industries in the world, accounting for a total of 11% of global CO</w:t>
      </w:r>
      <w:r>
        <w:rPr>
          <w:vertAlign w:val="subscript"/>
        </w:rPr>
        <w:t>2</w:t>
      </w:r>
      <w:r>
        <w:t xml:space="preserve"> emissions </w:t>
      </w:r>
      <w:r>
        <w:t xml:space="preserve">in 2025 (Global Efficiency Intelligence, 2026). Hence, a shift toward </w:t>
      </w:r>
      <w:proofErr w:type="spellStart"/>
      <w:r>
        <w:t>decarbonised</w:t>
      </w:r>
      <w:proofErr w:type="spellEnd"/>
      <w:r>
        <w:t xml:space="preserve"> steel manufacturing with energy-efficient upgrades, such as incorporating EAF and green hydrogen-based DRI, has become a justifiable approach. </w:t>
      </w:r>
    </w:p>
    <w:p w:rsidR="0063708E" w:rsidRDefault="00B649F4">
      <w:pPr>
        <w:numPr>
          <w:ilvl w:val="0"/>
          <w:numId w:val="1"/>
        </w:numPr>
        <w:spacing w:after="0"/>
        <w:rPr>
          <w:b/>
          <w:bCs/>
          <w:i/>
          <w:iCs/>
        </w:rPr>
      </w:pPr>
      <w:r>
        <w:rPr>
          <w:b/>
          <w:bCs/>
          <w:i/>
          <w:iCs/>
        </w:rPr>
        <w:t xml:space="preserve">Resource scarcity </w:t>
      </w:r>
    </w:p>
    <w:p w:rsidR="0063708E" w:rsidRDefault="00B649F4">
      <w:pPr>
        <w:spacing w:after="0"/>
      </w:pPr>
      <w:r>
        <w:t>It is another environmental factor that is driving Tata Steel’s transition toward low-carbon products. Scarcity of high-quality ores is also compelling industry leaders, such as BHP to replace 62% iron content with 60.8% in their product range (</w:t>
      </w:r>
      <w:proofErr w:type="spellStart"/>
      <w:r>
        <w:t>Fastmarkets</w:t>
      </w:r>
      <w:proofErr w:type="spellEnd"/>
      <w:r>
        <w:t xml:space="preserve">, 2026). </w:t>
      </w:r>
    </w:p>
    <w:p w:rsidR="0063708E" w:rsidRDefault="00B649F4">
      <w:pPr>
        <w:spacing w:after="0"/>
        <w:jc w:val="center"/>
      </w:pPr>
      <w:r>
        <w:rPr>
          <w:noProof/>
        </w:rPr>
        <w:drawing>
          <wp:inline distT="114300" distB="114300" distL="114300" distR="114300" wp14:anchorId="3EFC1BA1" wp14:editId="68BCB385">
            <wp:extent cx="5949387" cy="3599726"/>
            <wp:effectExtent l="19050" t="19050" r="13335" b="2032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596225"/>
                    </a:xfrm>
                    <a:prstGeom prst="rect">
                      <a:avLst/>
                    </a:prstGeom>
                    <a:ln w="12700">
                      <a:solidFill>
                        <a:srgbClr val="000000"/>
                      </a:solidFill>
                      <a:prstDash val="solid"/>
                    </a:ln>
                  </pic:spPr>
                </pic:pic>
              </a:graphicData>
            </a:graphic>
          </wp:inline>
        </w:drawing>
      </w:r>
    </w:p>
    <w:p w:rsidR="0063708E" w:rsidRDefault="00B649F4">
      <w:pPr>
        <w:spacing w:after="0"/>
        <w:jc w:val="center"/>
        <w:rPr>
          <w:b/>
          <w:bCs/>
        </w:rPr>
      </w:pPr>
      <w:r>
        <w:rPr>
          <w:b/>
          <w:bCs/>
        </w:rPr>
        <w:t>Figure 5: EAF steelmaking vs. conventional steelmaking GHG emissions comparison</w:t>
      </w:r>
    </w:p>
    <w:p w:rsidR="0085236B" w:rsidRDefault="00B649F4">
      <w:pPr>
        <w:spacing w:after="0"/>
        <w:jc w:val="center"/>
      </w:pPr>
      <w:r>
        <w:t>(Source: Global Efficiency Intelligence, 2026)</w:t>
      </w:r>
    </w:p>
    <w:p w:rsidR="0063708E" w:rsidRDefault="0085236B" w:rsidP="0085236B">
      <w:r>
        <w:br w:type="page"/>
      </w:r>
    </w:p>
    <w:p w:rsidR="0063708E" w:rsidRDefault="00B649F4">
      <w:pPr>
        <w:spacing w:after="0"/>
      </w:pPr>
      <w:r>
        <w:rPr>
          <w:b/>
          <w:bCs/>
          <w:i/>
          <w:iCs/>
          <w:u w:val="single"/>
        </w:rPr>
        <w:lastRenderedPageBreak/>
        <w:t>Opportunity</w:t>
      </w:r>
    </w:p>
    <w:p w:rsidR="0063708E" w:rsidRDefault="00B649F4">
      <w:pPr>
        <w:spacing w:after="0"/>
      </w:pPr>
      <w:r>
        <w:t xml:space="preserve">The </w:t>
      </w:r>
      <w:proofErr w:type="spellStart"/>
      <w:r>
        <w:t>reutilisation</w:t>
      </w:r>
      <w:proofErr w:type="spellEnd"/>
      <w:r>
        <w:t xml:space="preserve"> of scrap helps Tata Steel to reduce 10-15% GHG emission compared to traditional steelma</w:t>
      </w:r>
      <w:r>
        <w:t xml:space="preserve">king and leverage 100% metal efficiency, which leads to improving the star rating in the Green Steel Initiative Taxonomy and avoiding economic penalties in different EU markets (PIB, 2026; Scan X News, 2026). </w:t>
      </w:r>
    </w:p>
    <w:p w:rsidR="0063708E" w:rsidRDefault="00B649F4">
      <w:pPr>
        <w:spacing w:after="0"/>
        <w:rPr>
          <w:b/>
          <w:bCs/>
          <w:i/>
          <w:iCs/>
          <w:u w:val="single"/>
        </w:rPr>
      </w:pPr>
      <w:r>
        <w:rPr>
          <w:b/>
          <w:bCs/>
          <w:i/>
          <w:iCs/>
          <w:u w:val="single"/>
        </w:rPr>
        <w:t>Challenge</w:t>
      </w:r>
    </w:p>
    <w:p w:rsidR="0063708E" w:rsidRDefault="00B649F4">
      <w:pPr>
        <w:spacing w:after="0"/>
      </w:pPr>
      <w:r>
        <w:t xml:space="preserve">Reliance on a highly fragmented and </w:t>
      </w:r>
      <w:r>
        <w:t>informal supply chain network to get access to adequate steel scraps can lead to inconsistent production output.</w:t>
      </w:r>
    </w:p>
    <w:p w:rsidR="0063708E" w:rsidRDefault="00B649F4">
      <w:pPr>
        <w:numPr>
          <w:ilvl w:val="0"/>
          <w:numId w:val="2"/>
        </w:numPr>
        <w:spacing w:after="0"/>
        <w:rPr>
          <w:b/>
          <w:bCs/>
          <w:i/>
          <w:iCs/>
        </w:rPr>
      </w:pPr>
      <w:r>
        <w:rPr>
          <w:b/>
          <w:bCs/>
          <w:i/>
          <w:iCs/>
        </w:rPr>
        <w:t>Environmental pollution</w:t>
      </w:r>
    </w:p>
    <w:p w:rsidR="0063708E" w:rsidRDefault="00B649F4">
      <w:pPr>
        <w:spacing w:after="0"/>
      </w:pPr>
      <w:r>
        <w:t>Conventional mining and metal activities are linked with environmental pollution, as one-third of these facilities cont</w:t>
      </w:r>
      <w:r>
        <w:t>aminate water and 38% of these facilities contribute to baseline water stress (Paul, 2026). Tata Steel anticipated 0.30 kg/</w:t>
      </w:r>
      <w:proofErr w:type="spellStart"/>
      <w:r>
        <w:t>tcs</w:t>
      </w:r>
      <w:proofErr w:type="spellEnd"/>
      <w:r>
        <w:t xml:space="preserve"> stack dust emission in FY26-27, which can degrade ecosystems and compromise air quality (Tata Steel, 2026). For Tata Steel, fresh</w:t>
      </w:r>
      <w:r>
        <w:t xml:space="preserve">water consumption has been another factor driving its transition toward low-carbon products as the company exhausted &lt;1.1 m3/ </w:t>
      </w:r>
      <w:proofErr w:type="spellStart"/>
      <w:r>
        <w:t>tcs</w:t>
      </w:r>
      <w:proofErr w:type="spellEnd"/>
      <w:r>
        <w:t xml:space="preserve"> freshwater in FY26. Hence, shifting to a sustainable production model ensures regulatory compliance.</w:t>
      </w:r>
    </w:p>
    <w:p w:rsidR="0063708E" w:rsidRDefault="00B649F4">
      <w:pPr>
        <w:spacing w:after="0"/>
        <w:rPr>
          <w:b/>
          <w:bCs/>
          <w:i/>
          <w:iCs/>
          <w:u w:val="single"/>
        </w:rPr>
      </w:pPr>
      <w:r>
        <w:rPr>
          <w:b/>
          <w:bCs/>
          <w:i/>
          <w:iCs/>
          <w:u w:val="single"/>
        </w:rPr>
        <w:t>Opportunity</w:t>
      </w:r>
    </w:p>
    <w:p w:rsidR="0063708E" w:rsidRDefault="00B649F4">
      <w:pPr>
        <w:spacing w:after="0"/>
      </w:pPr>
      <w:r>
        <w:t>The shift wil</w:t>
      </w:r>
      <w:r>
        <w:t xml:space="preserve">l help Tata Steel to avoid regulatory fines regarding air pollution, water contamination, and resource consumption. </w:t>
      </w:r>
    </w:p>
    <w:p w:rsidR="0063708E" w:rsidRDefault="00B649F4">
      <w:pPr>
        <w:spacing w:after="0"/>
        <w:rPr>
          <w:b/>
          <w:bCs/>
          <w:i/>
          <w:iCs/>
          <w:u w:val="single"/>
        </w:rPr>
      </w:pPr>
      <w:r>
        <w:rPr>
          <w:b/>
          <w:bCs/>
          <w:i/>
          <w:iCs/>
          <w:u w:val="single"/>
        </w:rPr>
        <w:t>Challenge</w:t>
      </w:r>
    </w:p>
    <w:p w:rsidR="0063708E" w:rsidRDefault="00B649F4">
      <w:pPr>
        <w:spacing w:after="0"/>
      </w:pPr>
      <w:r>
        <w:t>The initiative to implement Zero Liquid Discharge at all steelmaking sites can be capital-intensive for Tata Steel, tightening it</w:t>
      </w:r>
      <w:r>
        <w:t xml:space="preserve">s profit margins. </w:t>
      </w:r>
    </w:p>
    <w:p w:rsidR="0063708E" w:rsidRDefault="00B649F4">
      <w:pPr>
        <w:spacing w:after="0"/>
        <w:rPr>
          <w:color w:val="000000"/>
        </w:rPr>
      </w:pPr>
      <w:r>
        <w:t>From a critical viewpoint, environmental pressures overpower traditional pressure pints of price, quality, and quick ROI,</w:t>
      </w:r>
      <w:r>
        <w:rPr>
          <w:color w:val="000000"/>
        </w:rPr>
        <w:t xml:space="preserve"> as failing to transition toward low-carbon products may threaten operational resilience fir Tata Steel in the long </w:t>
      </w:r>
      <w:r>
        <w:rPr>
          <w:color w:val="000000"/>
        </w:rPr>
        <w:t xml:space="preserve">term. </w:t>
      </w:r>
    </w:p>
    <w:p w:rsidR="0063708E" w:rsidRDefault="00B649F4">
      <w:pPr>
        <w:rPr>
          <w:b/>
          <w:bCs/>
        </w:rPr>
      </w:pPr>
      <w:r>
        <w:br w:type="page"/>
      </w:r>
    </w:p>
    <w:p w:rsidR="0063708E" w:rsidRDefault="00B649F4">
      <w:pPr>
        <w:pStyle w:val="Heading1"/>
      </w:pPr>
      <w:bookmarkStart w:id="7" w:name="_Toc243569053"/>
      <w:r>
        <w:lastRenderedPageBreak/>
        <w:t>Task 2: Strategic Growth and Competitive Positioning</w:t>
      </w:r>
      <w:bookmarkEnd w:id="7"/>
      <w:r>
        <w:t xml:space="preserve"> </w:t>
      </w:r>
    </w:p>
    <w:p w:rsidR="0063708E" w:rsidRDefault="00B649F4">
      <w:pPr>
        <w:pStyle w:val="Heading2"/>
      </w:pPr>
      <w:bookmarkStart w:id="8" w:name="_Toc243569054"/>
      <w:r>
        <w:t>2.1 Strategic Growth Strategy</w:t>
      </w:r>
      <w:bookmarkEnd w:id="8"/>
    </w:p>
    <w:p w:rsidR="0063708E" w:rsidRDefault="00B649F4">
      <w:proofErr w:type="spellStart"/>
      <w:r>
        <w:t>Ansoff</w:t>
      </w:r>
      <w:proofErr w:type="spellEnd"/>
      <w:r>
        <w:t xml:space="preserve"> Matrix determines the right directions of growth, whereas the Product Life Cycle (PLC) theory is determined to evaluate the development of the traditional and low-carbon steel products. </w:t>
      </w:r>
    </w:p>
    <w:p w:rsidR="0063708E" w:rsidRDefault="00B649F4">
      <w:pPr>
        <w:pStyle w:val="Heading3"/>
      </w:pPr>
      <w:bookmarkStart w:id="9" w:name="_Toc243569055"/>
      <w:r>
        <w:t xml:space="preserve">2.1.1 Applying the </w:t>
      </w:r>
      <w:proofErr w:type="spellStart"/>
      <w:r>
        <w:t>Ansoff</w:t>
      </w:r>
      <w:proofErr w:type="spellEnd"/>
      <w:r>
        <w:t xml:space="preserve"> Matrix</w:t>
      </w:r>
      <w:bookmarkEnd w:id="9"/>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160"/>
        <w:gridCol w:w="2265"/>
        <w:gridCol w:w="4935"/>
      </w:tblGrid>
      <w:tr w:rsidR="0063708E">
        <w:tc>
          <w:tcPr>
            <w:tcW w:w="2160" w:type="dxa"/>
            <w:tcMar>
              <w:top w:w="100" w:type="dxa"/>
              <w:left w:w="100" w:type="dxa"/>
              <w:bottom w:w="100" w:type="dxa"/>
              <w:right w:w="100" w:type="dxa"/>
            </w:tcMar>
          </w:tcPr>
          <w:p w:rsidR="0063708E" w:rsidRDefault="00B649F4">
            <w:pPr>
              <w:widowControl w:val="0"/>
              <w:spacing w:after="0"/>
              <w:rPr>
                <w:b/>
                <w:bCs/>
              </w:rPr>
            </w:pPr>
            <w:r>
              <w:rPr>
                <w:b/>
                <w:bCs/>
              </w:rPr>
              <w:t>Strategy vector</w:t>
            </w:r>
          </w:p>
        </w:tc>
        <w:tc>
          <w:tcPr>
            <w:tcW w:w="2265" w:type="dxa"/>
            <w:tcMar>
              <w:top w:w="100" w:type="dxa"/>
              <w:left w:w="100" w:type="dxa"/>
              <w:bottom w:w="100" w:type="dxa"/>
              <w:right w:w="100" w:type="dxa"/>
            </w:tcMar>
          </w:tcPr>
          <w:p w:rsidR="0063708E" w:rsidRDefault="00B649F4">
            <w:pPr>
              <w:widowControl w:val="0"/>
              <w:spacing w:after="0"/>
              <w:rPr>
                <w:b/>
                <w:bCs/>
              </w:rPr>
            </w:pPr>
            <w:r>
              <w:rPr>
                <w:b/>
                <w:bCs/>
              </w:rPr>
              <w:t>Relevance</w:t>
            </w:r>
          </w:p>
        </w:tc>
        <w:tc>
          <w:tcPr>
            <w:tcW w:w="4935" w:type="dxa"/>
            <w:tcMar>
              <w:top w:w="100" w:type="dxa"/>
              <w:left w:w="100" w:type="dxa"/>
              <w:bottom w:w="100" w:type="dxa"/>
              <w:right w:w="100" w:type="dxa"/>
            </w:tcMar>
          </w:tcPr>
          <w:p w:rsidR="0063708E" w:rsidRDefault="00B649F4">
            <w:pPr>
              <w:widowControl w:val="0"/>
              <w:spacing w:after="0"/>
              <w:rPr>
                <w:b/>
                <w:bCs/>
              </w:rPr>
            </w:pPr>
            <w:r>
              <w:rPr>
                <w:b/>
                <w:bCs/>
              </w:rPr>
              <w:t xml:space="preserve">Core strategic rationale </w:t>
            </w:r>
          </w:p>
        </w:tc>
      </w:tr>
      <w:tr w:rsidR="0063708E">
        <w:tc>
          <w:tcPr>
            <w:tcW w:w="2160" w:type="dxa"/>
            <w:tcMar>
              <w:top w:w="100" w:type="dxa"/>
              <w:left w:w="100" w:type="dxa"/>
              <w:bottom w:w="100" w:type="dxa"/>
              <w:right w:w="100" w:type="dxa"/>
            </w:tcMar>
          </w:tcPr>
          <w:p w:rsidR="0063708E" w:rsidRDefault="00B649F4">
            <w:pPr>
              <w:widowControl w:val="0"/>
              <w:spacing w:after="0"/>
            </w:pPr>
            <w:r>
              <w:t>Product development</w:t>
            </w:r>
          </w:p>
        </w:tc>
        <w:tc>
          <w:tcPr>
            <w:tcW w:w="2265" w:type="dxa"/>
            <w:tcMar>
              <w:top w:w="100" w:type="dxa"/>
              <w:left w:w="100" w:type="dxa"/>
              <w:bottom w:w="100" w:type="dxa"/>
              <w:right w:w="100" w:type="dxa"/>
            </w:tcMar>
          </w:tcPr>
          <w:p w:rsidR="0063708E" w:rsidRDefault="00B649F4">
            <w:pPr>
              <w:widowControl w:val="0"/>
              <w:spacing w:after="0"/>
            </w:pPr>
            <w:r>
              <w:t xml:space="preserve">High (primary vector) </w:t>
            </w:r>
          </w:p>
        </w:tc>
        <w:tc>
          <w:tcPr>
            <w:tcW w:w="4935" w:type="dxa"/>
            <w:tcMar>
              <w:top w:w="100" w:type="dxa"/>
              <w:left w:w="100" w:type="dxa"/>
              <w:bottom w:w="100" w:type="dxa"/>
              <w:right w:w="100" w:type="dxa"/>
            </w:tcMar>
          </w:tcPr>
          <w:p w:rsidR="0063708E" w:rsidRDefault="00B649F4">
            <w:pPr>
              <w:spacing w:after="0"/>
            </w:pPr>
            <w:proofErr w:type="spellStart"/>
            <w:r>
              <w:t>Capitalises</w:t>
            </w:r>
            <w:proofErr w:type="spellEnd"/>
            <w:r>
              <w:t xml:space="preserve"> on existing B2B clients, addressing Scope 3 emission reduction with products such as </w:t>
            </w:r>
            <w:proofErr w:type="spellStart"/>
            <w:r>
              <w:t>Zeremis</w:t>
            </w:r>
            <w:proofErr w:type="spellEnd"/>
            <w:r>
              <w:t xml:space="preserve"> mass-balanced steel and Ludhiana EAF scrap-based steel as new carbon products</w:t>
            </w:r>
          </w:p>
        </w:tc>
      </w:tr>
      <w:tr w:rsidR="0063708E">
        <w:tc>
          <w:tcPr>
            <w:tcW w:w="2160" w:type="dxa"/>
            <w:tcMar>
              <w:top w:w="100" w:type="dxa"/>
              <w:left w:w="100" w:type="dxa"/>
              <w:bottom w:w="100" w:type="dxa"/>
              <w:right w:w="100" w:type="dxa"/>
            </w:tcMar>
          </w:tcPr>
          <w:p w:rsidR="0063708E" w:rsidRDefault="00B649F4">
            <w:pPr>
              <w:widowControl w:val="0"/>
              <w:spacing w:after="0"/>
            </w:pPr>
            <w:r>
              <w:t>Ma</w:t>
            </w:r>
            <w:r>
              <w:t xml:space="preserve">rket development </w:t>
            </w:r>
          </w:p>
        </w:tc>
        <w:tc>
          <w:tcPr>
            <w:tcW w:w="2265" w:type="dxa"/>
            <w:tcMar>
              <w:top w:w="100" w:type="dxa"/>
              <w:left w:w="100" w:type="dxa"/>
              <w:bottom w:w="100" w:type="dxa"/>
              <w:right w:w="100" w:type="dxa"/>
            </w:tcMar>
          </w:tcPr>
          <w:p w:rsidR="0063708E" w:rsidRDefault="00B649F4">
            <w:pPr>
              <w:widowControl w:val="0"/>
              <w:spacing w:after="0"/>
            </w:pPr>
            <w:r>
              <w:t xml:space="preserve">Medium–high (secondary vector) </w:t>
            </w:r>
          </w:p>
        </w:tc>
        <w:tc>
          <w:tcPr>
            <w:tcW w:w="4935" w:type="dxa"/>
            <w:tcMar>
              <w:top w:w="100" w:type="dxa"/>
              <w:left w:w="100" w:type="dxa"/>
              <w:bottom w:w="100" w:type="dxa"/>
              <w:right w:w="100" w:type="dxa"/>
            </w:tcMar>
          </w:tcPr>
          <w:p w:rsidR="0063708E" w:rsidRDefault="00B649F4">
            <w:pPr>
              <w:spacing w:after="0"/>
            </w:pPr>
            <w:r>
              <w:t xml:space="preserve">Penetrating EU market as a carbon-regulated region with </w:t>
            </w:r>
            <w:proofErr w:type="spellStart"/>
            <w:r>
              <w:t>decarbonised</w:t>
            </w:r>
            <w:proofErr w:type="spellEnd"/>
            <w:r>
              <w:t xml:space="preserve"> steel variant</w:t>
            </w:r>
          </w:p>
        </w:tc>
      </w:tr>
      <w:tr w:rsidR="0063708E">
        <w:tc>
          <w:tcPr>
            <w:tcW w:w="2160" w:type="dxa"/>
            <w:tcMar>
              <w:top w:w="100" w:type="dxa"/>
              <w:left w:w="100" w:type="dxa"/>
              <w:bottom w:w="100" w:type="dxa"/>
              <w:right w:w="100" w:type="dxa"/>
            </w:tcMar>
          </w:tcPr>
          <w:p w:rsidR="0063708E" w:rsidRDefault="00B649F4">
            <w:pPr>
              <w:widowControl w:val="0"/>
              <w:spacing w:after="0"/>
            </w:pPr>
            <w:r>
              <w:t xml:space="preserve">Market penetration </w:t>
            </w:r>
          </w:p>
        </w:tc>
        <w:tc>
          <w:tcPr>
            <w:tcW w:w="2265" w:type="dxa"/>
            <w:tcMar>
              <w:top w:w="100" w:type="dxa"/>
              <w:left w:w="100" w:type="dxa"/>
              <w:bottom w:w="100" w:type="dxa"/>
              <w:right w:w="100" w:type="dxa"/>
            </w:tcMar>
          </w:tcPr>
          <w:p w:rsidR="0063708E" w:rsidRDefault="00B649F4">
            <w:pPr>
              <w:widowControl w:val="0"/>
              <w:spacing w:after="0"/>
            </w:pPr>
            <w:r>
              <w:t xml:space="preserve">Low–medium (baseline) </w:t>
            </w:r>
          </w:p>
        </w:tc>
        <w:tc>
          <w:tcPr>
            <w:tcW w:w="4935" w:type="dxa"/>
            <w:tcMar>
              <w:top w:w="100" w:type="dxa"/>
              <w:left w:w="100" w:type="dxa"/>
              <w:bottom w:w="100" w:type="dxa"/>
              <w:right w:w="100" w:type="dxa"/>
            </w:tcMar>
          </w:tcPr>
          <w:p w:rsidR="0063708E" w:rsidRDefault="00B649F4">
            <w:pPr>
              <w:widowControl w:val="0"/>
              <w:spacing w:after="0"/>
            </w:pPr>
            <w:r>
              <w:t>Conventional steel-oriented cash generation and tightening carbon taxes with le</w:t>
            </w:r>
            <w:r>
              <w:t>gal bodies</w:t>
            </w:r>
          </w:p>
        </w:tc>
      </w:tr>
      <w:tr w:rsidR="0063708E">
        <w:tc>
          <w:tcPr>
            <w:tcW w:w="2160" w:type="dxa"/>
            <w:tcMar>
              <w:top w:w="100" w:type="dxa"/>
              <w:left w:w="100" w:type="dxa"/>
              <w:bottom w:w="100" w:type="dxa"/>
              <w:right w:w="100" w:type="dxa"/>
            </w:tcMar>
          </w:tcPr>
          <w:p w:rsidR="0063708E" w:rsidRDefault="00B649F4">
            <w:pPr>
              <w:widowControl w:val="0"/>
              <w:spacing w:after="0"/>
            </w:pPr>
            <w:r>
              <w:t xml:space="preserve">Diversification </w:t>
            </w:r>
          </w:p>
        </w:tc>
        <w:tc>
          <w:tcPr>
            <w:tcW w:w="2265" w:type="dxa"/>
            <w:tcMar>
              <w:top w:w="100" w:type="dxa"/>
              <w:left w:w="100" w:type="dxa"/>
              <w:bottom w:w="100" w:type="dxa"/>
              <w:right w:w="100" w:type="dxa"/>
            </w:tcMar>
          </w:tcPr>
          <w:p w:rsidR="0063708E" w:rsidRDefault="00B649F4">
            <w:pPr>
              <w:widowControl w:val="0"/>
              <w:spacing w:after="0"/>
            </w:pPr>
            <w:r>
              <w:t>Low (</w:t>
            </w:r>
            <w:proofErr w:type="spellStart"/>
            <w:r>
              <w:t>unfavourable</w:t>
            </w:r>
            <w:proofErr w:type="spellEnd"/>
            <w:r>
              <w:t xml:space="preserve">) </w:t>
            </w:r>
          </w:p>
        </w:tc>
        <w:tc>
          <w:tcPr>
            <w:tcW w:w="4935" w:type="dxa"/>
            <w:tcMar>
              <w:top w:w="100" w:type="dxa"/>
              <w:left w:w="100" w:type="dxa"/>
              <w:bottom w:w="100" w:type="dxa"/>
              <w:right w:w="100" w:type="dxa"/>
            </w:tcMar>
          </w:tcPr>
          <w:p w:rsidR="0063708E" w:rsidRDefault="00B649F4">
            <w:pPr>
              <w:widowControl w:val="0"/>
              <w:spacing w:after="0"/>
            </w:pPr>
            <w:r>
              <w:t>Operational risk and high capital intensity diverting resources</w:t>
            </w:r>
          </w:p>
        </w:tc>
      </w:tr>
    </w:tbl>
    <w:p w:rsidR="0063708E" w:rsidRDefault="00B649F4">
      <w:pPr>
        <w:jc w:val="center"/>
        <w:rPr>
          <w:b/>
          <w:bCs/>
        </w:rPr>
      </w:pPr>
      <w:r>
        <w:rPr>
          <w:b/>
          <w:bCs/>
        </w:rPr>
        <w:t xml:space="preserve">Table 1: </w:t>
      </w:r>
      <w:proofErr w:type="spellStart"/>
      <w:r>
        <w:rPr>
          <w:b/>
          <w:bCs/>
        </w:rPr>
        <w:t>Ansoff</w:t>
      </w:r>
      <w:proofErr w:type="spellEnd"/>
      <w:r>
        <w:rPr>
          <w:b/>
          <w:bCs/>
        </w:rPr>
        <w:t xml:space="preserve"> matrix application</w:t>
      </w:r>
    </w:p>
    <w:p w:rsidR="0063708E" w:rsidRDefault="00B649F4">
      <w:pPr>
        <w:jc w:val="center"/>
      </w:pPr>
      <w:r>
        <w:t xml:space="preserve">(Source: Influenced by </w:t>
      </w:r>
      <w:proofErr w:type="spellStart"/>
      <w:r>
        <w:t>Zugay</w:t>
      </w:r>
      <w:proofErr w:type="spellEnd"/>
      <w:r>
        <w:t>, 2023; Tata Steel, 2026)</w:t>
      </w:r>
    </w:p>
    <w:p w:rsidR="0063708E" w:rsidRDefault="00B649F4">
      <w:pPr>
        <w:pStyle w:val="Heading3"/>
      </w:pPr>
      <w:bookmarkStart w:id="10" w:name="_Toc243569056"/>
      <w:r>
        <w:t>2.1.2 Critical evaluation supported by PLC</w:t>
      </w:r>
      <w:bookmarkEnd w:id="10"/>
    </w:p>
    <w:p w:rsidR="0063708E" w:rsidRDefault="00B649F4">
      <w:r>
        <w:t xml:space="preserve">The vital growth venture for Tata Steel is the product development strategy. Applying the Product Life Cycle (PLC) Theory, the maturity/decline stage is achieved with conventional blast-furnace steel that highlights carbon </w:t>
      </w:r>
      <w:proofErr w:type="spellStart"/>
      <w:r>
        <w:t>penalisation</w:t>
      </w:r>
      <w:proofErr w:type="spellEnd"/>
      <w:r>
        <w:t xml:space="preserve">. On the other hand, </w:t>
      </w:r>
      <w:r>
        <w:t xml:space="preserve">the Introduction/Growth stage is obtained with verified green steel such as </w:t>
      </w:r>
      <w:proofErr w:type="spellStart"/>
      <w:r>
        <w:t>Zeremis</w:t>
      </w:r>
      <w:proofErr w:type="spellEnd"/>
      <w:r>
        <w:t xml:space="preserve">, EAF-based steel (Tata Steel Nederland, 2026).  </w:t>
      </w:r>
    </w:p>
    <w:p w:rsidR="0063708E" w:rsidRDefault="00B649F4">
      <w:pPr>
        <w:jc w:val="center"/>
      </w:pPr>
      <w:r>
        <w:rPr>
          <w:noProof/>
        </w:rPr>
        <w:lastRenderedPageBreak/>
        <w:drawing>
          <wp:inline distT="114300" distB="114300" distL="114300" distR="114300" wp14:anchorId="00DBACB4" wp14:editId="067D2486">
            <wp:extent cx="4051139" cy="4409954"/>
            <wp:effectExtent l="19050" t="19050" r="26035" b="1016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048124" cy="4406672"/>
                    </a:xfrm>
                    <a:prstGeom prst="rect">
                      <a:avLst/>
                    </a:prstGeom>
                    <a:ln w="12700">
                      <a:solidFill>
                        <a:srgbClr val="000000"/>
                      </a:solidFill>
                      <a:prstDash val="solid"/>
                    </a:ln>
                  </pic:spPr>
                </pic:pic>
              </a:graphicData>
            </a:graphic>
          </wp:inline>
        </w:drawing>
      </w:r>
    </w:p>
    <w:p w:rsidR="0063708E" w:rsidRDefault="00B649F4">
      <w:pPr>
        <w:jc w:val="center"/>
        <w:rPr>
          <w:b/>
          <w:bCs/>
        </w:rPr>
      </w:pPr>
      <w:r>
        <w:rPr>
          <w:b/>
          <w:bCs/>
        </w:rPr>
        <w:t>Figure 6: EBITDA margins with focused differentiation strategy</w:t>
      </w:r>
    </w:p>
    <w:p w:rsidR="0063708E" w:rsidRDefault="00B649F4">
      <w:pPr>
        <w:jc w:val="center"/>
      </w:pPr>
      <w:r>
        <w:t>(Source: Tata Steel, 2026)</w:t>
      </w:r>
    </w:p>
    <w:p w:rsidR="0085236B" w:rsidRDefault="00B649F4">
      <w:r>
        <w:t>It can be aligned with the Focu</w:t>
      </w:r>
      <w:r>
        <w:t>sed Differentiation strategy of Porter’s Generic Model, where premium pricing is ensured for green steel commands by offering verified carbon traceability along with Scope 3 compliance (</w:t>
      </w:r>
      <w:proofErr w:type="spellStart"/>
      <w:r>
        <w:t>Mundkur</w:t>
      </w:r>
      <w:proofErr w:type="spellEnd"/>
      <w:r>
        <w:t xml:space="preserve"> and </w:t>
      </w:r>
      <w:proofErr w:type="spellStart"/>
      <w:r>
        <w:t>Iyengar</w:t>
      </w:r>
      <w:proofErr w:type="spellEnd"/>
      <w:r>
        <w:t>, 2026). The secondary enabler, Market Development,</w:t>
      </w:r>
      <w:r>
        <w:t xml:space="preserve"> is achieved with market entry into new geographic markets. The differentiation strategy highlighted heavily regulated zones that may create high entry barriers for high-carbon competitors like SAIL and HBIS Group &amp; </w:t>
      </w:r>
      <w:proofErr w:type="spellStart"/>
      <w:r>
        <w:t>Ansteel</w:t>
      </w:r>
      <w:proofErr w:type="spellEnd"/>
      <w:r>
        <w:t xml:space="preserve"> Group.  On the other hand, Marke</w:t>
      </w:r>
      <w:r>
        <w:t xml:space="preserve">t Penetration reduces profit returns, while diversification creates risks by diverting capital away from EAF and hydrogen infrastructure. </w:t>
      </w:r>
    </w:p>
    <w:p w:rsidR="0063708E" w:rsidRDefault="0085236B">
      <w:r>
        <w:br w:type="page"/>
      </w:r>
    </w:p>
    <w:p w:rsidR="0063708E" w:rsidRDefault="00B649F4">
      <w:pPr>
        <w:pStyle w:val="Heading3"/>
      </w:pPr>
      <w:bookmarkStart w:id="11" w:name="_Toc243569057"/>
      <w:r>
        <w:lastRenderedPageBreak/>
        <w:t>2.1.3 Business unit or portfolio level analysis</w:t>
      </w:r>
      <w:bookmarkEnd w:id="11"/>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680"/>
        <w:gridCol w:w="2925"/>
        <w:gridCol w:w="4755"/>
      </w:tblGrid>
      <w:tr w:rsidR="0063708E">
        <w:tc>
          <w:tcPr>
            <w:tcW w:w="1680" w:type="dxa"/>
            <w:tcMar>
              <w:top w:w="100" w:type="dxa"/>
              <w:left w:w="100" w:type="dxa"/>
              <w:bottom w:w="100" w:type="dxa"/>
              <w:right w:w="100" w:type="dxa"/>
            </w:tcMar>
          </w:tcPr>
          <w:p w:rsidR="0063708E" w:rsidRDefault="00B649F4">
            <w:pPr>
              <w:widowControl w:val="0"/>
              <w:spacing w:after="0"/>
              <w:rPr>
                <w:b/>
                <w:bCs/>
              </w:rPr>
            </w:pPr>
            <w:r>
              <w:rPr>
                <w:b/>
                <w:bCs/>
              </w:rPr>
              <w:t>Category</w:t>
            </w:r>
          </w:p>
        </w:tc>
        <w:tc>
          <w:tcPr>
            <w:tcW w:w="2925" w:type="dxa"/>
            <w:tcMar>
              <w:top w:w="100" w:type="dxa"/>
              <w:left w:w="100" w:type="dxa"/>
              <w:bottom w:w="100" w:type="dxa"/>
              <w:right w:w="100" w:type="dxa"/>
            </w:tcMar>
          </w:tcPr>
          <w:p w:rsidR="0063708E" w:rsidRDefault="00B649F4">
            <w:pPr>
              <w:widowControl w:val="0"/>
              <w:spacing w:after="0"/>
              <w:rPr>
                <w:b/>
                <w:bCs/>
              </w:rPr>
            </w:pPr>
            <w:r>
              <w:rPr>
                <w:b/>
                <w:bCs/>
              </w:rPr>
              <w:t>Product line</w:t>
            </w:r>
          </w:p>
        </w:tc>
        <w:tc>
          <w:tcPr>
            <w:tcW w:w="4755" w:type="dxa"/>
            <w:tcMar>
              <w:top w:w="100" w:type="dxa"/>
              <w:left w:w="100" w:type="dxa"/>
              <w:bottom w:w="100" w:type="dxa"/>
              <w:right w:w="100" w:type="dxa"/>
            </w:tcMar>
          </w:tcPr>
          <w:p w:rsidR="0063708E" w:rsidRDefault="00B649F4">
            <w:pPr>
              <w:widowControl w:val="0"/>
              <w:spacing w:after="0"/>
              <w:rPr>
                <w:b/>
                <w:bCs/>
              </w:rPr>
            </w:pPr>
            <w:r>
              <w:rPr>
                <w:b/>
                <w:bCs/>
              </w:rPr>
              <w:t>Strategic action</w:t>
            </w:r>
          </w:p>
        </w:tc>
      </w:tr>
      <w:tr w:rsidR="0063708E">
        <w:tc>
          <w:tcPr>
            <w:tcW w:w="1680" w:type="dxa"/>
            <w:tcMar>
              <w:top w:w="100" w:type="dxa"/>
              <w:left w:w="100" w:type="dxa"/>
              <w:bottom w:w="100" w:type="dxa"/>
              <w:right w:w="100" w:type="dxa"/>
            </w:tcMar>
          </w:tcPr>
          <w:p w:rsidR="0063708E" w:rsidRDefault="00B649F4">
            <w:pPr>
              <w:widowControl w:val="0"/>
              <w:spacing w:after="0"/>
            </w:pPr>
            <w:r>
              <w:t>Cash cows</w:t>
            </w:r>
          </w:p>
        </w:tc>
        <w:tc>
          <w:tcPr>
            <w:tcW w:w="2925" w:type="dxa"/>
            <w:tcMar>
              <w:top w:w="100" w:type="dxa"/>
              <w:left w:w="100" w:type="dxa"/>
              <w:bottom w:w="100" w:type="dxa"/>
              <w:right w:w="100" w:type="dxa"/>
            </w:tcMar>
          </w:tcPr>
          <w:p w:rsidR="0063708E" w:rsidRDefault="00B649F4">
            <w:pPr>
              <w:widowControl w:val="0"/>
              <w:spacing w:after="0"/>
            </w:pPr>
            <w:r>
              <w:t xml:space="preserve">Legacy BF-BOF Carbon Steel </w:t>
            </w:r>
          </w:p>
        </w:tc>
        <w:tc>
          <w:tcPr>
            <w:tcW w:w="4755" w:type="dxa"/>
            <w:tcMar>
              <w:top w:w="100" w:type="dxa"/>
              <w:left w:w="100" w:type="dxa"/>
              <w:bottom w:w="100" w:type="dxa"/>
              <w:right w:w="100" w:type="dxa"/>
            </w:tcMar>
          </w:tcPr>
          <w:p w:rsidR="0063708E" w:rsidRDefault="00B649F4">
            <w:pPr>
              <w:widowControl w:val="0"/>
              <w:spacing w:after="0"/>
            </w:pPr>
            <w:r>
              <w:t xml:space="preserve">Cash cow flow </w:t>
            </w:r>
            <w:proofErr w:type="spellStart"/>
            <w:r>
              <w:t>harvestment</w:t>
            </w:r>
            <w:proofErr w:type="spellEnd"/>
            <w:r>
              <w:t xml:space="preserve"> for investing in </w:t>
            </w:r>
            <w:proofErr w:type="spellStart"/>
            <w:r>
              <w:t>decarbonisation</w:t>
            </w:r>
            <w:proofErr w:type="spellEnd"/>
            <w:r>
              <w:t xml:space="preserve"> operations</w:t>
            </w:r>
          </w:p>
        </w:tc>
      </w:tr>
      <w:tr w:rsidR="0063708E">
        <w:tc>
          <w:tcPr>
            <w:tcW w:w="1680" w:type="dxa"/>
            <w:tcMar>
              <w:top w:w="100" w:type="dxa"/>
              <w:left w:w="100" w:type="dxa"/>
              <w:bottom w:w="100" w:type="dxa"/>
              <w:right w:w="100" w:type="dxa"/>
            </w:tcMar>
          </w:tcPr>
          <w:p w:rsidR="0063708E" w:rsidRDefault="00B649F4">
            <w:pPr>
              <w:widowControl w:val="0"/>
              <w:spacing w:after="0"/>
            </w:pPr>
            <w:r>
              <w:t xml:space="preserve">Stars </w:t>
            </w:r>
          </w:p>
        </w:tc>
        <w:tc>
          <w:tcPr>
            <w:tcW w:w="2925" w:type="dxa"/>
            <w:tcMar>
              <w:top w:w="100" w:type="dxa"/>
              <w:left w:w="100" w:type="dxa"/>
              <w:bottom w:w="100" w:type="dxa"/>
              <w:right w:w="100" w:type="dxa"/>
            </w:tcMar>
          </w:tcPr>
          <w:p w:rsidR="0063708E" w:rsidRDefault="00B649F4">
            <w:pPr>
              <w:widowControl w:val="0"/>
              <w:spacing w:after="0"/>
            </w:pPr>
            <w:r>
              <w:t>Certified Low-Carbon Steel (</w:t>
            </w:r>
            <w:proofErr w:type="spellStart"/>
            <w:r>
              <w:t>Zeremis</w:t>
            </w:r>
            <w:proofErr w:type="spellEnd"/>
            <w:r>
              <w:t xml:space="preserve">, Ludhiana EAF) </w:t>
            </w:r>
          </w:p>
        </w:tc>
        <w:tc>
          <w:tcPr>
            <w:tcW w:w="4755" w:type="dxa"/>
            <w:tcMar>
              <w:top w:w="100" w:type="dxa"/>
              <w:left w:w="100" w:type="dxa"/>
              <w:bottom w:w="100" w:type="dxa"/>
              <w:right w:w="100" w:type="dxa"/>
            </w:tcMar>
          </w:tcPr>
          <w:p w:rsidR="0063708E" w:rsidRDefault="00B649F4">
            <w:pPr>
              <w:widowControl w:val="0"/>
              <w:spacing w:after="0"/>
            </w:pPr>
            <w:r>
              <w:t>Market security and share management with heavy investment to support expansion of green steel sec</w:t>
            </w:r>
            <w:r>
              <w:t>tor</w:t>
            </w:r>
          </w:p>
        </w:tc>
      </w:tr>
      <w:tr w:rsidR="0063708E">
        <w:tc>
          <w:tcPr>
            <w:tcW w:w="1680" w:type="dxa"/>
            <w:tcMar>
              <w:top w:w="100" w:type="dxa"/>
              <w:left w:w="100" w:type="dxa"/>
              <w:bottom w:w="100" w:type="dxa"/>
              <w:right w:w="100" w:type="dxa"/>
            </w:tcMar>
          </w:tcPr>
          <w:p w:rsidR="0063708E" w:rsidRDefault="00B649F4">
            <w:pPr>
              <w:widowControl w:val="0"/>
              <w:spacing w:after="0"/>
            </w:pPr>
            <w:r>
              <w:t>Question marks</w:t>
            </w:r>
          </w:p>
        </w:tc>
        <w:tc>
          <w:tcPr>
            <w:tcW w:w="2925" w:type="dxa"/>
            <w:tcMar>
              <w:top w:w="100" w:type="dxa"/>
              <w:left w:w="100" w:type="dxa"/>
              <w:bottom w:w="100" w:type="dxa"/>
              <w:right w:w="100" w:type="dxa"/>
            </w:tcMar>
          </w:tcPr>
          <w:p w:rsidR="0063708E" w:rsidRDefault="00B649F4">
            <w:pPr>
              <w:widowControl w:val="0"/>
              <w:spacing w:after="0"/>
            </w:pPr>
            <w:r>
              <w:t xml:space="preserve">Green Hydrogen Direct Reduced Iron (DRI) </w:t>
            </w:r>
          </w:p>
        </w:tc>
        <w:tc>
          <w:tcPr>
            <w:tcW w:w="4755" w:type="dxa"/>
            <w:tcMar>
              <w:top w:w="100" w:type="dxa"/>
              <w:left w:w="100" w:type="dxa"/>
              <w:bottom w:w="100" w:type="dxa"/>
              <w:right w:w="100" w:type="dxa"/>
            </w:tcMar>
          </w:tcPr>
          <w:p w:rsidR="0063708E" w:rsidRDefault="00B649F4">
            <w:pPr>
              <w:widowControl w:val="0"/>
              <w:spacing w:after="0"/>
            </w:pPr>
            <w:r>
              <w:t>Selective R&amp;D-related investment for commercial viability check</w:t>
            </w:r>
          </w:p>
        </w:tc>
      </w:tr>
      <w:tr w:rsidR="0063708E">
        <w:tc>
          <w:tcPr>
            <w:tcW w:w="1680" w:type="dxa"/>
            <w:tcMar>
              <w:top w:w="100" w:type="dxa"/>
              <w:left w:w="100" w:type="dxa"/>
              <w:bottom w:w="100" w:type="dxa"/>
              <w:right w:w="100" w:type="dxa"/>
            </w:tcMar>
          </w:tcPr>
          <w:p w:rsidR="0063708E" w:rsidRDefault="00B649F4">
            <w:pPr>
              <w:widowControl w:val="0"/>
              <w:spacing w:after="0"/>
            </w:pPr>
            <w:r>
              <w:t xml:space="preserve">Dogs </w:t>
            </w:r>
          </w:p>
        </w:tc>
        <w:tc>
          <w:tcPr>
            <w:tcW w:w="2925" w:type="dxa"/>
            <w:tcMar>
              <w:top w:w="100" w:type="dxa"/>
              <w:left w:w="100" w:type="dxa"/>
              <w:bottom w:w="100" w:type="dxa"/>
              <w:right w:w="100" w:type="dxa"/>
            </w:tcMar>
          </w:tcPr>
          <w:p w:rsidR="0063708E" w:rsidRDefault="00B649F4">
            <w:pPr>
              <w:widowControl w:val="0"/>
              <w:spacing w:after="0"/>
            </w:pPr>
            <w:r>
              <w:t xml:space="preserve">High-emission legacy assets </w:t>
            </w:r>
          </w:p>
        </w:tc>
        <w:tc>
          <w:tcPr>
            <w:tcW w:w="4755" w:type="dxa"/>
            <w:tcMar>
              <w:top w:w="100" w:type="dxa"/>
              <w:left w:w="100" w:type="dxa"/>
              <w:bottom w:w="100" w:type="dxa"/>
              <w:right w:w="100" w:type="dxa"/>
            </w:tcMar>
          </w:tcPr>
          <w:p w:rsidR="0063708E" w:rsidRDefault="00B649F4">
            <w:pPr>
              <w:widowControl w:val="0"/>
              <w:spacing w:after="0"/>
            </w:pPr>
            <w:r>
              <w:t>Controlling carbon liabilities with decommissioning</w:t>
            </w:r>
          </w:p>
        </w:tc>
      </w:tr>
    </w:tbl>
    <w:p w:rsidR="0063708E" w:rsidRDefault="00B649F4">
      <w:pPr>
        <w:jc w:val="center"/>
        <w:rPr>
          <w:b/>
          <w:bCs/>
        </w:rPr>
      </w:pPr>
      <w:r>
        <w:rPr>
          <w:b/>
          <w:bCs/>
        </w:rPr>
        <w:t xml:space="preserve"> Table 2: Growth-share strategies of Tata Steel</w:t>
      </w:r>
    </w:p>
    <w:p w:rsidR="0063708E" w:rsidRDefault="00B649F4">
      <w:pPr>
        <w:jc w:val="center"/>
      </w:pPr>
      <w:r>
        <w:t xml:space="preserve">(Source: Tata Steel, 2026; </w:t>
      </w:r>
      <w:proofErr w:type="spellStart"/>
      <w:r>
        <w:t>Mahapatra</w:t>
      </w:r>
      <w:proofErr w:type="spellEnd"/>
      <w:r>
        <w:t xml:space="preserve"> </w:t>
      </w:r>
      <w:r>
        <w:rPr>
          <w:i/>
          <w:iCs/>
        </w:rPr>
        <w:t xml:space="preserve">et al., </w:t>
      </w:r>
      <w:r>
        <w:t>2024)</w:t>
      </w:r>
    </w:p>
    <w:p w:rsidR="0063708E" w:rsidRDefault="00B649F4">
      <w:pPr>
        <w:pStyle w:val="Heading3"/>
      </w:pPr>
      <w:bookmarkStart w:id="12" w:name="_Toc243569058"/>
      <w:r>
        <w:t xml:space="preserve">2.1.4 Risk-adjusted </w:t>
      </w:r>
      <w:proofErr w:type="spellStart"/>
      <w:r>
        <w:t>Ansoff</w:t>
      </w:r>
      <w:proofErr w:type="spellEnd"/>
      <w:r>
        <w:t xml:space="preserve"> evaluation</w:t>
      </w:r>
      <w:bookmarkEnd w:id="12"/>
    </w:p>
    <w:p w:rsidR="0063708E" w:rsidRDefault="00B649F4">
      <w:r>
        <w:t xml:space="preserve">Risk adjustment after evaluation of expansion strategies of Tata Steel through the </w:t>
      </w:r>
      <w:proofErr w:type="spellStart"/>
      <w:r>
        <w:t>Ansoff</w:t>
      </w:r>
      <w:proofErr w:type="spellEnd"/>
      <w:r>
        <w:t xml:space="preserve"> matrix can be evaluated as below:</w:t>
      </w:r>
    </w:p>
    <w:p w:rsidR="0063708E" w:rsidRDefault="00B649F4">
      <w:pPr>
        <w:numPr>
          <w:ilvl w:val="0"/>
          <w:numId w:val="3"/>
        </w:numPr>
        <w:spacing w:after="0"/>
        <w:rPr>
          <w:b/>
          <w:bCs/>
        </w:rPr>
      </w:pPr>
      <w:r>
        <w:rPr>
          <w:b/>
          <w:bCs/>
        </w:rPr>
        <w:t xml:space="preserve">Product development risk: </w:t>
      </w:r>
      <w:r>
        <w:t>Guaranteed B2B demand and innovative technology can moderate the risks of capital expenditure (</w:t>
      </w:r>
      <w:proofErr w:type="spellStart"/>
      <w:r>
        <w:t>CapEx</w:t>
      </w:r>
      <w:proofErr w:type="spellEnd"/>
      <w:r>
        <w:t>) (38%</w:t>
      </w:r>
      <w:r>
        <w:t xml:space="preserve"> increase) along with scrap procurement constraints (PTI, 2026). </w:t>
      </w:r>
    </w:p>
    <w:p w:rsidR="0063708E" w:rsidRDefault="00B649F4">
      <w:pPr>
        <w:numPr>
          <w:ilvl w:val="0"/>
          <w:numId w:val="3"/>
        </w:numPr>
        <w:spacing w:after="0"/>
        <w:rPr>
          <w:b/>
          <w:bCs/>
        </w:rPr>
      </w:pPr>
      <w:r>
        <w:rPr>
          <w:b/>
          <w:bCs/>
        </w:rPr>
        <w:t xml:space="preserve">Market development risk: </w:t>
      </w:r>
      <w:r>
        <w:t>Collaboration with authoritative bodies will help control regulatory uncertainty, such as CBAM adjustments and trade protectionism.</w:t>
      </w:r>
    </w:p>
    <w:p w:rsidR="0063708E" w:rsidRDefault="00B649F4">
      <w:pPr>
        <w:numPr>
          <w:ilvl w:val="0"/>
          <w:numId w:val="3"/>
        </w:numPr>
        <w:rPr>
          <w:b/>
          <w:bCs/>
        </w:rPr>
      </w:pPr>
      <w:r>
        <w:rPr>
          <w:b/>
          <w:bCs/>
        </w:rPr>
        <w:t xml:space="preserve">Strategic verdict: </w:t>
      </w:r>
      <w:r>
        <w:t>Product develo</w:t>
      </w:r>
      <w:r>
        <w:t xml:space="preserve">pment is designed to </w:t>
      </w:r>
      <w:proofErr w:type="spellStart"/>
      <w:r>
        <w:t>optimise</w:t>
      </w:r>
      <w:proofErr w:type="spellEnd"/>
      <w:r>
        <w:t xml:space="preserve"> the risk-return profile, while increasing ROE by 11.44% with </w:t>
      </w:r>
      <w:proofErr w:type="spellStart"/>
      <w:r>
        <w:t>minimised</w:t>
      </w:r>
      <w:proofErr w:type="spellEnd"/>
      <w:r>
        <w:t xml:space="preserve"> market expansion conflicts (Tata Steel, 2026). </w:t>
      </w:r>
    </w:p>
    <w:p w:rsidR="0063708E" w:rsidRDefault="00B649F4">
      <w:pPr>
        <w:pStyle w:val="Heading2"/>
      </w:pPr>
      <w:bookmarkStart w:id="13" w:name="_Toc243569059"/>
      <w:r>
        <w:lastRenderedPageBreak/>
        <w:t>2.2 Competitive Advantage and Positioning</w:t>
      </w:r>
      <w:bookmarkEnd w:id="13"/>
      <w:r>
        <w:t xml:space="preserve"> </w:t>
      </w:r>
    </w:p>
    <w:p w:rsidR="0063708E" w:rsidRDefault="00B649F4">
      <w:pPr>
        <w:pStyle w:val="Heading3"/>
      </w:pPr>
      <w:bookmarkStart w:id="14" w:name="_Toc243569060"/>
      <w:r>
        <w:t>2.2.1 Applying Porter’s Generic strategies</w:t>
      </w:r>
      <w:bookmarkEnd w:id="14"/>
      <w:r>
        <w:t xml:space="preserve"> </w:t>
      </w:r>
    </w:p>
    <w:p w:rsidR="0063708E" w:rsidRDefault="00B649F4">
      <w:r>
        <w:t>The transformation f</w:t>
      </w:r>
      <w:r>
        <w:t xml:space="preserve">rom Cost leadership to a focused differentiation strategy has gained access to a low-carbon portfolio. The green products from the 0.75 MTPA Ludhiana EAF plant included </w:t>
      </w:r>
      <w:proofErr w:type="spellStart"/>
      <w:r>
        <w:t>Zeremis</w:t>
      </w:r>
      <w:proofErr w:type="spellEnd"/>
      <w:r>
        <w:t xml:space="preserve"> mass-balanced steel and scrap-based products, which is built with a ~₹3,200 </w:t>
      </w:r>
      <w:proofErr w:type="spellStart"/>
      <w:r>
        <w:t>cro</w:t>
      </w:r>
      <w:r>
        <w:t>re</w:t>
      </w:r>
      <w:proofErr w:type="spellEnd"/>
      <w:r>
        <w:t xml:space="preserve"> investment and delivered sub-0.3 </w:t>
      </w:r>
      <w:proofErr w:type="spellStart"/>
      <w:r>
        <w:t>tCO₂e</w:t>
      </w:r>
      <w:proofErr w:type="spellEnd"/>
      <w:r>
        <w:t>/</w:t>
      </w:r>
      <w:proofErr w:type="spellStart"/>
      <w:r>
        <w:t>tcs</w:t>
      </w:r>
      <w:proofErr w:type="spellEnd"/>
      <w:r>
        <w:t xml:space="preserve"> carbon intensity (Tata Steel, 2026). Price competition is controlled with this premium positioning that is strengthened with certified carbon traceability against high-emission companies such as SAIL (2.55 </w:t>
      </w:r>
      <w:proofErr w:type="spellStart"/>
      <w:r>
        <w:t>tCO</w:t>
      </w:r>
      <w:proofErr w:type="spellEnd"/>
      <w:r>
        <w:t>₂</w:t>
      </w:r>
      <w:r>
        <w:t>/</w:t>
      </w:r>
      <w:proofErr w:type="spellStart"/>
      <w:r>
        <w:t>tcs</w:t>
      </w:r>
      <w:proofErr w:type="spellEnd"/>
      <w:r>
        <w:t xml:space="preserve">) (CII, 2026). It aided in obtaining heavy </w:t>
      </w:r>
      <w:proofErr w:type="spellStart"/>
      <w:r>
        <w:t>decarbonization</w:t>
      </w:r>
      <w:proofErr w:type="spellEnd"/>
      <w:r>
        <w:t xml:space="preserve"> </w:t>
      </w:r>
      <w:proofErr w:type="spellStart"/>
      <w:r>
        <w:t>CapEx</w:t>
      </w:r>
      <w:proofErr w:type="spellEnd"/>
      <w:r>
        <w:t>. For example, a £500M UK Government grant is achieved in the £1.25 billion Port Talbot project through green price premiums from Scope 3-conscious B2B buyers (Business Today, 2026).</w:t>
      </w:r>
    </w:p>
    <w:p w:rsidR="0085236B" w:rsidRDefault="0085236B"/>
    <w:p w:rsidR="0063708E" w:rsidRDefault="00B649F4">
      <w:pPr>
        <w:pStyle w:val="Heading3"/>
      </w:pPr>
      <w:bookmarkStart w:id="15" w:name="_Toc243569061"/>
      <w:r>
        <w:t>2.2.2</w:t>
      </w:r>
      <w:r>
        <w:t xml:space="preserve"> Strategic competitor matrix</w:t>
      </w:r>
      <w:bookmarkEnd w:id="15"/>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3120"/>
        <w:gridCol w:w="3120"/>
        <w:gridCol w:w="3120"/>
      </w:tblGrid>
      <w:tr w:rsidR="0063708E">
        <w:tc>
          <w:tcPr>
            <w:tcW w:w="3120" w:type="dxa"/>
            <w:tcMar>
              <w:top w:w="100" w:type="dxa"/>
              <w:left w:w="100" w:type="dxa"/>
              <w:bottom w:w="100" w:type="dxa"/>
              <w:right w:w="100" w:type="dxa"/>
            </w:tcMar>
          </w:tcPr>
          <w:p w:rsidR="0063708E" w:rsidRDefault="00B649F4">
            <w:pPr>
              <w:widowControl w:val="0"/>
              <w:spacing w:after="0"/>
              <w:rPr>
                <w:b/>
                <w:bCs/>
              </w:rPr>
            </w:pPr>
            <w:r>
              <w:rPr>
                <w:b/>
                <w:bCs/>
              </w:rPr>
              <w:t>Metric</w:t>
            </w:r>
          </w:p>
        </w:tc>
        <w:tc>
          <w:tcPr>
            <w:tcW w:w="3120" w:type="dxa"/>
            <w:tcMar>
              <w:top w:w="100" w:type="dxa"/>
              <w:left w:w="100" w:type="dxa"/>
              <w:bottom w:w="100" w:type="dxa"/>
              <w:right w:w="100" w:type="dxa"/>
            </w:tcMar>
          </w:tcPr>
          <w:p w:rsidR="0063708E" w:rsidRDefault="00B649F4">
            <w:pPr>
              <w:widowControl w:val="0"/>
              <w:spacing w:after="0"/>
              <w:rPr>
                <w:b/>
                <w:bCs/>
              </w:rPr>
            </w:pPr>
            <w:r>
              <w:rPr>
                <w:b/>
                <w:bCs/>
              </w:rPr>
              <w:t>Tata Steel</w:t>
            </w:r>
          </w:p>
        </w:tc>
        <w:tc>
          <w:tcPr>
            <w:tcW w:w="3120" w:type="dxa"/>
            <w:tcMar>
              <w:top w:w="100" w:type="dxa"/>
              <w:left w:w="100" w:type="dxa"/>
              <w:bottom w:w="100" w:type="dxa"/>
              <w:right w:w="100" w:type="dxa"/>
            </w:tcMar>
          </w:tcPr>
          <w:p w:rsidR="0063708E" w:rsidRDefault="00B649F4">
            <w:pPr>
              <w:widowControl w:val="0"/>
              <w:spacing w:after="0"/>
              <w:rPr>
                <w:b/>
                <w:bCs/>
              </w:rPr>
            </w:pPr>
            <w:r>
              <w:rPr>
                <w:b/>
                <w:bCs/>
              </w:rPr>
              <w:t>JSW Steel</w:t>
            </w:r>
          </w:p>
        </w:tc>
      </w:tr>
      <w:tr w:rsidR="0063708E">
        <w:tc>
          <w:tcPr>
            <w:tcW w:w="3120" w:type="dxa"/>
            <w:tcMar>
              <w:top w:w="100" w:type="dxa"/>
              <w:left w:w="100" w:type="dxa"/>
              <w:bottom w:w="100" w:type="dxa"/>
              <w:right w:w="100" w:type="dxa"/>
            </w:tcMar>
          </w:tcPr>
          <w:p w:rsidR="0063708E" w:rsidRDefault="00B649F4">
            <w:pPr>
              <w:widowControl w:val="0"/>
              <w:spacing w:after="0"/>
            </w:pPr>
            <w:r>
              <w:t xml:space="preserve">Deliveries / Revenue </w:t>
            </w:r>
          </w:p>
        </w:tc>
        <w:tc>
          <w:tcPr>
            <w:tcW w:w="3120" w:type="dxa"/>
            <w:tcMar>
              <w:top w:w="100" w:type="dxa"/>
              <w:left w:w="100" w:type="dxa"/>
              <w:bottom w:w="100" w:type="dxa"/>
              <w:right w:w="100" w:type="dxa"/>
            </w:tcMar>
          </w:tcPr>
          <w:p w:rsidR="0063708E" w:rsidRDefault="00B649F4">
            <w:pPr>
              <w:widowControl w:val="0"/>
              <w:spacing w:after="0"/>
            </w:pPr>
            <w:r>
              <w:t xml:space="preserve">31.97 MT / ₹2,32,140 Cr </w:t>
            </w:r>
          </w:p>
        </w:tc>
        <w:tc>
          <w:tcPr>
            <w:tcW w:w="3120" w:type="dxa"/>
            <w:tcMar>
              <w:top w:w="100" w:type="dxa"/>
              <w:left w:w="100" w:type="dxa"/>
              <w:bottom w:w="100" w:type="dxa"/>
              <w:right w:w="100" w:type="dxa"/>
            </w:tcMar>
          </w:tcPr>
          <w:p w:rsidR="0063708E" w:rsidRDefault="00B649F4">
            <w:pPr>
              <w:widowControl w:val="0"/>
              <w:spacing w:after="0"/>
            </w:pPr>
            <w:r>
              <w:t xml:space="preserve">29.63 MT / ₹1,85,470 Cr </w:t>
            </w:r>
          </w:p>
        </w:tc>
      </w:tr>
      <w:tr w:rsidR="0063708E">
        <w:tc>
          <w:tcPr>
            <w:tcW w:w="3120" w:type="dxa"/>
            <w:tcMar>
              <w:top w:w="100" w:type="dxa"/>
              <w:left w:w="100" w:type="dxa"/>
              <w:bottom w:w="100" w:type="dxa"/>
              <w:right w:w="100" w:type="dxa"/>
            </w:tcMar>
          </w:tcPr>
          <w:p w:rsidR="0063708E" w:rsidRDefault="00B649F4">
            <w:pPr>
              <w:widowControl w:val="0"/>
              <w:spacing w:after="0"/>
            </w:pPr>
            <w:r>
              <w:t xml:space="preserve">EBITDA / OPM </w:t>
            </w:r>
          </w:p>
        </w:tc>
        <w:tc>
          <w:tcPr>
            <w:tcW w:w="3120" w:type="dxa"/>
            <w:tcMar>
              <w:top w:w="100" w:type="dxa"/>
              <w:left w:w="100" w:type="dxa"/>
              <w:bottom w:w="100" w:type="dxa"/>
              <w:right w:w="100" w:type="dxa"/>
            </w:tcMar>
          </w:tcPr>
          <w:p w:rsidR="0063708E" w:rsidRDefault="00B649F4">
            <w:pPr>
              <w:widowControl w:val="0"/>
              <w:spacing w:after="0"/>
            </w:pPr>
            <w:r>
              <w:t xml:space="preserve">₹34,848 Cr (~15.0%) </w:t>
            </w:r>
          </w:p>
        </w:tc>
        <w:tc>
          <w:tcPr>
            <w:tcW w:w="3120" w:type="dxa"/>
            <w:tcMar>
              <w:top w:w="100" w:type="dxa"/>
              <w:left w:w="100" w:type="dxa"/>
              <w:bottom w:w="100" w:type="dxa"/>
              <w:right w:w="100" w:type="dxa"/>
            </w:tcMar>
          </w:tcPr>
          <w:p w:rsidR="0063708E" w:rsidRDefault="00B649F4">
            <w:pPr>
              <w:widowControl w:val="0"/>
              <w:spacing w:after="0"/>
            </w:pPr>
            <w:r>
              <w:t xml:space="preserve">₹29,821 Cr (~16.1%) </w:t>
            </w:r>
          </w:p>
        </w:tc>
      </w:tr>
      <w:tr w:rsidR="0063708E">
        <w:tc>
          <w:tcPr>
            <w:tcW w:w="3120" w:type="dxa"/>
            <w:tcMar>
              <w:top w:w="100" w:type="dxa"/>
              <w:left w:w="100" w:type="dxa"/>
              <w:bottom w:w="100" w:type="dxa"/>
              <w:right w:w="100" w:type="dxa"/>
            </w:tcMar>
          </w:tcPr>
          <w:p w:rsidR="0063708E" w:rsidRDefault="00B649F4">
            <w:pPr>
              <w:widowControl w:val="0"/>
              <w:spacing w:after="0"/>
            </w:pPr>
            <w:r>
              <w:t xml:space="preserve">CO₂ Intensity Target </w:t>
            </w:r>
          </w:p>
        </w:tc>
        <w:tc>
          <w:tcPr>
            <w:tcW w:w="3120" w:type="dxa"/>
            <w:tcMar>
              <w:top w:w="100" w:type="dxa"/>
              <w:left w:w="100" w:type="dxa"/>
              <w:bottom w:w="100" w:type="dxa"/>
              <w:right w:w="100" w:type="dxa"/>
            </w:tcMar>
          </w:tcPr>
          <w:p w:rsidR="0063708E" w:rsidRDefault="00B649F4">
            <w:pPr>
              <w:widowControl w:val="0"/>
              <w:spacing w:after="0"/>
            </w:pPr>
            <w:r>
              <w:t xml:space="preserve">&lt;0.3 </w:t>
            </w:r>
            <w:proofErr w:type="spellStart"/>
            <w:r>
              <w:t>tCO</w:t>
            </w:r>
            <w:proofErr w:type="spellEnd"/>
            <w:r>
              <w:t>₂/</w:t>
            </w:r>
            <w:proofErr w:type="spellStart"/>
            <w:r>
              <w:t>tcs</w:t>
            </w:r>
            <w:proofErr w:type="spellEnd"/>
            <w:r>
              <w:t xml:space="preserve"> (Ludhiana EAF) </w:t>
            </w:r>
          </w:p>
        </w:tc>
        <w:tc>
          <w:tcPr>
            <w:tcW w:w="3120" w:type="dxa"/>
            <w:tcMar>
              <w:top w:w="100" w:type="dxa"/>
              <w:left w:w="100" w:type="dxa"/>
              <w:bottom w:w="100" w:type="dxa"/>
              <w:right w:w="100" w:type="dxa"/>
            </w:tcMar>
          </w:tcPr>
          <w:p w:rsidR="0063708E" w:rsidRDefault="00B649F4">
            <w:pPr>
              <w:widowControl w:val="0"/>
              <w:spacing w:after="0"/>
            </w:pPr>
            <w:r>
              <w:t xml:space="preserve">~1.95 </w:t>
            </w:r>
            <w:proofErr w:type="spellStart"/>
            <w:r>
              <w:t>tCO</w:t>
            </w:r>
            <w:proofErr w:type="spellEnd"/>
            <w:r>
              <w:t>₂/</w:t>
            </w:r>
            <w:proofErr w:type="spellStart"/>
            <w:r>
              <w:t>tcs</w:t>
            </w:r>
            <w:proofErr w:type="spellEnd"/>
            <w:r>
              <w:t xml:space="preserve"> target (FY30) </w:t>
            </w:r>
          </w:p>
        </w:tc>
      </w:tr>
    </w:tbl>
    <w:p w:rsidR="0063708E" w:rsidRDefault="00B649F4">
      <w:pPr>
        <w:jc w:val="center"/>
        <w:rPr>
          <w:b/>
          <w:bCs/>
        </w:rPr>
      </w:pPr>
      <w:r>
        <w:rPr>
          <w:b/>
          <w:bCs/>
        </w:rPr>
        <w:t>Table 3: Competitive market scenario</w:t>
      </w:r>
    </w:p>
    <w:p w:rsidR="0063708E" w:rsidRDefault="00B649F4">
      <w:pPr>
        <w:jc w:val="center"/>
      </w:pPr>
      <w:r>
        <w:t>(Source: Tata Steel, 2026; JSW Steel, 2026)</w:t>
      </w:r>
    </w:p>
    <w:p w:rsidR="0063708E" w:rsidRDefault="00B649F4">
      <w:pPr>
        <w:jc w:val="center"/>
      </w:pPr>
      <w:r>
        <w:rPr>
          <w:noProof/>
        </w:rPr>
        <w:lastRenderedPageBreak/>
        <w:drawing>
          <wp:inline distT="114300" distB="114300" distL="114300" distR="114300" wp14:anchorId="09EEE5D3" wp14:editId="2CF39706">
            <wp:extent cx="5929083" cy="3044142"/>
            <wp:effectExtent l="19050" t="19050" r="14605" b="23495"/>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3051595"/>
                    </a:xfrm>
                    <a:prstGeom prst="rect">
                      <a:avLst/>
                    </a:prstGeom>
                    <a:ln w="12700">
                      <a:solidFill>
                        <a:srgbClr val="000000"/>
                      </a:solidFill>
                      <a:prstDash val="solid"/>
                    </a:ln>
                  </pic:spPr>
                </pic:pic>
              </a:graphicData>
            </a:graphic>
          </wp:inline>
        </w:drawing>
      </w:r>
    </w:p>
    <w:p w:rsidR="0063708E" w:rsidRDefault="00B649F4">
      <w:pPr>
        <w:jc w:val="center"/>
        <w:rPr>
          <w:b/>
          <w:bCs/>
        </w:rPr>
      </w:pPr>
      <w:r>
        <w:rPr>
          <w:b/>
          <w:bCs/>
        </w:rPr>
        <w:t>Figure 7: Comparing Tata Steel with JSW Steel</w:t>
      </w:r>
    </w:p>
    <w:p w:rsidR="0063708E" w:rsidRDefault="00B649F4">
      <w:pPr>
        <w:jc w:val="center"/>
      </w:pPr>
      <w:r>
        <w:t>(Source: Self-developed)</w:t>
      </w:r>
    </w:p>
    <w:p w:rsidR="0063708E" w:rsidRDefault="00B649F4">
      <w:pPr>
        <w:jc w:val="center"/>
      </w:pPr>
      <w:r>
        <w:rPr>
          <w:noProof/>
        </w:rPr>
        <w:drawing>
          <wp:inline distT="114300" distB="114300" distL="114300" distR="114300" wp14:anchorId="17F58854" wp14:editId="417BB0C1">
            <wp:extent cx="4314825" cy="3495675"/>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l="15385" r="12019"/>
                    <a:stretch>
                      <a:fillRect/>
                    </a:stretch>
                  </pic:blipFill>
                  <pic:spPr>
                    <a:xfrm>
                      <a:off x="0" y="0"/>
                      <a:ext cx="4314825" cy="3495675"/>
                    </a:xfrm>
                    <a:prstGeom prst="rect">
                      <a:avLst/>
                    </a:prstGeom>
                    <a:ln w="12700">
                      <a:solidFill>
                        <a:srgbClr val="000000"/>
                      </a:solidFill>
                      <a:prstDash val="solid"/>
                    </a:ln>
                  </pic:spPr>
                </pic:pic>
              </a:graphicData>
            </a:graphic>
          </wp:inline>
        </w:drawing>
      </w:r>
    </w:p>
    <w:p w:rsidR="0063708E" w:rsidRDefault="00B649F4">
      <w:pPr>
        <w:jc w:val="center"/>
        <w:rPr>
          <w:b/>
          <w:bCs/>
        </w:rPr>
      </w:pPr>
      <w:r>
        <w:rPr>
          <w:b/>
          <w:bCs/>
        </w:rPr>
        <w:t>Figure 8: Applying Keller’s Customer-Based Brand Equity (CBBE) Pyrami</w:t>
      </w:r>
      <w:r>
        <w:rPr>
          <w:b/>
          <w:bCs/>
        </w:rPr>
        <w:t xml:space="preserve">d </w:t>
      </w:r>
    </w:p>
    <w:p w:rsidR="0063708E" w:rsidRDefault="00B649F4">
      <w:pPr>
        <w:jc w:val="center"/>
      </w:pPr>
      <w:r>
        <w:t xml:space="preserve">(Source: Influenced by </w:t>
      </w:r>
      <w:proofErr w:type="spellStart"/>
      <w:r>
        <w:t>Bukhari</w:t>
      </w:r>
      <w:proofErr w:type="spellEnd"/>
      <w:r>
        <w:t xml:space="preserve"> and </w:t>
      </w:r>
      <w:proofErr w:type="spellStart"/>
      <w:r>
        <w:t>Bukhari</w:t>
      </w:r>
      <w:proofErr w:type="spellEnd"/>
      <w:r>
        <w:t>, 2025)</w:t>
      </w:r>
    </w:p>
    <w:p w:rsidR="0063708E" w:rsidRDefault="00B649F4">
      <w:r>
        <w:lastRenderedPageBreak/>
        <w:t>The data indicate</w:t>
      </w:r>
      <w:r>
        <w:t xml:space="preserve">s that top-line scale is effective for cash flow generation while reserving funds for green </w:t>
      </w:r>
      <w:proofErr w:type="spellStart"/>
      <w:r>
        <w:t>CapEx</w:t>
      </w:r>
      <w:proofErr w:type="spellEnd"/>
      <w:r>
        <w:t>. On the other hand, high operational profitability is the main driving factor for EAF</w:t>
      </w:r>
      <w:r>
        <w:t xml:space="preserve"> and CCUS research and development. Nonetheless, the Ludhiana EAF has established an industry benchmark in low-carbon steel production. </w:t>
      </w:r>
    </w:p>
    <w:p w:rsidR="0063708E" w:rsidRDefault="00B649F4">
      <w:pPr>
        <w:pStyle w:val="Heading2"/>
      </w:pPr>
      <w:bookmarkStart w:id="16" w:name="_Toc243569062"/>
      <w:r>
        <w:t>2.3 Brief Strategic Synthesis</w:t>
      </w:r>
      <w:bookmarkEnd w:id="16"/>
      <w:r>
        <w:t xml:space="preserve"> </w:t>
      </w:r>
    </w:p>
    <w:p w:rsidR="0063708E" w:rsidRDefault="00B649F4">
      <w:r>
        <w:t>Tata Steel operates through first-mover green initiatives following the Climate Action f</w:t>
      </w:r>
      <w:r>
        <w:t>ramework that establishes market salience while driving technical performance and certified regulatory compliance. The systematic progression helped to develop B2B trust and climate risk control while achieving long-term co-development partnerships to inte</w:t>
      </w:r>
      <w:r>
        <w:t xml:space="preserve">grate the customer </w:t>
      </w:r>
      <w:proofErr w:type="spellStart"/>
      <w:r>
        <w:t>decarbonisation</w:t>
      </w:r>
      <w:proofErr w:type="spellEnd"/>
      <w:r>
        <w:t xml:space="preserve"> roadmaps. </w:t>
      </w:r>
    </w:p>
    <w:p w:rsidR="0063708E" w:rsidRDefault="00B649F4">
      <w:r>
        <w:br w:type="page"/>
      </w:r>
    </w:p>
    <w:p w:rsidR="0063708E" w:rsidRDefault="00B649F4">
      <w:pPr>
        <w:pStyle w:val="Heading1"/>
      </w:pPr>
      <w:bookmarkStart w:id="17" w:name="_Toc243569063"/>
      <w:r>
        <w:lastRenderedPageBreak/>
        <w:t>Task 3: Managerial and Professional Reflection</w:t>
      </w:r>
      <w:bookmarkEnd w:id="17"/>
      <w:r>
        <w:t> </w:t>
      </w:r>
    </w:p>
    <w:p w:rsidR="0063708E" w:rsidRDefault="00B649F4">
      <w:pPr>
        <w:pStyle w:val="Heading2"/>
      </w:pPr>
      <w:bookmarkStart w:id="18" w:name="_Toc243569064"/>
      <w:r>
        <w:t>3.1 Rationale for Company Selection</w:t>
      </w:r>
      <w:bookmarkEnd w:id="18"/>
    </w:p>
    <w:p w:rsidR="0063708E" w:rsidRDefault="00B649F4">
      <w:r>
        <w:t xml:space="preserve">The selection of Tata Steel is supported by its high-impact performance involving carbon-intensive production that helped to navigate strict global </w:t>
      </w:r>
      <w:proofErr w:type="spellStart"/>
      <w:r>
        <w:t>decarbonisation</w:t>
      </w:r>
      <w:proofErr w:type="spellEnd"/>
      <w:r>
        <w:t xml:space="preserve"> mandates. The multiregional operations, target of Net Zero by 2045</w:t>
      </w:r>
      <w:r>
        <w:t xml:space="preserve"> and transition from co</w:t>
      </w:r>
      <w:r>
        <w:t xml:space="preserve">al-based Blast Furnace to Electric Arc furnaces (EAF) provided a strong empirical business scenario to evaluate ESG strategies supported by industrial </w:t>
      </w:r>
      <w:proofErr w:type="spellStart"/>
      <w:r>
        <w:t>decarbonisation</w:t>
      </w:r>
      <w:proofErr w:type="spellEnd"/>
      <w:r>
        <w:t xml:space="preserve"> pathways. Tata Steel is aiming to decrease the CO2 emission by 2 </w:t>
      </w:r>
      <w:proofErr w:type="spellStart"/>
      <w:r>
        <w:t>tonnes</w:t>
      </w:r>
      <w:proofErr w:type="spellEnd"/>
      <w:r>
        <w:t xml:space="preserve"> per </w:t>
      </w:r>
      <w:proofErr w:type="spellStart"/>
      <w:r>
        <w:t>tonne</w:t>
      </w:r>
      <w:proofErr w:type="spellEnd"/>
      <w:r>
        <w:t xml:space="preserve"> of crud</w:t>
      </w:r>
      <w:r>
        <w:t>e steel.</w:t>
      </w:r>
    </w:p>
    <w:p w:rsidR="0063708E" w:rsidRDefault="00B649F4">
      <w:pPr>
        <w:pStyle w:val="Heading2"/>
      </w:pPr>
      <w:bookmarkStart w:id="19" w:name="_Toc243569065"/>
      <w:r>
        <w:t>3.2 Reflection on Environmental Analysis Decision</w:t>
      </w:r>
      <w:bookmarkEnd w:id="19"/>
    </w:p>
    <w:p w:rsidR="0063708E" w:rsidRDefault="00B649F4">
      <w:pPr>
        <w:spacing w:before="240" w:after="240"/>
        <w:rPr>
          <w:color w:val="000000"/>
        </w:rPr>
      </w:pPr>
      <w:r>
        <w:rPr>
          <w:color w:val="000000"/>
        </w:rPr>
        <w:t>As external environmental actors, political, legal, and environmental actors have been chosen to understand how external factors are forcing Tata Steel to adopt energy-efficient steelmaking methods</w:t>
      </w:r>
      <w:r>
        <w:rPr>
          <w:color w:val="000000"/>
        </w:rPr>
        <w:t>. As I engaged in evaluating my actions in this assignment, I understood that these three external environmental actors are interconnected. Especially, political agenda enact legal actions, such as compliance fees, taxes, or restricted access to a highly-p</w:t>
      </w:r>
      <w:r>
        <w:rPr>
          <w:color w:val="000000"/>
        </w:rPr>
        <w:t xml:space="preserve">rofitable market, which help businesses comprehend the repercussions of their environmental actions, and develop an effective </w:t>
      </w:r>
      <w:proofErr w:type="spellStart"/>
      <w:r>
        <w:rPr>
          <w:color w:val="000000"/>
        </w:rPr>
        <w:t>decarbonisation</w:t>
      </w:r>
      <w:proofErr w:type="spellEnd"/>
      <w:r>
        <w:rPr>
          <w:color w:val="000000"/>
        </w:rPr>
        <w:t xml:space="preserve"> framework.  </w:t>
      </w:r>
    </w:p>
    <w:p w:rsidR="0063708E" w:rsidRDefault="00B649F4">
      <w:pPr>
        <w:pStyle w:val="Heading2"/>
      </w:pPr>
      <w:bookmarkStart w:id="20" w:name="_Toc243569066"/>
      <w:r>
        <w:t>3.3 Reflection on Strategic Growth Decisions</w:t>
      </w:r>
      <w:bookmarkEnd w:id="20"/>
      <w:r>
        <w:t xml:space="preserve"> </w:t>
      </w:r>
    </w:p>
    <w:p w:rsidR="0063708E" w:rsidRDefault="00B649F4">
      <w:pPr>
        <w:spacing w:before="240" w:after="240"/>
        <w:rPr>
          <w:color w:val="000000"/>
        </w:rPr>
      </w:pPr>
      <w:r>
        <w:rPr>
          <w:color w:val="000000"/>
        </w:rPr>
        <w:t xml:space="preserve">Mapping out strategic growth applying the </w:t>
      </w:r>
      <w:proofErr w:type="spellStart"/>
      <w:r>
        <w:rPr>
          <w:color w:val="000000"/>
        </w:rPr>
        <w:t>Ansoff</w:t>
      </w:r>
      <w:proofErr w:type="spellEnd"/>
      <w:r>
        <w:rPr>
          <w:color w:val="000000"/>
        </w:rPr>
        <w:t xml:space="preserve"> matrix</w:t>
      </w:r>
      <w:r>
        <w:rPr>
          <w:color w:val="000000"/>
        </w:rPr>
        <w:t xml:space="preserve"> helped to identify risks associated with both product and market development. Also, application of the Product Lifecycle theory helped to comprehend the feasibility of EAF to replace conventional blast-furnace.  Most importantly, the application of the th</w:t>
      </w:r>
      <w:r>
        <w:rPr>
          <w:color w:val="000000"/>
        </w:rPr>
        <w:t xml:space="preserve">eoretical frameworks underscored the importance of undergoing a strategic transformation by mitigating risk. The Gibbs reflective model helped me to identify </w:t>
      </w:r>
      <w:r>
        <w:t>and evaluate the recent strategy followed by Tata Steel. Gibbs reflective model has helped me to d</w:t>
      </w:r>
      <w:r>
        <w:t xml:space="preserve">escribe and </w:t>
      </w:r>
      <w:proofErr w:type="spellStart"/>
      <w:r>
        <w:t>analyse</w:t>
      </w:r>
      <w:proofErr w:type="spellEnd"/>
      <w:r>
        <w:t xml:space="preserve"> the marketing environment position of Tata Steel in recent times. Also Gibbs reflective model has also helped me to come down to the conclusion</w:t>
      </w:r>
      <w:r>
        <w:rPr>
          <w:color w:val="000000"/>
        </w:rPr>
        <w:t xml:space="preserve"> </w:t>
      </w:r>
      <w:r>
        <w:rPr>
          <w:color w:val="000000"/>
        </w:rPr>
        <w:t>that Tata Steel must advance its technological capacity to implement green hydrogen-based</w:t>
      </w:r>
      <w:r>
        <w:rPr>
          <w:color w:val="000000"/>
        </w:rPr>
        <w:t xml:space="preserve"> DRI and develop its own supply chain to procure adequate scrap steel to implement the circular economy. </w:t>
      </w:r>
    </w:p>
    <w:p w:rsidR="0063708E" w:rsidRDefault="00B649F4">
      <w:pPr>
        <w:pStyle w:val="Heading2"/>
      </w:pPr>
      <w:bookmarkStart w:id="21" w:name="_Toc243569067"/>
      <w:r>
        <w:lastRenderedPageBreak/>
        <w:t>3.4 Limitations and Gaps in the Analysis</w:t>
      </w:r>
      <w:bookmarkEnd w:id="21"/>
      <w:r>
        <w:t xml:space="preserve"> </w:t>
      </w:r>
    </w:p>
    <w:p w:rsidR="0063708E" w:rsidRDefault="00B649F4">
      <w:pPr>
        <w:spacing w:before="240" w:after="240"/>
        <w:rPr>
          <w:color w:val="000000"/>
        </w:rPr>
      </w:pPr>
      <w:r>
        <w:rPr>
          <w:color w:val="000000"/>
        </w:rPr>
        <w:t>While developing this report, I understood that instead of adopting a secondary research creates certain gap</w:t>
      </w:r>
      <w:r>
        <w:rPr>
          <w:color w:val="000000"/>
        </w:rPr>
        <w:t>s in the finding, as the findings are presented based on the information published in the industry reports, Tata Steel’s sustainability report, and annual reports. There is always a possibility that industry reports and Tata Steel’s internal audits would b</w:t>
      </w:r>
      <w:r>
        <w:rPr>
          <w:color w:val="000000"/>
        </w:rPr>
        <w:t xml:space="preserve">e motivated to conceal repercussions of strategic decisions and their drawbacks, highlighting only positive aspects of sustainability initiatives. Therefore, secondary research may have led to a limited and biased overview of the </w:t>
      </w:r>
      <w:proofErr w:type="spellStart"/>
      <w:r>
        <w:rPr>
          <w:color w:val="000000"/>
        </w:rPr>
        <w:t>decarbonisation</w:t>
      </w:r>
      <w:proofErr w:type="spellEnd"/>
      <w:r>
        <w:rPr>
          <w:color w:val="000000"/>
        </w:rPr>
        <w:t xml:space="preserve"> initiative</w:t>
      </w:r>
      <w:r>
        <w:rPr>
          <w:color w:val="000000"/>
        </w:rPr>
        <w:t>s. I conclude that primary research would have helped to overcome these limitations by collecting insights and opinions directly from the employees, stakeholders, and managers to understand how external factors are compelling Tata Steel to transition to en</w:t>
      </w:r>
      <w:r>
        <w:rPr>
          <w:color w:val="000000"/>
        </w:rPr>
        <w:t xml:space="preserve">vironment-friendly products. </w:t>
      </w:r>
    </w:p>
    <w:p w:rsidR="0063708E" w:rsidRDefault="00B649F4">
      <w:pPr>
        <w:pStyle w:val="Heading2"/>
      </w:pPr>
      <w:bookmarkStart w:id="22" w:name="_Toc243569068"/>
      <w:r>
        <w:t>3.5 Information Required Before Final Recommendation</w:t>
      </w:r>
      <w:bookmarkEnd w:id="22"/>
      <w:r>
        <w:t xml:space="preserve"> </w:t>
      </w:r>
    </w:p>
    <w:p w:rsidR="0063708E" w:rsidRDefault="00B649F4">
      <w:pPr>
        <w:spacing w:before="240" w:after="240"/>
        <w:rPr>
          <w:color w:val="000000"/>
        </w:rPr>
      </w:pPr>
      <w:r>
        <w:rPr>
          <w:color w:val="000000"/>
        </w:rPr>
        <w:t xml:space="preserve">In a practical scenario, I would strongly suggest a real consultant to evaluate the growth scope of green steel components against required </w:t>
      </w:r>
      <w:proofErr w:type="spellStart"/>
      <w:r>
        <w:rPr>
          <w:color w:val="000000"/>
        </w:rPr>
        <w:t>CapEx</w:t>
      </w:r>
      <w:proofErr w:type="spellEnd"/>
      <w:r>
        <w:rPr>
          <w:color w:val="000000"/>
        </w:rPr>
        <w:t>, industry trends, durabili</w:t>
      </w:r>
      <w:r>
        <w:rPr>
          <w:color w:val="000000"/>
        </w:rPr>
        <w:t xml:space="preserve">ty of the energy-efficient products, compare ROI expectations, and conduct a thorough competitor benchmarking to ensure that Tata Steels transition to green and carbon-neutral products are successful. Also, a consultant must consider the highly fragmented </w:t>
      </w:r>
      <w:r>
        <w:rPr>
          <w:color w:val="000000"/>
        </w:rPr>
        <w:t xml:space="preserve">nature of India’s supply chain networks and conduct financial growth projections before presenting final recommendations to a real-life firm. </w:t>
      </w:r>
    </w:p>
    <w:p w:rsidR="0063708E" w:rsidRDefault="00B649F4">
      <w:pPr>
        <w:pStyle w:val="Heading2"/>
      </w:pPr>
      <w:bookmarkStart w:id="23" w:name="_Toc243569069"/>
      <w:r>
        <w:t>3.6 Professional Learning and Reflection</w:t>
      </w:r>
      <w:bookmarkEnd w:id="23"/>
      <w:r>
        <w:t xml:space="preserve"> </w:t>
      </w:r>
    </w:p>
    <w:p w:rsidR="0063708E" w:rsidRDefault="00B649F4">
      <w:pPr>
        <w:spacing w:before="240" w:after="240"/>
        <w:rPr>
          <w:color w:val="000000"/>
        </w:rPr>
      </w:pPr>
      <w:r>
        <w:rPr>
          <w:color w:val="000000"/>
        </w:rPr>
        <w:t>Professionally, I think it is critical to learn to make sense of financ</w:t>
      </w:r>
      <w:r>
        <w:rPr>
          <w:color w:val="000000"/>
        </w:rPr>
        <w:t xml:space="preserve">ial data correctly to properly understand industry trends and identify challenges. Personally, I would like to strengthen my decision-making capability and data </w:t>
      </w:r>
      <w:proofErr w:type="spellStart"/>
      <w:r>
        <w:rPr>
          <w:color w:val="000000"/>
        </w:rPr>
        <w:t>synthesising</w:t>
      </w:r>
      <w:proofErr w:type="spellEnd"/>
      <w:r>
        <w:rPr>
          <w:color w:val="000000"/>
        </w:rPr>
        <w:t xml:space="preserve">. </w:t>
      </w:r>
    </w:p>
    <w:p w:rsidR="0063708E" w:rsidRDefault="0063708E"/>
    <w:p w:rsidR="0063708E" w:rsidRDefault="00B649F4">
      <w:r>
        <w:br w:type="page"/>
      </w:r>
    </w:p>
    <w:p w:rsidR="0063708E" w:rsidRDefault="00B649F4">
      <w:pPr>
        <w:pStyle w:val="Heading1"/>
      </w:pPr>
      <w:bookmarkStart w:id="24" w:name="_Toc243569070"/>
      <w:r>
        <w:lastRenderedPageBreak/>
        <w:t>Reference list</w:t>
      </w:r>
      <w:bookmarkEnd w:id="24"/>
    </w:p>
    <w:p w:rsidR="0063708E" w:rsidRDefault="00B649F4">
      <w:pPr>
        <w:spacing w:before="240" w:after="0"/>
        <w:rPr>
          <w:color w:val="000000"/>
        </w:rPr>
      </w:pPr>
      <w:r>
        <w:rPr>
          <w:color w:val="000000"/>
        </w:rPr>
        <w:t>Acumen Group, (2026).</w:t>
      </w:r>
      <w:r>
        <w:rPr>
          <w:color w:val="0066AA"/>
        </w:rPr>
        <w:t xml:space="preserve"> </w:t>
      </w:r>
      <w:r>
        <w:rPr>
          <w:i/>
          <w:iCs/>
          <w:color w:val="000000"/>
        </w:rPr>
        <w:t>Tata Steel Share Price Analysis 2026: Fu</w:t>
      </w:r>
      <w:r>
        <w:rPr>
          <w:i/>
          <w:iCs/>
          <w:color w:val="000000"/>
        </w:rPr>
        <w:t xml:space="preserve">ndamentals, Valuation, Risks &amp; Investment </w:t>
      </w:r>
      <w:proofErr w:type="gramStart"/>
      <w:r>
        <w:rPr>
          <w:i/>
          <w:iCs/>
          <w:color w:val="000000"/>
        </w:rPr>
        <w:t>Outlook </w:t>
      </w:r>
      <w:r>
        <w:rPr>
          <w:color w:val="000000"/>
        </w:rPr>
        <w:t>.</w:t>
      </w:r>
      <w:proofErr w:type="gramEnd"/>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16">
        <w:r>
          <w:rPr>
            <w:color w:val="0000FF"/>
            <w:u w:val="single"/>
          </w:rPr>
          <w:t>https://acumengroup.in/tata-steel-share-price-analysis/</w:t>
        </w:r>
      </w:hyperlink>
      <w:r>
        <w:rPr>
          <w:color w:val="000000"/>
        </w:rPr>
        <w:t xml:space="preserve"> [Accessed on: 17/09/2026]</w:t>
      </w:r>
    </w:p>
    <w:p w:rsidR="0063708E" w:rsidRDefault="00B649F4">
      <w:pPr>
        <w:spacing w:before="240" w:after="0"/>
      </w:pPr>
      <w:proofErr w:type="spellStart"/>
      <w:r>
        <w:t>Bukhari</w:t>
      </w:r>
      <w:proofErr w:type="spellEnd"/>
      <w:r>
        <w:t xml:space="preserve">, S.N.Z. and </w:t>
      </w:r>
      <w:proofErr w:type="spellStart"/>
      <w:r>
        <w:t>Buk</w:t>
      </w:r>
      <w:r>
        <w:t>hari</w:t>
      </w:r>
      <w:proofErr w:type="spellEnd"/>
      <w:r>
        <w:t xml:space="preserve">, S.A.A., (2025). </w:t>
      </w:r>
      <w:proofErr w:type="gramStart"/>
      <w:r>
        <w:t>Customer-Based Islamic Brand Equity (CBIBE) Pyramid.</w:t>
      </w:r>
      <w:proofErr w:type="gramEnd"/>
      <w:r>
        <w:t xml:space="preserve"> </w:t>
      </w:r>
      <w:proofErr w:type="gramStart"/>
      <w:r>
        <w:rPr>
          <w:i/>
          <w:iCs/>
        </w:rPr>
        <w:t>Journal of Climate and Community Development</w:t>
      </w:r>
      <w:r>
        <w:t xml:space="preserve">, </w:t>
      </w:r>
      <w:r>
        <w:rPr>
          <w:i/>
          <w:iCs/>
        </w:rPr>
        <w:t>4</w:t>
      </w:r>
      <w:r>
        <w:t>(1), pp.78-90.</w:t>
      </w:r>
      <w:proofErr w:type="gramEnd"/>
    </w:p>
    <w:p w:rsidR="0063708E" w:rsidRDefault="00B649F4">
      <w:pPr>
        <w:spacing w:before="240" w:after="0"/>
      </w:pPr>
      <w:proofErr w:type="gramStart"/>
      <w:r>
        <w:t>Business Today (2026).</w:t>
      </w:r>
      <w:proofErr w:type="gramEnd"/>
      <w:r>
        <w:t xml:space="preserve"> </w:t>
      </w:r>
      <w:r>
        <w:rPr>
          <w:i/>
          <w:iCs/>
        </w:rPr>
        <w:t>Tata Steel seeks fresh UK government funding as Port Talbot project faces delays.</w:t>
      </w:r>
      <w:r>
        <w:t xml:space="preserve"> </w:t>
      </w:r>
      <w:proofErr w:type="gramStart"/>
      <w:r>
        <w:t>[Online].</w:t>
      </w:r>
      <w:proofErr w:type="gramEnd"/>
      <w:r>
        <w:t xml:space="preserve"> Avai</w:t>
      </w:r>
      <w:r>
        <w:t>lable at:</w:t>
      </w:r>
      <w:hyperlink r:id="rId17">
        <w:r>
          <w:t xml:space="preserve"> </w:t>
        </w:r>
      </w:hyperlink>
      <w:hyperlink r:id="rId18">
        <w:r>
          <w:rPr>
            <w:color w:val="1155CC"/>
            <w:u w:val="single"/>
          </w:rPr>
          <w:t>https://www.businesstoday.in/latest/corporate/story/tata-steel-seeks-fresh-uk-government-funding-as-port-talbot-project-faces-delays-556642-2026-09-19</w:t>
        </w:r>
      </w:hyperlink>
      <w:r>
        <w:t xml:space="preserve"> [Accessed o</w:t>
      </w:r>
      <w:r>
        <w:t>n: 13/09/2026]</w:t>
      </w:r>
    </w:p>
    <w:p w:rsidR="0063708E" w:rsidRDefault="00B649F4">
      <w:pPr>
        <w:spacing w:before="240" w:after="0"/>
        <w:rPr>
          <w:b/>
          <w:bCs/>
          <w:i/>
          <w:iCs/>
          <w:color w:val="000000"/>
        </w:rPr>
      </w:pPr>
      <w:proofErr w:type="spellStart"/>
      <w:proofErr w:type="gramStart"/>
      <w:r>
        <w:rPr>
          <w:color w:val="000000"/>
        </w:rPr>
        <w:t>Chintan</w:t>
      </w:r>
      <w:proofErr w:type="spellEnd"/>
      <w:r>
        <w:rPr>
          <w:color w:val="000000"/>
        </w:rPr>
        <w:t xml:space="preserve"> Research Foundation, (2026).</w:t>
      </w:r>
      <w:proofErr w:type="gramEnd"/>
      <w:r>
        <w:rPr>
          <w:color w:val="0066AA"/>
        </w:rPr>
        <w:t xml:space="preserve"> </w:t>
      </w:r>
      <w:r>
        <w:rPr>
          <w:i/>
          <w:iCs/>
          <w:color w:val="000000"/>
        </w:rPr>
        <w:t xml:space="preserve">The Missing Half of India's Green Hydrogen Strategy: Why demand-side policy is essential to realize the NGHM's industrial </w:t>
      </w:r>
      <w:proofErr w:type="spellStart"/>
      <w:r>
        <w:rPr>
          <w:i/>
          <w:iCs/>
          <w:color w:val="000000"/>
        </w:rPr>
        <w:t>decarbonization</w:t>
      </w:r>
      <w:proofErr w:type="spellEnd"/>
      <w:r>
        <w:rPr>
          <w:i/>
          <w:iCs/>
          <w:color w:val="000000"/>
        </w:rPr>
        <w:t xml:space="preserve"> potential</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19">
        <w:r>
          <w:rPr>
            <w:color w:val="0000FF"/>
            <w:u w:val="single"/>
          </w:rPr>
          <w:t>https://www.crfindia.org/publications/issue-brief/the-missing-half-of-indias-green--hydrogen-strategy</w:t>
        </w:r>
      </w:hyperlink>
      <w:r>
        <w:rPr>
          <w:color w:val="000000"/>
        </w:rPr>
        <w:t xml:space="preserve"> [Accessed on: 20/09/2026]</w:t>
      </w:r>
    </w:p>
    <w:p w:rsidR="0063708E" w:rsidRDefault="00B649F4">
      <w:pPr>
        <w:spacing w:before="240" w:after="0"/>
      </w:pPr>
      <w:proofErr w:type="gramStart"/>
      <w:r>
        <w:t>CII (2026</w:t>
      </w:r>
      <w:r>
        <w:t>).</w:t>
      </w:r>
      <w:proofErr w:type="gramEnd"/>
      <w:r>
        <w:t xml:space="preserve"> </w:t>
      </w:r>
      <w:proofErr w:type="spellStart"/>
      <w:proofErr w:type="gramStart"/>
      <w:r>
        <w:rPr>
          <w:i/>
          <w:iCs/>
        </w:rPr>
        <w:t>Catalysing</w:t>
      </w:r>
      <w:proofErr w:type="spellEnd"/>
      <w:r>
        <w:rPr>
          <w:i/>
          <w:iCs/>
        </w:rPr>
        <w:t xml:space="preserve"> Demand for Green Steel through Public Procurement in India.</w:t>
      </w:r>
      <w:proofErr w:type="gramEnd"/>
      <w:r>
        <w:t xml:space="preserve"> </w:t>
      </w:r>
      <w:proofErr w:type="gramStart"/>
      <w:r>
        <w:t>[Online].</w:t>
      </w:r>
      <w:proofErr w:type="gramEnd"/>
      <w:r>
        <w:t xml:space="preserve"> Available at:</w:t>
      </w:r>
      <w:hyperlink r:id="rId20">
        <w:r>
          <w:t xml:space="preserve"> </w:t>
        </w:r>
      </w:hyperlink>
      <w:hyperlink r:id="rId21">
        <w:r>
          <w:rPr>
            <w:color w:val="1155CC"/>
            <w:u w:val="single"/>
          </w:rPr>
          <w:t>https://climatecatalyst.org/wp-content/uploads/2026/02/Catalysing-Demand-for-Green-Steel-through-Public-</w:t>
        </w:r>
        <w:r>
          <w:rPr>
            <w:color w:val="1155CC"/>
            <w:u w:val="single"/>
          </w:rPr>
          <w:t>Procurement-in-India-Report.pdf</w:t>
        </w:r>
      </w:hyperlink>
      <w:r>
        <w:t xml:space="preserve"> [Accessed on: 12/09/2026]</w:t>
      </w:r>
    </w:p>
    <w:p w:rsidR="0063708E" w:rsidRDefault="00B649F4">
      <w:pPr>
        <w:spacing w:before="240" w:after="0"/>
        <w:rPr>
          <w:color w:val="000000"/>
        </w:rPr>
      </w:pPr>
      <w:proofErr w:type="spellStart"/>
      <w:proofErr w:type="gramStart"/>
      <w:r>
        <w:rPr>
          <w:color w:val="000000"/>
        </w:rPr>
        <w:t>Fastmarkets</w:t>
      </w:r>
      <w:proofErr w:type="spellEnd"/>
      <w:r>
        <w:rPr>
          <w:color w:val="000000"/>
        </w:rPr>
        <w:t>, (2026).</w:t>
      </w:r>
      <w:proofErr w:type="gramEnd"/>
      <w:r>
        <w:rPr>
          <w:color w:val="0066AA"/>
        </w:rPr>
        <w:t xml:space="preserve"> </w:t>
      </w:r>
      <w:r>
        <w:rPr>
          <w:i/>
          <w:iCs/>
          <w:color w:val="000000"/>
        </w:rPr>
        <w:t>Iron ore quality decline meets green steel ambitions</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22">
        <w:r>
          <w:rPr>
            <w:color w:val="0000FF"/>
            <w:u w:val="single"/>
          </w:rPr>
          <w:t>https://www.fastmarkets.com/insights/iron-ore-quality-decline-meets-green-steel-ambitions/</w:t>
        </w:r>
      </w:hyperlink>
      <w:r>
        <w:rPr>
          <w:color w:val="000000"/>
        </w:rPr>
        <w:t xml:space="preserve"> [Accessed on: 18/09/2026]</w:t>
      </w:r>
    </w:p>
    <w:p w:rsidR="0063708E" w:rsidRDefault="00B649F4">
      <w:pPr>
        <w:spacing w:before="240" w:after="0"/>
        <w:rPr>
          <w:color w:val="000000"/>
        </w:rPr>
      </w:pPr>
      <w:proofErr w:type="gramStart"/>
      <w:r>
        <w:rPr>
          <w:color w:val="000000"/>
        </w:rPr>
        <w:t>Global Efficiency Intelligence, (2026).</w:t>
      </w:r>
      <w:proofErr w:type="gramEnd"/>
      <w:r>
        <w:rPr>
          <w:color w:val="0066AA"/>
        </w:rPr>
        <w:t xml:space="preserve"> </w:t>
      </w:r>
      <w:r>
        <w:rPr>
          <w:i/>
          <w:iCs/>
          <w:color w:val="000000"/>
        </w:rPr>
        <w:t>Steel Climate Impact 2025</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23">
        <w:r>
          <w:rPr>
            <w:color w:val="0000FF"/>
            <w:u w:val="single"/>
          </w:rPr>
          <w:t>https://static1.squarespace.com/static/5877e86f9de4bb8bce72105c/t/68f30ceebdbccf7dc6b7c877/1760759022538/Steel+benchmarking+-10.10</w:t>
        </w:r>
        <w:r>
          <w:rPr>
            <w:color w:val="0000FF"/>
            <w:u w:val="single"/>
          </w:rPr>
          <w:t>.2025-E.1.pdf</w:t>
        </w:r>
      </w:hyperlink>
      <w:r>
        <w:rPr>
          <w:color w:val="000000"/>
        </w:rPr>
        <w:t xml:space="preserve"> [Accessed on: 20/09/2026]</w:t>
      </w:r>
    </w:p>
    <w:p w:rsidR="0063708E" w:rsidRDefault="00B649F4">
      <w:pPr>
        <w:spacing w:before="240" w:after="0"/>
        <w:rPr>
          <w:color w:val="000000"/>
        </w:rPr>
      </w:pPr>
      <w:proofErr w:type="gramStart"/>
      <w:r>
        <w:rPr>
          <w:color w:val="000000"/>
        </w:rPr>
        <w:t>Global Efficiency Intelligence, (2026).</w:t>
      </w:r>
      <w:proofErr w:type="gramEnd"/>
      <w:r>
        <w:rPr>
          <w:color w:val="0066AA"/>
        </w:rPr>
        <w:t xml:space="preserve"> </w:t>
      </w:r>
      <w:proofErr w:type="gramStart"/>
      <w:r>
        <w:rPr>
          <w:i/>
          <w:iCs/>
          <w:color w:val="000000"/>
        </w:rPr>
        <w:t>The Impact of the EU CBAM on Global Steel Trade.</w:t>
      </w:r>
      <w:proofErr w:type="gramEnd"/>
      <w:r>
        <w:rPr>
          <w:i/>
          <w:iCs/>
          <w:color w:val="000000"/>
        </w:rPr>
        <w:t xml:space="preserve"> </w:t>
      </w:r>
      <w:proofErr w:type="gramStart"/>
      <w:r>
        <w:rPr>
          <w:color w:val="000000"/>
        </w:rPr>
        <w:t>[Online].</w:t>
      </w:r>
      <w:proofErr w:type="gramEnd"/>
      <w:r>
        <w:rPr>
          <w:color w:val="000000"/>
        </w:rPr>
        <w:t xml:space="preserve"> Available at</w:t>
      </w:r>
      <w:proofErr w:type="gramStart"/>
      <w:r>
        <w:rPr>
          <w:color w:val="000000"/>
        </w:rPr>
        <w:t>:.</w:t>
      </w:r>
      <w:proofErr w:type="gramEnd"/>
      <w:r>
        <w:rPr>
          <w:color w:val="000000"/>
        </w:rPr>
        <w:t xml:space="preserve"> </w:t>
      </w:r>
      <w:hyperlink r:id="rId24">
        <w:r>
          <w:rPr>
            <w:color w:val="0000FF"/>
            <w:u w:val="single"/>
          </w:rPr>
          <w:t>https://www.globalefficiencyintel.com/the-impact-of-the-eu-cbam-on-global-steel-trade</w:t>
        </w:r>
      </w:hyperlink>
      <w:r>
        <w:rPr>
          <w:color w:val="000000"/>
        </w:rPr>
        <w:t xml:space="preserve"> [Accessed on: 21/09/2026]</w:t>
      </w:r>
    </w:p>
    <w:p w:rsidR="0063708E" w:rsidRDefault="00B649F4">
      <w:pPr>
        <w:spacing w:before="240" w:after="0"/>
        <w:rPr>
          <w:i/>
          <w:iCs/>
          <w:color w:val="000000"/>
        </w:rPr>
      </w:pPr>
      <w:proofErr w:type="gramStart"/>
      <w:r>
        <w:rPr>
          <w:color w:val="000000"/>
        </w:rPr>
        <w:lastRenderedPageBreak/>
        <w:t>IBEF, (2026).</w:t>
      </w:r>
      <w:proofErr w:type="gramEnd"/>
      <w:r>
        <w:rPr>
          <w:color w:val="0066AA"/>
        </w:rPr>
        <w:t xml:space="preserve"> </w:t>
      </w:r>
      <w:r>
        <w:rPr>
          <w:i/>
          <w:iCs/>
          <w:color w:val="000000"/>
        </w:rPr>
        <w:t xml:space="preserve">Tata Steel inaugurates first scrap-based Electric Arc Furnace with </w:t>
      </w:r>
      <w:proofErr w:type="spellStart"/>
      <w:r>
        <w:rPr>
          <w:i/>
          <w:iCs/>
          <w:color w:val="000000"/>
        </w:rPr>
        <w:t>Rs</w:t>
      </w:r>
      <w:proofErr w:type="spellEnd"/>
      <w:r>
        <w:rPr>
          <w:i/>
          <w:iCs/>
          <w:color w:val="000000"/>
        </w:rPr>
        <w:t xml:space="preserve">. 3,200 </w:t>
      </w:r>
      <w:proofErr w:type="spellStart"/>
      <w:r>
        <w:rPr>
          <w:i/>
          <w:iCs/>
          <w:color w:val="000000"/>
        </w:rPr>
        <w:t>crore</w:t>
      </w:r>
      <w:proofErr w:type="spellEnd"/>
      <w:r>
        <w:rPr>
          <w:i/>
          <w:iCs/>
          <w:color w:val="000000"/>
        </w:rPr>
        <w:t xml:space="preserve"> (US$ 341.62 million) investment</w:t>
      </w:r>
      <w:r>
        <w:rPr>
          <w:color w:val="000000"/>
        </w:rPr>
        <w:t xml:space="preserve">. </w:t>
      </w:r>
      <w:proofErr w:type="gramStart"/>
      <w:r>
        <w:rPr>
          <w:color w:val="000000"/>
        </w:rPr>
        <w:t>[Online].</w:t>
      </w:r>
      <w:proofErr w:type="gramEnd"/>
      <w:r>
        <w:rPr>
          <w:color w:val="000000"/>
        </w:rPr>
        <w:t xml:space="preserve"> A</w:t>
      </w:r>
      <w:r>
        <w:rPr>
          <w:color w:val="000000"/>
        </w:rPr>
        <w:t>vailable at:</w:t>
      </w:r>
      <w:r>
        <w:rPr>
          <w:i/>
          <w:iCs/>
          <w:color w:val="000000"/>
        </w:rPr>
        <w:t xml:space="preserve"> </w:t>
      </w:r>
      <w:hyperlink r:id="rId25">
        <w:r>
          <w:rPr>
            <w:color w:val="0000FF"/>
            <w:u w:val="single"/>
          </w:rPr>
          <w:t>https://www.ibef.org/news/tata-steel-inaugurates-first-scrap-based-electric-arc-furnace</w:t>
        </w:r>
        <w:r>
          <w:rPr>
            <w:color w:val="0000FF"/>
            <w:u w:val="single"/>
          </w:rPr>
          <w:t>-with-rs-3-200-crore-us-341-62-million-investment</w:t>
        </w:r>
      </w:hyperlink>
      <w:r>
        <w:rPr>
          <w:color w:val="000000"/>
        </w:rPr>
        <w:t xml:space="preserve"> [Accessed on: 21/09/2026]</w:t>
      </w:r>
    </w:p>
    <w:p w:rsidR="0063708E" w:rsidRDefault="00B649F4">
      <w:pPr>
        <w:spacing w:before="240" w:after="0"/>
      </w:pPr>
      <w:proofErr w:type="gramStart"/>
      <w:r>
        <w:t>JSW Steel (2026).</w:t>
      </w:r>
      <w:proofErr w:type="gramEnd"/>
      <w:r>
        <w:t xml:space="preserve"> </w:t>
      </w:r>
      <w:proofErr w:type="gramStart"/>
      <w:r>
        <w:rPr>
          <w:i/>
          <w:iCs/>
        </w:rPr>
        <w:t>JSW Steel annual report 2025-26</w:t>
      </w:r>
      <w:r>
        <w:t>.</w:t>
      </w:r>
      <w:proofErr w:type="gramEnd"/>
      <w:r>
        <w:t xml:space="preserve"> </w:t>
      </w:r>
      <w:proofErr w:type="gramStart"/>
      <w:r>
        <w:t>[Online].</w:t>
      </w:r>
      <w:proofErr w:type="gramEnd"/>
      <w:r>
        <w:t xml:space="preserve"> Available at:</w:t>
      </w:r>
      <w:hyperlink r:id="rId26">
        <w:r>
          <w:t xml:space="preserve"> </w:t>
        </w:r>
      </w:hyperlink>
      <w:hyperlink r:id="rId27">
        <w:r>
          <w:rPr>
            <w:color w:val="1155CC"/>
            <w:u w:val="single"/>
          </w:rPr>
          <w:t>https://www.jswsteel.in/jsw-steel-annual-report-2025-26/index.html</w:t>
        </w:r>
      </w:hyperlink>
      <w:r>
        <w:t xml:space="preserve"> [Accessed on: 14/09/2026]</w:t>
      </w:r>
    </w:p>
    <w:p w:rsidR="0063708E" w:rsidRDefault="00B649F4">
      <w:pPr>
        <w:spacing w:before="240" w:after="0"/>
        <w:rPr>
          <w:color w:val="000000"/>
        </w:rPr>
      </w:pPr>
      <w:proofErr w:type="spellStart"/>
      <w:r>
        <w:rPr>
          <w:color w:val="000000"/>
        </w:rPr>
        <w:t>Kritish</w:t>
      </w:r>
      <w:proofErr w:type="spellEnd"/>
      <w:r>
        <w:rPr>
          <w:color w:val="000000"/>
        </w:rPr>
        <w:t xml:space="preserve"> </w:t>
      </w:r>
      <w:proofErr w:type="spellStart"/>
      <w:r>
        <w:rPr>
          <w:color w:val="000000"/>
        </w:rPr>
        <w:t>Upadhyay</w:t>
      </w:r>
      <w:proofErr w:type="spellEnd"/>
      <w:r>
        <w:rPr>
          <w:color w:val="000000"/>
        </w:rPr>
        <w:t>, (2026).</w:t>
      </w:r>
      <w:r>
        <w:rPr>
          <w:color w:val="0066AA"/>
        </w:rPr>
        <w:t xml:space="preserve"> </w:t>
      </w:r>
      <w:r>
        <w:rPr>
          <w:i/>
          <w:iCs/>
          <w:color w:val="000000"/>
        </w:rPr>
        <w:t>Tata Steel Nederland Faces Potential Permit Revocatio</w:t>
      </w:r>
      <w:r>
        <w:rPr>
          <w:i/>
          <w:iCs/>
          <w:color w:val="000000"/>
        </w:rPr>
        <w:t xml:space="preserve">n </w:t>
      </w:r>
      <w:proofErr w:type="gramStart"/>
      <w:r>
        <w:rPr>
          <w:i/>
          <w:iCs/>
          <w:color w:val="000000"/>
        </w:rPr>
        <w:t>And</w:t>
      </w:r>
      <w:proofErr w:type="gramEnd"/>
      <w:r>
        <w:rPr>
          <w:i/>
          <w:iCs/>
          <w:color w:val="000000"/>
        </w:rPr>
        <w:t xml:space="preserve"> €20 Million in Fines from Dutch Environment Agency</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28">
        <w:r>
          <w:rPr>
            <w:color w:val="0000FF"/>
            <w:u w:val="single"/>
          </w:rPr>
          <w:t>https://tradebrains.i</w:t>
        </w:r>
        <w:r>
          <w:rPr>
            <w:color w:val="0000FF"/>
            <w:u w:val="single"/>
          </w:rPr>
          <w:t>n/tata-steel-nederland-faces-potential-permit-revocation-and-e20-million-in-fines-from-dutch-environment-agency/</w:t>
        </w:r>
      </w:hyperlink>
      <w:r>
        <w:rPr>
          <w:color w:val="000000"/>
        </w:rPr>
        <w:t xml:space="preserve"> [Accessed on: 21/09/2026]</w:t>
      </w:r>
    </w:p>
    <w:p w:rsidR="0063708E" w:rsidRDefault="00B649F4">
      <w:pPr>
        <w:spacing w:before="240" w:after="0"/>
      </w:pPr>
      <w:proofErr w:type="spellStart"/>
      <w:r>
        <w:t>Madhumita</w:t>
      </w:r>
      <w:proofErr w:type="spellEnd"/>
      <w:r>
        <w:t xml:space="preserve"> Paul, (2026). Two-thirds of global mining facilities face significant water risk, ICMM report says. </w:t>
      </w:r>
      <w:proofErr w:type="gramStart"/>
      <w:r>
        <w:t>[Online</w:t>
      </w:r>
      <w:r>
        <w:t>].</w:t>
      </w:r>
      <w:proofErr w:type="gramEnd"/>
      <w:r>
        <w:t xml:space="preserve"> Available at:</w:t>
      </w:r>
      <w:r>
        <w:rPr>
          <w:i/>
          <w:iCs/>
        </w:rPr>
        <w:t xml:space="preserve"> </w:t>
      </w:r>
      <w:hyperlink r:id="rId29">
        <w:r>
          <w:rPr>
            <w:color w:val="0000FF"/>
            <w:u w:val="single"/>
          </w:rPr>
          <w:t>https://www.downtoearth.org.in/environment/two-thirds-of-global-mining-facilities-face-signif</w:t>
        </w:r>
        <w:r>
          <w:rPr>
            <w:color w:val="0000FF"/>
            <w:u w:val="single"/>
          </w:rPr>
          <w:t>icant-water-risk-icmm-report-says</w:t>
        </w:r>
      </w:hyperlink>
      <w:r>
        <w:t xml:space="preserve"> [Accessed on: 19/09/2026]</w:t>
      </w:r>
    </w:p>
    <w:p w:rsidR="0063708E" w:rsidRDefault="00B649F4">
      <w:pPr>
        <w:spacing w:before="240" w:after="0"/>
      </w:pPr>
      <w:proofErr w:type="spellStart"/>
      <w:r>
        <w:t>Mahapatra</w:t>
      </w:r>
      <w:proofErr w:type="spellEnd"/>
      <w:r>
        <w:t xml:space="preserve">, D., Roy, K. and </w:t>
      </w:r>
      <w:proofErr w:type="spellStart"/>
      <w:r>
        <w:t>Saha</w:t>
      </w:r>
      <w:proofErr w:type="spellEnd"/>
      <w:r>
        <w:t xml:space="preserve">, B., (2024). Tata Steel’s Acquisition of </w:t>
      </w:r>
      <w:proofErr w:type="spellStart"/>
      <w:r>
        <w:t>Bhushan</w:t>
      </w:r>
      <w:proofErr w:type="spellEnd"/>
      <w:r>
        <w:t xml:space="preserve"> Steel: Steeling the Competition. </w:t>
      </w:r>
      <w:proofErr w:type="spellStart"/>
      <w:proofErr w:type="gramStart"/>
      <w:r>
        <w:rPr>
          <w:i/>
          <w:iCs/>
        </w:rPr>
        <w:t>Vikalpa</w:t>
      </w:r>
      <w:proofErr w:type="spellEnd"/>
      <w:r>
        <w:t xml:space="preserve">, </w:t>
      </w:r>
      <w:r>
        <w:rPr>
          <w:i/>
          <w:iCs/>
        </w:rPr>
        <w:t>49</w:t>
      </w:r>
      <w:r>
        <w:t>(2), pp.167-180.</w:t>
      </w:r>
      <w:proofErr w:type="gramEnd"/>
    </w:p>
    <w:p w:rsidR="0063708E" w:rsidRDefault="00B649F4">
      <w:pPr>
        <w:spacing w:before="240" w:after="0"/>
      </w:pPr>
      <w:proofErr w:type="spellStart"/>
      <w:proofErr w:type="gramStart"/>
      <w:r>
        <w:t>Mundkur</w:t>
      </w:r>
      <w:proofErr w:type="spellEnd"/>
      <w:r>
        <w:t xml:space="preserve">, J.P. and </w:t>
      </w:r>
      <w:proofErr w:type="spellStart"/>
      <w:r>
        <w:t>Iyengar</w:t>
      </w:r>
      <w:proofErr w:type="spellEnd"/>
      <w:r>
        <w:t>, S.R., (2026).</w:t>
      </w:r>
      <w:proofErr w:type="gramEnd"/>
      <w:r>
        <w:t xml:space="preserve"> </w:t>
      </w:r>
      <w:r>
        <w:rPr>
          <w:i/>
          <w:iCs/>
        </w:rPr>
        <w:t>Sustainabilit</w:t>
      </w:r>
      <w:r>
        <w:rPr>
          <w:i/>
          <w:iCs/>
        </w:rPr>
        <w:t>y and Competitive Advantage: Text and Cases</w:t>
      </w:r>
      <w:r>
        <w:t xml:space="preserve">. </w:t>
      </w:r>
      <w:proofErr w:type="gramStart"/>
      <w:r>
        <w:t>Taylor &amp; Francis.</w:t>
      </w:r>
      <w:proofErr w:type="gramEnd"/>
    </w:p>
    <w:p w:rsidR="0063708E" w:rsidRDefault="00B649F4">
      <w:pPr>
        <w:spacing w:before="240" w:after="0"/>
        <w:rPr>
          <w:color w:val="000000"/>
        </w:rPr>
      </w:pPr>
      <w:proofErr w:type="gramStart"/>
      <w:r>
        <w:rPr>
          <w:color w:val="000000"/>
        </w:rPr>
        <w:t>PIB, (2026).</w:t>
      </w:r>
      <w:proofErr w:type="gramEnd"/>
      <w:r>
        <w:rPr>
          <w:color w:val="0066AA"/>
        </w:rPr>
        <w:t xml:space="preserve"> </w:t>
      </w:r>
      <w:r>
        <w:rPr>
          <w:i/>
          <w:iCs/>
          <w:color w:val="000000"/>
        </w:rPr>
        <w:t>Indian Steel Sector Maintains Growth Momentum in April 2026; Prices Recover.</w:t>
      </w:r>
      <w:r>
        <w:rPr>
          <w:color w:val="000000"/>
        </w:rPr>
        <w:t xml:space="preserve"> </w:t>
      </w:r>
      <w:proofErr w:type="gramStart"/>
      <w:r>
        <w:rPr>
          <w:color w:val="000000"/>
        </w:rPr>
        <w:t>A</w:t>
      </w:r>
      <w:r>
        <w:rPr>
          <w:i/>
          <w:iCs/>
          <w:color w:val="000000"/>
        </w:rPr>
        <w:t>cross Categories</w:t>
      </w:r>
      <w:r>
        <w:rPr>
          <w:color w:val="000000"/>
        </w:rPr>
        <w:t>.</w:t>
      </w:r>
      <w:proofErr w:type="gramEnd"/>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30">
        <w:r>
          <w:rPr>
            <w:color w:val="0000FF"/>
            <w:u w:val="single"/>
          </w:rPr>
          <w:t>https://www.pib.gov.in/PressReleasePage.aspx?PRID=2258314&amp;reg=48&amp;lang=2</w:t>
        </w:r>
      </w:hyperlink>
      <w:r>
        <w:rPr>
          <w:color w:val="000000"/>
        </w:rPr>
        <w:t xml:space="preserve"> [Accessed on: 22/09/2026]</w:t>
      </w:r>
    </w:p>
    <w:p w:rsidR="0063708E" w:rsidRDefault="00B649F4">
      <w:pPr>
        <w:spacing w:before="240" w:after="0"/>
      </w:pPr>
      <w:proofErr w:type="gramStart"/>
      <w:r>
        <w:t>PTI (2026).</w:t>
      </w:r>
      <w:proofErr w:type="gramEnd"/>
      <w:r>
        <w:t xml:space="preserve"> </w:t>
      </w:r>
      <w:r>
        <w:rPr>
          <w:i/>
          <w:iCs/>
        </w:rPr>
        <w:t xml:space="preserve">Tata Steel aims to spend </w:t>
      </w:r>
      <w:proofErr w:type="spellStart"/>
      <w:r>
        <w:rPr>
          <w:i/>
          <w:iCs/>
        </w:rPr>
        <w:t>Rs</w:t>
      </w:r>
      <w:proofErr w:type="spellEnd"/>
      <w:r>
        <w:rPr>
          <w:i/>
          <w:iCs/>
        </w:rPr>
        <w:t xml:space="preserve"> 20,000 </w:t>
      </w:r>
      <w:proofErr w:type="spellStart"/>
      <w:r>
        <w:rPr>
          <w:i/>
          <w:iCs/>
        </w:rPr>
        <w:t>cr</w:t>
      </w:r>
      <w:proofErr w:type="spellEnd"/>
      <w:r>
        <w:rPr>
          <w:i/>
          <w:iCs/>
        </w:rPr>
        <w:t xml:space="preserve"> in FY27 on expansion, adoption of technologies.</w:t>
      </w:r>
      <w:r>
        <w:t xml:space="preserve"> </w:t>
      </w:r>
      <w:proofErr w:type="gramStart"/>
      <w:r>
        <w:t>[Online].</w:t>
      </w:r>
      <w:proofErr w:type="gramEnd"/>
      <w:r>
        <w:t xml:space="preserve"> Available at:</w:t>
      </w:r>
      <w:hyperlink r:id="rId31">
        <w:r>
          <w:t xml:space="preserve"> </w:t>
        </w:r>
      </w:hyperlink>
      <w:hyperlink r:id="rId32">
        <w:r>
          <w:rPr>
            <w:color w:val="1155CC"/>
            <w:u w:val="single"/>
          </w:rPr>
          <w:t>https://cfo.economictimes.indiatimes.com/news/strategy-operations/tata-steel-aims-to-spend-rs-20000-cr-in-fy27-on-expansion-adoption-of-technologies/132192706</w:t>
        </w:r>
      </w:hyperlink>
      <w:r>
        <w:t xml:space="preserve"> [A</w:t>
      </w:r>
      <w:r>
        <w:t>ccessed on: 14/09/2026]</w:t>
      </w:r>
    </w:p>
    <w:p w:rsidR="0063708E" w:rsidRDefault="00B649F4">
      <w:pPr>
        <w:spacing w:before="240" w:after="0"/>
        <w:rPr>
          <w:color w:val="000000"/>
        </w:rPr>
      </w:pPr>
      <w:proofErr w:type="gramStart"/>
      <w:r>
        <w:rPr>
          <w:color w:val="000000"/>
        </w:rPr>
        <w:lastRenderedPageBreak/>
        <w:t>Recycling  International</w:t>
      </w:r>
      <w:proofErr w:type="gramEnd"/>
      <w:r>
        <w:rPr>
          <w:color w:val="000000"/>
        </w:rPr>
        <w:t>, (2026).</w:t>
      </w:r>
      <w:r>
        <w:rPr>
          <w:color w:val="0066AA"/>
        </w:rPr>
        <w:t xml:space="preserve"> </w:t>
      </w:r>
      <w:r>
        <w:rPr>
          <w:i/>
          <w:iCs/>
          <w:color w:val="000000"/>
        </w:rPr>
        <w:t>India doubles down on scrap to fuel steel growth</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33">
        <w:r>
          <w:rPr>
            <w:color w:val="0000FF"/>
            <w:u w:val="single"/>
          </w:rPr>
          <w:t>https://recyclinginternational.com/business/business-news/india-doubles-down-on-scrap-to-fuel-steel-growth/62990/</w:t>
        </w:r>
      </w:hyperlink>
      <w:r>
        <w:rPr>
          <w:color w:val="000000"/>
        </w:rPr>
        <w:t xml:space="preserve"> [Accessed o</w:t>
      </w:r>
      <w:r>
        <w:rPr>
          <w:color w:val="000000"/>
        </w:rPr>
        <w:t>n: 21/09/2026]</w:t>
      </w:r>
    </w:p>
    <w:p w:rsidR="0063708E" w:rsidRDefault="00B649F4">
      <w:pPr>
        <w:spacing w:before="240" w:after="0"/>
        <w:rPr>
          <w:b/>
          <w:bCs/>
          <w:i/>
          <w:iCs/>
          <w:color w:val="000000"/>
        </w:rPr>
      </w:pPr>
      <w:proofErr w:type="gramStart"/>
      <w:r>
        <w:rPr>
          <w:color w:val="000000"/>
        </w:rPr>
        <w:t>RMI, (2026).</w:t>
      </w:r>
      <w:proofErr w:type="gramEnd"/>
      <w:r>
        <w:rPr>
          <w:color w:val="0066AA"/>
        </w:rPr>
        <w:t xml:space="preserve"> </w:t>
      </w:r>
      <w:r>
        <w:rPr>
          <w:i/>
          <w:iCs/>
          <w:color w:val="000000"/>
        </w:rPr>
        <w:t>Steel: Tata Steel UK - JLR Pilot Test</w:t>
      </w:r>
      <w:r>
        <w:rPr>
          <w:color w:val="000000"/>
        </w:rPr>
        <w:t>. [Online]. Available at:</w:t>
      </w:r>
      <w:r>
        <w:rPr>
          <w:i/>
          <w:iCs/>
          <w:color w:val="000000"/>
        </w:rPr>
        <w:t xml:space="preserve"> </w:t>
      </w:r>
      <w:hyperlink r:id="rId34">
        <w:r>
          <w:rPr>
            <w:color w:val="0000FF"/>
            <w:u w:val="single"/>
          </w:rPr>
          <w:t>https://rmi.org/case-study-steel-tata-steel-uk-jaguar-land-rover/</w:t>
        </w:r>
      </w:hyperlink>
      <w:r>
        <w:rPr>
          <w:color w:val="000000"/>
        </w:rPr>
        <w:t xml:space="preserve"> [Accessed on: </w:t>
      </w:r>
      <w:r>
        <w:rPr>
          <w:color w:val="000000"/>
        </w:rPr>
        <w:t>17/09/2026]</w:t>
      </w:r>
    </w:p>
    <w:p w:rsidR="0063708E" w:rsidRDefault="00B649F4">
      <w:pPr>
        <w:spacing w:before="240" w:after="0"/>
        <w:rPr>
          <w:color w:val="000000"/>
        </w:rPr>
      </w:pPr>
      <w:r>
        <w:rPr>
          <w:color w:val="000000"/>
        </w:rPr>
        <w:t>Scan X News, (2026).</w:t>
      </w:r>
      <w:r>
        <w:rPr>
          <w:color w:val="0066AA"/>
        </w:rPr>
        <w:t xml:space="preserve"> </w:t>
      </w:r>
      <w:r>
        <w:rPr>
          <w:i/>
          <w:iCs/>
          <w:color w:val="000000"/>
        </w:rPr>
        <w:t>Tata Steel files BRSR for FY26, details ESG performance</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35">
        <w:r>
          <w:rPr>
            <w:color w:val="0000FF"/>
            <w:u w:val="single"/>
          </w:rPr>
          <w:t>https://sca</w:t>
        </w:r>
        <w:r>
          <w:rPr>
            <w:color w:val="0000FF"/>
            <w:u w:val="single"/>
          </w:rPr>
          <w:t>nx.trade/stock-market-news/companies/tata-steel-files-brsr-for-fy26-details-esg-performance/42043438</w:t>
        </w:r>
      </w:hyperlink>
      <w:r>
        <w:rPr>
          <w:color w:val="000000"/>
        </w:rPr>
        <w:t xml:space="preserve"> [Accessed on: 20/09/2026]</w:t>
      </w:r>
    </w:p>
    <w:p w:rsidR="0063708E" w:rsidRDefault="00B649F4">
      <w:pPr>
        <w:spacing w:before="240" w:after="0"/>
      </w:pPr>
      <w:r>
        <w:t xml:space="preserve">Tata Steel (2026). </w:t>
      </w:r>
      <w:r>
        <w:rPr>
          <w:i/>
          <w:iCs/>
        </w:rPr>
        <w:t>119th Year Integrated Report and Annual Accounts 2025-26</w:t>
      </w:r>
      <w:r>
        <w:t xml:space="preserve">. </w:t>
      </w:r>
      <w:proofErr w:type="gramStart"/>
      <w:r>
        <w:t>[Online].</w:t>
      </w:r>
      <w:proofErr w:type="gramEnd"/>
      <w:r>
        <w:t xml:space="preserve"> Available at:</w:t>
      </w:r>
      <w:hyperlink r:id="rId36">
        <w:r>
          <w:t xml:space="preserve"> </w:t>
        </w:r>
      </w:hyperlink>
      <w:hyperlink r:id="rId37">
        <w:r>
          <w:rPr>
            <w:color w:val="1155CC"/>
            <w:u w:val="single"/>
          </w:rPr>
          <w:t>https://www.tatasteel.com/media/25904/tatasteel-iar-2025-26.pdf</w:t>
        </w:r>
      </w:hyperlink>
      <w:r>
        <w:t xml:space="preserve"> [Accessed on: 15/09/2026]</w:t>
      </w:r>
    </w:p>
    <w:p w:rsidR="0063708E" w:rsidRDefault="00B649F4">
      <w:pPr>
        <w:spacing w:before="240" w:after="0"/>
      </w:pPr>
      <w:r>
        <w:t xml:space="preserve">Tata Steel (2026). </w:t>
      </w:r>
      <w:r>
        <w:rPr>
          <w:i/>
          <w:iCs/>
        </w:rPr>
        <w:t>Tata Stee</w:t>
      </w:r>
      <w:r>
        <w:rPr>
          <w:i/>
          <w:iCs/>
        </w:rPr>
        <w:t xml:space="preserve">l </w:t>
      </w:r>
      <w:proofErr w:type="gramStart"/>
      <w:r>
        <w:rPr>
          <w:i/>
          <w:iCs/>
        </w:rPr>
        <w:t>Inaugurates</w:t>
      </w:r>
      <w:proofErr w:type="gramEnd"/>
      <w:r>
        <w:rPr>
          <w:i/>
          <w:iCs/>
        </w:rPr>
        <w:t xml:space="preserve"> its first Scrap-based Electric Arc Furnace in India</w:t>
      </w:r>
      <w:r>
        <w:t>.</w:t>
      </w:r>
      <w:hyperlink r:id="rId38">
        <w:r>
          <w:t xml:space="preserve"> </w:t>
        </w:r>
      </w:hyperlink>
      <w:hyperlink r:id="rId39">
        <w:r>
          <w:rPr>
            <w:color w:val="1155CC"/>
          </w:rPr>
          <w:t xml:space="preserve">[Online]. Available at: </w:t>
        </w:r>
      </w:hyperlink>
      <w:hyperlink r:id="rId40">
        <w:r>
          <w:rPr>
            <w:color w:val="1155CC"/>
            <w:u w:val="single"/>
          </w:rPr>
          <w:t>https://www.tatasteel.com/newsroom/press-releases/india/2026/tata-steel-inaugurates-its-first-scrap-based-electric-arc-furnace-in-india/</w:t>
        </w:r>
      </w:hyperlink>
      <w:r>
        <w:t xml:space="preserve"> [Accessed on: 15/09/2026]</w:t>
      </w:r>
    </w:p>
    <w:p w:rsidR="0063708E" w:rsidRDefault="00B649F4">
      <w:pPr>
        <w:spacing w:before="240" w:after="0"/>
      </w:pPr>
      <w:proofErr w:type="gramStart"/>
      <w:r>
        <w:t>Tata Steel Nederland (2026).</w:t>
      </w:r>
      <w:proofErr w:type="gramEnd"/>
      <w:r>
        <w:t xml:space="preserve"> </w:t>
      </w:r>
      <w:r>
        <w:rPr>
          <w:i/>
          <w:iCs/>
        </w:rPr>
        <w:t>Move forward on C</w:t>
      </w:r>
      <w:r>
        <w:rPr>
          <w:i/>
          <w:iCs/>
        </w:rPr>
        <w:t xml:space="preserve">O₂ reduction. </w:t>
      </w:r>
      <w:proofErr w:type="gramStart"/>
      <w:r>
        <w:rPr>
          <w:i/>
          <w:iCs/>
        </w:rPr>
        <w:t>Starting today.</w:t>
      </w:r>
      <w:proofErr w:type="gramEnd"/>
      <w:r>
        <w:t xml:space="preserve"> </w:t>
      </w:r>
      <w:proofErr w:type="gramStart"/>
      <w:r>
        <w:t>[Online].</w:t>
      </w:r>
      <w:proofErr w:type="gramEnd"/>
      <w:r>
        <w:t xml:space="preserve"> Available at:</w:t>
      </w:r>
      <w:hyperlink r:id="rId41">
        <w:r>
          <w:t xml:space="preserve"> </w:t>
        </w:r>
      </w:hyperlink>
      <w:hyperlink r:id="rId42">
        <w:r>
          <w:rPr>
            <w:color w:val="1155CC"/>
            <w:u w:val="single"/>
          </w:rPr>
          <w:t>https://products.tatasteelnederland.com/services/sustainable-solutions/zeremis</w:t>
        </w:r>
      </w:hyperlink>
      <w:r>
        <w:t xml:space="preserve"> [Accessed on: 15/09/2026]</w:t>
      </w:r>
    </w:p>
    <w:p w:rsidR="0063708E" w:rsidRDefault="00B649F4">
      <w:pPr>
        <w:spacing w:before="240" w:after="0"/>
        <w:rPr>
          <w:color w:val="000000"/>
        </w:rPr>
      </w:pPr>
      <w:r>
        <w:rPr>
          <w:color w:val="000000"/>
        </w:rPr>
        <w:t>Tata Steel, (2026).</w:t>
      </w:r>
      <w:r>
        <w:rPr>
          <w:color w:val="0066AA"/>
        </w:rPr>
        <w:t xml:space="preserve"> </w:t>
      </w:r>
      <w:proofErr w:type="gramStart"/>
      <w:r>
        <w:rPr>
          <w:i/>
          <w:iCs/>
          <w:color w:val="000000"/>
        </w:rPr>
        <w:t>Integrated Report and Annual Accounts 2025-26</w:t>
      </w:r>
      <w:r>
        <w:rPr>
          <w:color w:val="000000"/>
        </w:rPr>
        <w:t>.</w:t>
      </w:r>
      <w:proofErr w:type="gramEnd"/>
      <w:r>
        <w:rPr>
          <w:color w:val="000000"/>
        </w:rPr>
        <w:t xml:space="preserve"> </w:t>
      </w:r>
      <w:proofErr w:type="gramStart"/>
      <w:r>
        <w:rPr>
          <w:color w:val="000000"/>
        </w:rPr>
        <w:t>[Online].</w:t>
      </w:r>
      <w:proofErr w:type="gramEnd"/>
      <w:r>
        <w:rPr>
          <w:color w:val="000000"/>
        </w:rPr>
        <w:t xml:space="preserve"> Available at: </w:t>
      </w:r>
      <w:hyperlink r:id="rId43">
        <w:r>
          <w:rPr>
            <w:color w:val="0000FF"/>
            <w:u w:val="single"/>
          </w:rPr>
          <w:t>https://www.tatasteel.com/media/25904/tatasteel-iar-2025-26.pdf</w:t>
        </w:r>
      </w:hyperlink>
      <w:r>
        <w:rPr>
          <w:color w:val="000000"/>
        </w:rPr>
        <w:t xml:space="preserve"> [Accessed on: 20/09/2026]</w:t>
      </w:r>
    </w:p>
    <w:p w:rsidR="0063708E" w:rsidRDefault="00B649F4">
      <w:pPr>
        <w:spacing w:before="240" w:after="0"/>
        <w:rPr>
          <w:color w:val="000000"/>
        </w:rPr>
      </w:pPr>
      <w:proofErr w:type="gramStart"/>
      <w:r>
        <w:rPr>
          <w:color w:val="000000"/>
        </w:rPr>
        <w:t>Yahoo Finance, (2026).</w:t>
      </w:r>
      <w:proofErr w:type="gramEnd"/>
      <w:r>
        <w:rPr>
          <w:color w:val="0066AA"/>
        </w:rPr>
        <w:t xml:space="preserve"> </w:t>
      </w:r>
      <w:r>
        <w:rPr>
          <w:i/>
          <w:iCs/>
          <w:color w:val="000000"/>
        </w:rPr>
        <w:t>Tata Steel seeks new government funding as industry crisis deepens</w:t>
      </w:r>
      <w:r>
        <w:rPr>
          <w:color w:val="000000"/>
        </w:rPr>
        <w:t xml:space="preserve">. </w:t>
      </w:r>
      <w:proofErr w:type="gramStart"/>
      <w:r>
        <w:rPr>
          <w:color w:val="000000"/>
        </w:rPr>
        <w:t>[Online].</w:t>
      </w:r>
      <w:proofErr w:type="gramEnd"/>
      <w:r>
        <w:rPr>
          <w:color w:val="000000"/>
        </w:rPr>
        <w:t xml:space="preserve"> Available at:</w:t>
      </w:r>
      <w:r>
        <w:rPr>
          <w:i/>
          <w:iCs/>
          <w:color w:val="000000"/>
        </w:rPr>
        <w:t xml:space="preserve"> </w:t>
      </w:r>
      <w:hyperlink r:id="rId44">
        <w:r>
          <w:rPr>
            <w:color w:val="0000FF"/>
            <w:u w:val="single"/>
          </w:rPr>
          <w:t>https://uk.finance.yahoo.com/news/tata-steel-seeks-government-funding-081100944.html</w:t>
        </w:r>
      </w:hyperlink>
      <w:r>
        <w:rPr>
          <w:color w:val="000000"/>
        </w:rPr>
        <w:t xml:space="preserve"> [Accessed on: 19/09/2026]</w:t>
      </w:r>
    </w:p>
    <w:p w:rsidR="0063708E" w:rsidRDefault="00B649F4">
      <w:pPr>
        <w:spacing w:before="240" w:after="0"/>
      </w:pPr>
      <w:proofErr w:type="spellStart"/>
      <w:r>
        <w:t>Zugay</w:t>
      </w:r>
      <w:proofErr w:type="spellEnd"/>
      <w:r>
        <w:t xml:space="preserve">, B., (2023). </w:t>
      </w:r>
      <w:proofErr w:type="spellStart"/>
      <w:proofErr w:type="gramStart"/>
      <w:r>
        <w:rPr>
          <w:i/>
          <w:iCs/>
        </w:rPr>
        <w:t>Ansoff</w:t>
      </w:r>
      <w:proofErr w:type="spellEnd"/>
      <w:r>
        <w:rPr>
          <w:i/>
          <w:iCs/>
        </w:rPr>
        <w:t xml:space="preserve"> matrix</w:t>
      </w:r>
      <w:r>
        <w:t>.</w:t>
      </w:r>
      <w:proofErr w:type="gramEnd"/>
      <w:r>
        <w:t xml:space="preserve"> SAGE Publications, </w:t>
      </w:r>
      <w:proofErr w:type="gramStart"/>
      <w:r>
        <w:t>Inc..</w:t>
      </w:r>
      <w:proofErr w:type="gramEnd"/>
    </w:p>
    <w:sectPr w:rsidR="0063708E">
      <w:footerReference w:type="default" r:id="rId45"/>
      <w:headerReference w:type="first" r:id="rId4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9F4" w:rsidRDefault="00B649F4">
      <w:pPr>
        <w:spacing w:after="0" w:line="240" w:lineRule="auto"/>
      </w:pPr>
      <w:r>
        <w:separator/>
      </w:r>
    </w:p>
  </w:endnote>
  <w:endnote w:type="continuationSeparator" w:id="0">
    <w:p w:rsidR="00B649F4" w:rsidRDefault="00B64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107AEE1-1031-401C-8186-3326BDBE34EF}"/>
  </w:font>
  <w:font w:name="Calibri">
    <w:panose1 w:val="020F0502020204030204"/>
    <w:charset w:val="00"/>
    <w:family w:val="swiss"/>
    <w:pitch w:val="variable"/>
    <w:sig w:usb0="E4002EFF" w:usb1="C200247B" w:usb2="00000009" w:usb3="00000000" w:csb0="000001FF" w:csb1="00000000"/>
    <w:embedRegular r:id="rId2" w:fontKey="{2388A0E8-FB00-4F63-AE3B-39DCEA8A725B}"/>
  </w:font>
  <w:font w:name="Shruti">
    <w:altName w:val="Segoe UI Semibold"/>
    <w:panose1 w:val="020B08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embedRegular r:id="rId3" w:fontKey="{C90FB675-B133-4A1A-8C1F-6B0234380B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8E" w:rsidRDefault="00B649F4">
    <w:pPr>
      <w:jc w:val="right"/>
      <w:rPr>
        <w:sz w:val="20"/>
        <w:szCs w:val="20"/>
      </w:rPr>
    </w:pPr>
    <w:r>
      <w:rPr>
        <w:sz w:val="20"/>
        <w:szCs w:val="20"/>
      </w:rPr>
      <w:fldChar w:fldCharType="begin"/>
    </w:r>
    <w:r>
      <w:rPr>
        <w:sz w:val="20"/>
        <w:szCs w:val="20"/>
      </w:rPr>
      <w:instrText>PAGE</w:instrText>
    </w:r>
    <w:r w:rsidR="0085236B">
      <w:rPr>
        <w:sz w:val="20"/>
        <w:szCs w:val="20"/>
      </w:rPr>
      <w:fldChar w:fldCharType="separate"/>
    </w:r>
    <w:r w:rsidR="0085236B">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9F4" w:rsidRDefault="00B649F4">
      <w:pPr>
        <w:spacing w:after="0" w:line="240" w:lineRule="auto"/>
      </w:pPr>
      <w:r>
        <w:separator/>
      </w:r>
    </w:p>
  </w:footnote>
  <w:footnote w:type="continuationSeparator" w:id="0">
    <w:p w:rsidR="00B649F4" w:rsidRDefault="00B649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8E" w:rsidRDefault="00B649F4">
    <w:r>
      <w:rPr>
        <w:noProof/>
      </w:rPr>
      <w:drawing>
        <wp:anchor distT="0" distB="0" distL="114300" distR="114300" simplePos="0" relativeHeight="251658240" behindDoc="0" locked="0" layoutInCell="1" hidden="0" allowOverlap="1">
          <wp:simplePos x="0" y="0"/>
          <wp:positionH relativeFrom="column">
            <wp:posOffset>-320038</wp:posOffset>
          </wp:positionH>
          <wp:positionV relativeFrom="paragraph">
            <wp:posOffset>-266698</wp:posOffset>
          </wp:positionV>
          <wp:extent cx="1809750" cy="723900"/>
          <wp:effectExtent l="12700" t="12700" r="12700" b="12700"/>
          <wp:wrapSquare wrapText="bothSides" distT="0" distB="0" distL="114300" distR="114300"/>
          <wp:docPr id="5" name="image5.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5.png" descr="Discover University of Wales Trinity Saint David"/>
                  <pic:cNvPicPr preferRelativeResize="0"/>
                </pic:nvPicPr>
                <pic:blipFill>
                  <a:blip r:embed="rId1"/>
                  <a:srcRect/>
                  <a:stretch>
                    <a:fillRect/>
                  </a:stretch>
                </pic:blipFill>
                <pic:spPr>
                  <a:xfrm>
                    <a:off x="0" y="0"/>
                    <a:ext cx="1809750" cy="723900"/>
                  </a:xfrm>
                  <a:prstGeom prst="rect">
                    <a:avLst/>
                  </a:prstGeom>
                  <a:ln w="12700">
                    <a:solidFill>
                      <a:srgbClr val="000000"/>
                    </a:solidFill>
                    <a:prstDash val="soli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631F9"/>
    <w:multiLevelType w:val="multilevel"/>
    <w:tmpl w:val="DA127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43F39C9"/>
    <w:multiLevelType w:val="multilevel"/>
    <w:tmpl w:val="357AD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9990209"/>
    <w:multiLevelType w:val="multilevel"/>
    <w:tmpl w:val="61EAA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3708E"/>
    <w:rsid w:val="0063708E"/>
    <w:rsid w:val="0085236B"/>
    <w:rsid w:val="00B649F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gu-IN"/>
      </w:rPr>
    </w:rPrDefault>
    <w:pPrDefault>
      <w:pPr>
        <w:spacing w:after="8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outlineLvl w:val="3"/>
    </w:pPr>
    <w:rPr>
      <w:color w:val="666666"/>
    </w:rPr>
  </w:style>
  <w:style w:type="paragraph" w:styleId="Heading5">
    <w:name w:val="heading 5"/>
    <w:basedOn w:val="Normal"/>
    <w:next w:val="Normal"/>
    <w:pPr>
      <w:keepNext/>
      <w:keepLines/>
      <w:spacing w:before="240"/>
      <w:outlineLvl w:val="4"/>
    </w:pPr>
    <w:rPr>
      <w:color w:val="666666"/>
      <w:sz w:val="22"/>
      <w:szCs w:val="22"/>
    </w:rPr>
  </w:style>
  <w:style w:type="paragraph" w:styleId="Heading6">
    <w:name w:val="heading 6"/>
    <w:basedOn w:val="Normal"/>
    <w:next w:val="Normal"/>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52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36B"/>
    <w:rPr>
      <w:rFonts w:ascii="Tahoma" w:hAnsi="Tahoma" w:cs="Tahoma"/>
      <w:sz w:val="16"/>
      <w:szCs w:val="16"/>
    </w:rPr>
  </w:style>
  <w:style w:type="paragraph" w:styleId="TOC1">
    <w:name w:val="toc 1"/>
    <w:basedOn w:val="Normal"/>
    <w:next w:val="Normal"/>
    <w:autoRedefine/>
    <w:uiPriority w:val="39"/>
    <w:unhideWhenUsed/>
    <w:rsid w:val="0085236B"/>
    <w:pPr>
      <w:tabs>
        <w:tab w:val="right" w:leader="dot" w:pos="9350"/>
      </w:tabs>
      <w:spacing w:after="100" w:line="276" w:lineRule="auto"/>
    </w:pPr>
  </w:style>
  <w:style w:type="paragraph" w:styleId="TOC2">
    <w:name w:val="toc 2"/>
    <w:basedOn w:val="Normal"/>
    <w:next w:val="Normal"/>
    <w:autoRedefine/>
    <w:uiPriority w:val="39"/>
    <w:unhideWhenUsed/>
    <w:rsid w:val="0085236B"/>
    <w:pPr>
      <w:spacing w:after="100"/>
      <w:ind w:left="240"/>
    </w:pPr>
  </w:style>
  <w:style w:type="paragraph" w:styleId="TOC3">
    <w:name w:val="toc 3"/>
    <w:basedOn w:val="Normal"/>
    <w:next w:val="Normal"/>
    <w:autoRedefine/>
    <w:uiPriority w:val="39"/>
    <w:unhideWhenUsed/>
    <w:rsid w:val="0085236B"/>
    <w:pPr>
      <w:spacing w:after="100"/>
      <w:ind w:left="480"/>
    </w:pPr>
  </w:style>
  <w:style w:type="character" w:styleId="Hyperlink">
    <w:name w:val="Hyperlink"/>
    <w:basedOn w:val="DefaultParagraphFont"/>
    <w:uiPriority w:val="99"/>
    <w:unhideWhenUsed/>
    <w:rsid w:val="008523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gu-IN"/>
      </w:rPr>
    </w:rPrDefault>
    <w:pPrDefault>
      <w:pPr>
        <w:spacing w:after="8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outlineLvl w:val="3"/>
    </w:pPr>
    <w:rPr>
      <w:color w:val="666666"/>
    </w:rPr>
  </w:style>
  <w:style w:type="paragraph" w:styleId="Heading5">
    <w:name w:val="heading 5"/>
    <w:basedOn w:val="Normal"/>
    <w:next w:val="Normal"/>
    <w:pPr>
      <w:keepNext/>
      <w:keepLines/>
      <w:spacing w:before="240"/>
      <w:outlineLvl w:val="4"/>
    </w:pPr>
    <w:rPr>
      <w:color w:val="666666"/>
      <w:sz w:val="22"/>
      <w:szCs w:val="22"/>
    </w:rPr>
  </w:style>
  <w:style w:type="paragraph" w:styleId="Heading6">
    <w:name w:val="heading 6"/>
    <w:basedOn w:val="Normal"/>
    <w:next w:val="Normal"/>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52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36B"/>
    <w:rPr>
      <w:rFonts w:ascii="Tahoma" w:hAnsi="Tahoma" w:cs="Tahoma"/>
      <w:sz w:val="16"/>
      <w:szCs w:val="16"/>
    </w:rPr>
  </w:style>
  <w:style w:type="paragraph" w:styleId="TOC1">
    <w:name w:val="toc 1"/>
    <w:basedOn w:val="Normal"/>
    <w:next w:val="Normal"/>
    <w:autoRedefine/>
    <w:uiPriority w:val="39"/>
    <w:unhideWhenUsed/>
    <w:rsid w:val="0085236B"/>
    <w:pPr>
      <w:tabs>
        <w:tab w:val="right" w:leader="dot" w:pos="9350"/>
      </w:tabs>
      <w:spacing w:after="100" w:line="276" w:lineRule="auto"/>
    </w:pPr>
  </w:style>
  <w:style w:type="paragraph" w:styleId="TOC2">
    <w:name w:val="toc 2"/>
    <w:basedOn w:val="Normal"/>
    <w:next w:val="Normal"/>
    <w:autoRedefine/>
    <w:uiPriority w:val="39"/>
    <w:unhideWhenUsed/>
    <w:rsid w:val="0085236B"/>
    <w:pPr>
      <w:spacing w:after="100"/>
      <w:ind w:left="240"/>
    </w:pPr>
  </w:style>
  <w:style w:type="paragraph" w:styleId="TOC3">
    <w:name w:val="toc 3"/>
    <w:basedOn w:val="Normal"/>
    <w:next w:val="Normal"/>
    <w:autoRedefine/>
    <w:uiPriority w:val="39"/>
    <w:unhideWhenUsed/>
    <w:rsid w:val="0085236B"/>
    <w:pPr>
      <w:spacing w:after="100"/>
      <w:ind w:left="480"/>
    </w:pPr>
  </w:style>
  <w:style w:type="character" w:styleId="Hyperlink">
    <w:name w:val="Hyperlink"/>
    <w:basedOn w:val="DefaultParagraphFont"/>
    <w:uiPriority w:val="99"/>
    <w:unhideWhenUsed/>
    <w:rsid w:val="008523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usinesstoday.in/latest/corporate/story/tata-steel-seeks-fresh-uk-government-funding-as-port-talbot-project-faces-delays-556642-2026-09-19" TargetMode="External"/><Relationship Id="rId26" Type="http://schemas.openxmlformats.org/officeDocument/2006/relationships/hyperlink" Target="https://www.jswsteel.in/jsw-steel-annual-report-2025-26/index.html" TargetMode="External"/><Relationship Id="rId39" Type="http://schemas.openxmlformats.org/officeDocument/2006/relationships/hyperlink" Target="https://www.tatasteel.com/newsroom/press-releases/india/2026/tata-steel-inaugurates-its-first-scrap-based-electric-arc-furnace-in-india/" TargetMode="External"/><Relationship Id="rId3" Type="http://schemas.microsoft.com/office/2007/relationships/stylesWithEffects" Target="stylesWithEffects.xml"/><Relationship Id="rId21" Type="http://schemas.openxmlformats.org/officeDocument/2006/relationships/hyperlink" Target="https://climatecatalyst.org/wp-content/uploads/2026/02/Catalysing-Demand-for-Green-Steel-through-Public-Procurement-in-India-Report.pdf" TargetMode="External"/><Relationship Id="rId34" Type="http://schemas.openxmlformats.org/officeDocument/2006/relationships/hyperlink" Target="https://rmi.org/case-study-steel-tata-steel-uk-jaguar-land-rover/" TargetMode="External"/><Relationship Id="rId42" Type="http://schemas.openxmlformats.org/officeDocument/2006/relationships/hyperlink" Target="https://products.tatasteelnederland.com/services/sustainable-solutions/zeremis"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usinesstoday.in/latest/corporate/story/tata-steel-seeks-fresh-uk-government-funding-as-port-talbot-project-faces-delays-556642-2026-09-19" TargetMode="External"/><Relationship Id="rId25" Type="http://schemas.openxmlformats.org/officeDocument/2006/relationships/hyperlink" Target="https://www.ibef.org/news/tata-steel-inaugurates-first-scrap-based-electric-arc-furnace-with-rs-3-200-crore-us-341-62-million-investment" TargetMode="External"/><Relationship Id="rId33" Type="http://schemas.openxmlformats.org/officeDocument/2006/relationships/hyperlink" Target="https://recyclinginternational.com/business/business-news/india-doubles-down-on-scrap-to-fuel-steel-growth/62990/" TargetMode="External"/><Relationship Id="rId38" Type="http://schemas.openxmlformats.org/officeDocument/2006/relationships/hyperlink" Target="https://www.tatasteel.com/newsroom/press-releases/india/2026/tata-steel-inaugurates-its-first-scrap-based-electric-arc-furnace-in-india/"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cumengroup.in/tata-steel-share-price-analysis/" TargetMode="External"/><Relationship Id="rId20" Type="http://schemas.openxmlformats.org/officeDocument/2006/relationships/hyperlink" Target="https://climatecatalyst.org/wp-content/uploads/2026/02/Catalysing-Demand-for-Green-Steel-through-Public-Procurement-in-India-Report.pdf" TargetMode="External"/><Relationship Id="rId29" Type="http://schemas.openxmlformats.org/officeDocument/2006/relationships/hyperlink" Target="https://www.downtoearth.org.in/environment/two-thirds-of-global-mining-facilities-face-significant-water-risk-icmm-report-says" TargetMode="External"/><Relationship Id="rId41" Type="http://schemas.openxmlformats.org/officeDocument/2006/relationships/hyperlink" Target="https://products.tatasteelnederland.com/services/sustainable-solutions/zeremi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lobalefficiencyintel.com/the-impact-of-the-eu-cbam-on-global-steel-trade" TargetMode="External"/><Relationship Id="rId32" Type="http://schemas.openxmlformats.org/officeDocument/2006/relationships/hyperlink" Target="https://cfo.economictimes.indiatimes.com/news/strategy-operations/tata-steel-aims-to-spend-rs-20000-cr-in-fy27-on-expansion-adoption-of-technologies/132192706" TargetMode="External"/><Relationship Id="rId37" Type="http://schemas.openxmlformats.org/officeDocument/2006/relationships/hyperlink" Target="https://www.tatasteel.com/media/25904/tatasteel-iar-2025-26.pdf" TargetMode="External"/><Relationship Id="rId40" Type="http://schemas.openxmlformats.org/officeDocument/2006/relationships/hyperlink" Target="https://www.tatasteel.com/newsroom/press-releases/india/2026/tata-steel-inaugurates-its-first-scrap-based-electric-arc-furnace-in-india/"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tatic1.squarespace.com/static/5877e86f9de4bb8bce72105c/t/68f30ceebdbccf7dc6b7c877/1760759022538/Steel+benchmarking+-10.10.2025-E.1.pdf" TargetMode="External"/><Relationship Id="rId28" Type="http://schemas.openxmlformats.org/officeDocument/2006/relationships/hyperlink" Target="https://tradebrains.in/tata-steel-nederland-faces-potential-permit-revocation-and-e20-million-in-fines-from-dutch-environment-agency/" TargetMode="External"/><Relationship Id="rId36" Type="http://schemas.openxmlformats.org/officeDocument/2006/relationships/hyperlink" Target="https://www.tatasteel.com/media/25904/tatasteel-iar-2025-26.pdf" TargetMode="External"/><Relationship Id="rId10" Type="http://schemas.openxmlformats.org/officeDocument/2006/relationships/image" Target="media/image3.png"/><Relationship Id="rId19" Type="http://schemas.openxmlformats.org/officeDocument/2006/relationships/hyperlink" Target="https://www.crfindia.org/publications/issue-brief/the-missing-half-of-indias-green--hydrogen-strategy" TargetMode="External"/><Relationship Id="rId31" Type="http://schemas.openxmlformats.org/officeDocument/2006/relationships/hyperlink" Target="https://cfo.economictimes.indiatimes.com/news/strategy-operations/tata-steel-aims-to-spend-rs-20000-cr-in-fy27-on-expansion-adoption-of-technologies/132192706" TargetMode="External"/><Relationship Id="rId44" Type="http://schemas.openxmlformats.org/officeDocument/2006/relationships/hyperlink" Target="https://uk.finance.yahoo.com/news/tata-steel-seeks-government-funding-08110094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astmarkets.com/insights/iron-ore-quality-decline-meets-green-steel-ambitions/" TargetMode="External"/><Relationship Id="rId27" Type="http://schemas.openxmlformats.org/officeDocument/2006/relationships/hyperlink" Target="https://www.jswsteel.in/jsw-steel-annual-report-2025-26/index.html" TargetMode="External"/><Relationship Id="rId30" Type="http://schemas.openxmlformats.org/officeDocument/2006/relationships/hyperlink" Target="https://www.pib.gov.in/PressReleasePage.aspx?PRID=2258314&amp;reg=48&amp;lang=2" TargetMode="External"/><Relationship Id="rId35" Type="http://schemas.openxmlformats.org/officeDocument/2006/relationships/hyperlink" Target="https://scanx.trade/stock-market-news/companies/tata-steel-files-brsr-for-fy26-details-esg-performance/42043438" TargetMode="External"/><Relationship Id="rId43" Type="http://schemas.openxmlformats.org/officeDocument/2006/relationships/hyperlink" Target="https://www.tatasteel.com/media/25904/tatasteel-iar-2025-26.pdf" TargetMode="External"/><Relationship Id="rId48"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4562</Words>
  <Characters>26006</Characters>
  <Application>Microsoft Office Word</Application>
  <DocSecurity>0</DocSecurity>
  <Lines>216</Lines>
  <Paragraphs>61</Paragraphs>
  <ScaleCrop>false</ScaleCrop>
  <Company/>
  <LinksUpToDate>false</LinksUpToDate>
  <CharactersWithSpaces>30507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2026-10-22T08:09:00Z</dcterms:created>
  <dcterms:modified xsi:type="dcterms:W3CDTF">2026-10-22T08:14:00Z</dcterms:modified>
</cp:coreProperties>
</file>