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029C6A7B" w:rsidR="00DD5969" w:rsidRPr="00DD5969" w:rsidRDefault="00DD5969" w:rsidP="00DD5969">
      <w:pPr>
        <w:spacing w:before="3"/>
        <w:rPr>
          <w:rFonts w:ascii="Arial"/>
          <w:b/>
          <w:sz w:val="48"/>
          <w:szCs w:val="48"/>
        </w:rPr>
      </w:pPr>
      <w:r w:rsidRPr="00DD5969">
        <w:rPr>
          <w:rFonts w:ascii="Arial"/>
          <w:b/>
          <w:sz w:val="48"/>
          <w:szCs w:val="48"/>
        </w:rPr>
        <w:t>STUDENT NAME:</w:t>
      </w:r>
      <w:r w:rsidR="002B1B87">
        <w:rPr>
          <w:rFonts w:ascii="Arial"/>
          <w:b/>
          <w:sz w:val="48"/>
          <w:szCs w:val="48"/>
        </w:rPr>
        <w:t xml:space="preserve"> Ann</w:t>
      </w:r>
      <w:r w:rsidR="00C1032E">
        <w:rPr>
          <w:rFonts w:ascii="Arial"/>
          <w:b/>
          <w:sz w:val="48"/>
          <w:szCs w:val="48"/>
        </w:rPr>
        <w:t>abella Gibbons</w:t>
      </w:r>
    </w:p>
    <w:p w14:paraId="0D16D138" w14:textId="77777777" w:rsidR="00DD5969" w:rsidRPr="00DD5969" w:rsidRDefault="00DD5969" w:rsidP="00DD5969">
      <w:pPr>
        <w:spacing w:before="3"/>
        <w:rPr>
          <w:rFonts w:ascii="Arial"/>
          <w:b/>
          <w:sz w:val="48"/>
          <w:szCs w:val="48"/>
        </w:rPr>
      </w:pPr>
    </w:p>
    <w:p w14:paraId="18107AFF" w14:textId="293854F9"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C1032E">
        <w:rPr>
          <w:rFonts w:ascii="Arial"/>
          <w:b/>
          <w:sz w:val="48"/>
          <w:szCs w:val="48"/>
        </w:rPr>
        <w:t xml:space="preserve"> 2305499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1A632F7C"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6CE4A66A" w:rsidR="0000375B" w:rsidRDefault="00F1102F" w:rsidP="00DD5969">
            <w:pPr>
              <w:rPr>
                <w:sz w:val="16"/>
                <w:szCs w:val="16"/>
              </w:rPr>
            </w:pPr>
            <w:r>
              <w:rPr>
                <w:rFonts w:ascii="Roboto" w:eastAsia="Times New Roman" w:hAnsi="Roboto"/>
                <w:color w:val="283041"/>
                <w:sz w:val="21"/>
                <w:szCs w:val="21"/>
                <w:shd w:val="clear" w:color="auto" w:fill="FFFFFF"/>
              </w:rPr>
              <w:t>Please revise the correct protocols for Harvard referencing to improve precision and accuracy -  citing and paraphrasing in text; and initials of authors - formatting references - reference list)</w:t>
            </w:r>
            <w:r>
              <w:rPr>
                <w:rFonts w:ascii="Roboto" w:eastAsia="Times New Roman" w:hAnsi="Roboto"/>
                <w:color w:val="283041"/>
                <w:sz w:val="21"/>
                <w:szCs w:val="21"/>
                <w:lang w:val="en-US"/>
              </w:rPr>
              <w:t> </w:t>
            </w: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FCBF01B" w14:textId="1A2088FF" w:rsidR="0000375B" w:rsidRPr="00B34129" w:rsidRDefault="00D34F7E" w:rsidP="00DD5969">
            <w:pPr>
              <w:rPr>
                <w:sz w:val="22"/>
                <w:szCs w:val="22"/>
              </w:rPr>
            </w:pPr>
            <w:r>
              <w:rPr>
                <w:sz w:val="22"/>
                <w:szCs w:val="22"/>
              </w:rPr>
              <w:t xml:space="preserve">I have ensured to look over the Harvard referencing to ensure accuracy through my written work – this can be seen throughout my assignment in a variety of different paragraphs. </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78CD4542" w:rsidR="0000375B" w:rsidRDefault="00F60EFF" w:rsidP="00DD5969">
            <w:pPr>
              <w:rPr>
                <w:sz w:val="16"/>
                <w:szCs w:val="16"/>
              </w:rPr>
            </w:pPr>
            <w:r>
              <w:rPr>
                <w:rFonts w:ascii="Roboto" w:eastAsia="Times New Roman" w:hAnsi="Roboto"/>
                <w:color w:val="283041"/>
                <w:sz w:val="21"/>
                <w:szCs w:val="21"/>
                <w:shd w:val="clear" w:color="auto" w:fill="FFFFFF"/>
              </w:rPr>
              <w:t>Please check your use of the apostrophe in place.</w:t>
            </w:r>
          </w:p>
          <w:p w14:paraId="2A59CA2F" w14:textId="77777777" w:rsidR="0000375B" w:rsidRDefault="0000375B" w:rsidP="00DD5969">
            <w:pPr>
              <w:rPr>
                <w:sz w:val="16"/>
                <w:szCs w:val="16"/>
              </w:rPr>
            </w:pPr>
          </w:p>
        </w:tc>
        <w:tc>
          <w:tcPr>
            <w:tcW w:w="4508" w:type="dxa"/>
          </w:tcPr>
          <w:p w14:paraId="51AE3AC6" w14:textId="59E4BCD2" w:rsidR="0000375B" w:rsidRPr="00D34F7E" w:rsidRDefault="00682FA0" w:rsidP="00DD5969">
            <w:pPr>
              <w:rPr>
                <w:sz w:val="22"/>
                <w:szCs w:val="22"/>
              </w:rPr>
            </w:pPr>
            <w:r>
              <w:rPr>
                <w:sz w:val="22"/>
                <w:szCs w:val="22"/>
              </w:rPr>
              <w:t xml:space="preserve">I have extensively looked over my assignment to ensure that my grammar is correct and apostrophes are in place when needed. This is evident throughout my assignment. </w:t>
            </w:r>
          </w:p>
        </w:tc>
      </w:tr>
      <w:tr w:rsidR="0000375B" w14:paraId="7E9C0FF5" w14:textId="77777777" w:rsidTr="0000375B">
        <w:tc>
          <w:tcPr>
            <w:tcW w:w="4508" w:type="dxa"/>
          </w:tcPr>
          <w:p w14:paraId="31E1404E" w14:textId="2AEA568D" w:rsidR="0000375B" w:rsidRDefault="00B34129" w:rsidP="00DD5969">
            <w:pPr>
              <w:rPr>
                <w:sz w:val="16"/>
                <w:szCs w:val="16"/>
              </w:rPr>
            </w:pPr>
            <w:r>
              <w:rPr>
                <w:rFonts w:ascii="Roboto" w:eastAsia="Times New Roman" w:hAnsi="Roboto"/>
                <w:color w:val="283041"/>
                <w:sz w:val="21"/>
                <w:szCs w:val="21"/>
                <w:shd w:val="clear" w:color="auto" w:fill="FFFFFF"/>
              </w:rPr>
              <w:t>Use your professional standards and relevant literature to guide next steps. What impact will your findings have on your own future teaching practice?</w:t>
            </w: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222077CD" w:rsidR="0000375B" w:rsidRPr="00690E81" w:rsidRDefault="00690E81" w:rsidP="00DD5969">
            <w:pPr>
              <w:rPr>
                <w:sz w:val="22"/>
                <w:szCs w:val="22"/>
              </w:rPr>
            </w:pPr>
            <w:r>
              <w:rPr>
                <w:sz w:val="22"/>
                <w:szCs w:val="22"/>
              </w:rPr>
              <w:t xml:space="preserve">In my conclusion, this can be found to assess and reflect on my findings and how I would develop them into my own practice and </w:t>
            </w:r>
            <w:r w:rsidR="00196410">
              <w:rPr>
                <w:sz w:val="22"/>
                <w:szCs w:val="22"/>
              </w:rPr>
              <w:t xml:space="preserve">future </w:t>
            </w:r>
            <w:r>
              <w:rPr>
                <w:sz w:val="22"/>
                <w:szCs w:val="22"/>
              </w:rPr>
              <w:t>teaching</w:t>
            </w:r>
            <w:r w:rsidR="00196410">
              <w:rPr>
                <w:sz w:val="22"/>
                <w:szCs w:val="22"/>
              </w:rPr>
              <w:t xml:space="preserve">. </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4B51507A" w14:textId="6BAB7E5F" w:rsidR="0000375B" w:rsidRPr="003F1EC8" w:rsidRDefault="0000375B" w:rsidP="0000375B">
      <w:pPr>
        <w:rPr>
          <w:sz w:val="16"/>
          <w:szCs w:val="16"/>
        </w:rPr>
      </w:pPr>
      <w:r>
        <w:rPr>
          <w:sz w:val="16"/>
          <w:szCs w:val="16"/>
        </w:rPr>
        <w:br w:type="page"/>
      </w:r>
      <w:r w:rsidRPr="6A487CAC">
        <w:rPr>
          <w:b/>
          <w:bCs/>
        </w:rPr>
        <w:lastRenderedPageBreak/>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6C6F16C6" w14:textId="77777777" w:rsidR="0000375B" w:rsidRDefault="0000375B" w:rsidP="0000375B">
      <w:pPr>
        <w:rPr>
          <w:b/>
          <w:bCs/>
        </w:rPr>
      </w:pPr>
    </w:p>
    <w:p w14:paraId="5D1288CF" w14:textId="77777777" w:rsidR="0000375B" w:rsidRDefault="0000375B" w:rsidP="0000375B">
      <w:pPr>
        <w:rPr>
          <w:b/>
          <w:bCs/>
        </w:rPr>
      </w:pPr>
    </w:p>
    <w:p w14:paraId="1D8D6CF3" w14:textId="19DE113D" w:rsidR="006913C6" w:rsidRDefault="006913C6" w:rsidP="00762FDF">
      <w:pPr>
        <w:spacing w:line="360" w:lineRule="auto"/>
      </w:pPr>
      <w:r>
        <w:t>Community has always been emphasised as a pivotal inclusion to children’s learning, as children’s development is a process of bi-directional and reciprocal relationships between the developing individual and those in surrounding environments</w:t>
      </w:r>
      <w:r w:rsidR="00F3143D">
        <w:t xml:space="preserve">, for </w:t>
      </w:r>
      <w:r>
        <w:t xml:space="preserve">instance, teachers, parents, mass media and neighbouring communities (Bronfenbrenner, 1979, p. 245). School community projects </w:t>
      </w:r>
      <w:bookmarkStart w:id="0" w:name="_Int_WPU7kx5r"/>
      <w:r>
        <w:t>are introduced</w:t>
      </w:r>
      <w:bookmarkEnd w:id="0"/>
      <w:r>
        <w:t xml:space="preserve"> to continue this inclusion of learning, Gunstone (2017), expresses that school community programs involve schools working with many diverse groups including families, youth groups, heritage sites and other community organisations. Through these collaborations</w:t>
      </w:r>
      <w:r w:rsidR="00716B27">
        <w:t xml:space="preserve">, </w:t>
      </w:r>
      <w:r>
        <w:t xml:space="preserve"> enhancement of educational experiences by integrating community resources into the learning process </w:t>
      </w:r>
      <w:bookmarkStart w:id="1" w:name="_Int_rWthMhUu"/>
      <w:r>
        <w:t>is obtained</w:t>
      </w:r>
      <w:bookmarkEnd w:id="1"/>
      <w:r>
        <w:t>. Through</w:t>
      </w:r>
      <w:r w:rsidR="00A60E7E">
        <w:t xml:space="preserve"> </w:t>
      </w:r>
      <w:r>
        <w:t xml:space="preserve">experience of teaching 7–11-year-olds, ideas </w:t>
      </w:r>
      <w:bookmarkStart w:id="2" w:name="_Int_H9dmSviH"/>
      <w:r>
        <w:t>were formed</w:t>
      </w:r>
      <w:bookmarkEnd w:id="2"/>
      <w:r>
        <w:t xml:space="preserve"> on how to connect the pupils to the communit</w:t>
      </w:r>
      <w:r w:rsidR="00D80F18">
        <w:t>y</w:t>
      </w:r>
      <w:r>
        <w:t xml:space="preserve"> and by recognising the impact stories had on the pupil's curiosity, empathy, confidence, and literacy skills, a proposal was </w:t>
      </w:r>
      <w:bookmarkStart w:id="3" w:name="_Int_UjaZbG83"/>
      <w:r>
        <w:t>established</w:t>
      </w:r>
      <w:bookmarkEnd w:id="3"/>
      <w:r>
        <w:t>. This proposal introduces a ‘story swap’ which is a school community project that will connect with the wider community by working with old and young members of the community to share stories. Furthermore, the proposal will work with families, where pupils will be able to bring in family members into the school and share their stories. Through</w:t>
      </w:r>
      <w:r w:rsidR="00DB7B09">
        <w:t xml:space="preserve"> </w:t>
      </w:r>
      <w:r>
        <w:t xml:space="preserve">the proposal of ‘story swap’ it will allow for children to build on their language and literacy skills as they will be involved in drafting these stories into a book which will reflect the whole community. The paramount focus of ‘story swap’ is to build on relationships between the school, families, local organisations, and the wider community and thus, promote a sense of belonging and Cynefin into the community and introduce an inclusive, connected, and supportive environment. </w:t>
      </w:r>
    </w:p>
    <w:p w14:paraId="5599601F" w14:textId="77777777" w:rsidR="006913C6" w:rsidRDefault="006913C6" w:rsidP="00762FDF">
      <w:pPr>
        <w:spacing w:line="360" w:lineRule="auto"/>
      </w:pPr>
    </w:p>
    <w:p w14:paraId="780967CA" w14:textId="767C8835" w:rsidR="006913C6" w:rsidRDefault="006913C6" w:rsidP="00762FDF">
      <w:pPr>
        <w:spacing w:line="360" w:lineRule="auto"/>
      </w:pPr>
      <w:r>
        <w:t xml:space="preserve">This community project proposal builds on the Welsh curriculum (2022), as there is pivotal emphasis on the link between language, </w:t>
      </w:r>
      <w:r w:rsidR="00252C3C">
        <w:t>literacy,</w:t>
      </w:r>
      <w:r>
        <w:t xml:space="preserve"> and communication skills in order for pupils to become capable and informed citizens of Wales and the world. </w:t>
      </w:r>
      <w:r>
        <w:lastRenderedPageBreak/>
        <w:t xml:space="preserve">Therefore, through the project proposal of ‘story swap’ pupils will be able to develop not only their literacy and language skills but also surround themselves with authentic learning as they will be listening to stories from both their own cultures and of other cultures. However, Wales performance </w:t>
      </w:r>
      <w:bookmarkStart w:id="4" w:name="_Int_gkDJV0ik"/>
      <w:r>
        <w:t>regarding</w:t>
      </w:r>
      <w:bookmarkEnd w:id="4"/>
      <w:r>
        <w:t xml:space="preserve"> literacy and language skills ha</w:t>
      </w:r>
      <w:r w:rsidR="00164CA0">
        <w:t>s</w:t>
      </w:r>
      <w:r>
        <w:t xml:space="preserve"> been on the decline</w:t>
      </w:r>
      <w:r w:rsidR="000B5504">
        <w:t xml:space="preserve">. </w:t>
      </w:r>
      <w:r>
        <w:t xml:space="preserve">Save the children (2016) research discovered that eight in ten children join school struggling to speak full sentences and this continues towards key stage two. Estyn (2021) concludes that although literacy and language have increased slightly over the years the overall standards of literacy and language are </w:t>
      </w:r>
      <w:bookmarkStart w:id="5" w:name="_Int_KzigriIJ"/>
      <w:r>
        <w:t>similar to</w:t>
      </w:r>
      <w:bookmarkEnd w:id="5"/>
      <w:r>
        <w:t xml:space="preserve"> those reported in 2016. Therefore, </w:t>
      </w:r>
      <w:r w:rsidR="00EC7A8C">
        <w:t xml:space="preserve">this suggests </w:t>
      </w:r>
      <w:r>
        <w:t>there has not been an overall</w:t>
      </w:r>
      <w:r w:rsidR="00152B36">
        <w:t xml:space="preserve"> </w:t>
      </w:r>
      <w:r>
        <w:t xml:space="preserve">impact </w:t>
      </w:r>
      <w:r w:rsidR="009E1900">
        <w:t xml:space="preserve">on increasing </w:t>
      </w:r>
      <w:r>
        <w:t xml:space="preserve"> language and literacy skills in pupils, thus the introduction of the ‘story swap’ proposal and it’s active engagement nature aligns with the child, as Bruner (1983), argues that at this stage learners are widely social and communicative therefore, ‘story swap’ caters to their needs in developing their language and literacy skills and overall, may amplify Wales performance. </w:t>
      </w:r>
    </w:p>
    <w:p w14:paraId="1BDFAB1E" w14:textId="2C6849EF" w:rsidR="006913C6" w:rsidRDefault="006913C6" w:rsidP="00762FDF">
      <w:pPr>
        <w:spacing w:line="360" w:lineRule="auto"/>
      </w:pPr>
      <w:r>
        <w:t xml:space="preserve"> Through, working with the community, ‘story swap’ vocalises the significance in developing not only pupils literacy and language skills but also relationships</w:t>
      </w:r>
      <w:r w:rsidR="001936E7">
        <w:t>,</w:t>
      </w:r>
      <w:r>
        <w:t xml:space="preserve"> as children will be able to attend local care homes and libraries where they will meet new people and listen to stories where they will be presented </w:t>
      </w:r>
      <w:r w:rsidR="004A47F6">
        <w:t xml:space="preserve">with </w:t>
      </w:r>
      <w:r>
        <w:t>new vocabulary. This is crucial as children learn best through collaboration and social interaction, as Vygotsky (1978, p.28) states that</w:t>
      </w:r>
      <w:r w:rsidR="004A47F6">
        <w:t>,</w:t>
      </w:r>
      <w:r>
        <w:t xml:space="preserve"> learning awakens a variety of internal developmental processes that </w:t>
      </w:r>
      <w:r w:rsidR="00252C3C">
        <w:t>can</w:t>
      </w:r>
      <w:r>
        <w:t xml:space="preserve"> </w:t>
      </w:r>
      <w:bookmarkStart w:id="6" w:name="_Int_czkTK3HN"/>
      <w:r>
        <w:t>operate</w:t>
      </w:r>
      <w:bookmarkEnd w:id="6"/>
      <w:r>
        <w:t xml:space="preserve"> only when a learner is interacting with others in their environment. Furthermore, Yusof (2021), explores Vygotsky</w:t>
      </w:r>
      <w:r w:rsidR="001C12D9">
        <w:t>’s</w:t>
      </w:r>
      <w:r>
        <w:t xml:space="preserve"> (1978) theory of a more knowledgable other which relates to </w:t>
      </w:r>
      <w:r w:rsidR="00403948">
        <w:t>‘</w:t>
      </w:r>
      <w:r>
        <w:t>story swap’ as more knowledgable members of the community for instance, parents, grandparents will be sharing their stories with the pupils which will allow the pupils to expand their language and literacy skills</w:t>
      </w:r>
      <w:r w:rsidR="00C57962">
        <w:t>,</w:t>
      </w:r>
      <w:r>
        <w:t xml:space="preserve"> as they will be learning new vocabulary and broadening their understanding of different cultures</w:t>
      </w:r>
      <w:r w:rsidR="00255F17">
        <w:t xml:space="preserve">, </w:t>
      </w:r>
      <w:r>
        <w:t xml:space="preserve"> which is of importance within the Welsh curriculum </w:t>
      </w:r>
      <w:r w:rsidR="00C57962">
        <w:t xml:space="preserve">as it </w:t>
      </w:r>
      <w:r>
        <w:t xml:space="preserve"> foster</w:t>
      </w:r>
      <w:r w:rsidR="00C57962">
        <w:t xml:space="preserve">s </w:t>
      </w:r>
      <w:r>
        <w:t xml:space="preserve">a sense of inclusivity and appreciation of diverse and different backgrounds. This further aligns with UNCRC (2022),  article </w:t>
      </w:r>
      <w:r w:rsidR="00886B30">
        <w:t>29</w:t>
      </w:r>
      <w:r w:rsidR="00255F17">
        <w:t>,</w:t>
      </w:r>
      <w:r w:rsidR="00886B30">
        <w:t xml:space="preserve"> which</w:t>
      </w:r>
      <w:r>
        <w:t xml:space="preserve"> underlines the essence of children learn</w:t>
      </w:r>
      <w:r w:rsidR="00753CFC">
        <w:t xml:space="preserve">ing </w:t>
      </w:r>
      <w:r>
        <w:t xml:space="preserve"> about their own culture and other cultures to promote respect and understanding. </w:t>
      </w:r>
    </w:p>
    <w:p w14:paraId="6EB4659A" w14:textId="77777777" w:rsidR="006913C6" w:rsidRDefault="006913C6" w:rsidP="00762FDF">
      <w:pPr>
        <w:spacing w:line="360" w:lineRule="auto"/>
      </w:pPr>
    </w:p>
    <w:p w14:paraId="19AABEA2" w14:textId="6D760DBA" w:rsidR="006913C6" w:rsidRDefault="006913C6" w:rsidP="00762FDF">
      <w:pPr>
        <w:spacing w:line="360" w:lineRule="auto"/>
      </w:pPr>
      <w:r>
        <w:lastRenderedPageBreak/>
        <w:t xml:space="preserve">In regard, to </w:t>
      </w:r>
      <w:r w:rsidR="00886B30">
        <w:t>building relationships</w:t>
      </w:r>
      <w:r>
        <w:t xml:space="preserve"> within the community, ‘story swap’ offers this in relation to strengthening school and home relationships throug</w:t>
      </w:r>
      <w:r w:rsidR="00753CFC">
        <w:t xml:space="preserve">h </w:t>
      </w:r>
      <w:r>
        <w:t xml:space="preserve"> inviting guardians/families into the school to share their stories with children, teachers and other families. This is fundamental for pupils achievement and well-being</w:t>
      </w:r>
      <w:r w:rsidR="00396AF5">
        <w:t xml:space="preserve">, </w:t>
      </w:r>
      <w:r>
        <w:t xml:space="preserve"> as</w:t>
      </w:r>
      <w:r w:rsidR="00396AF5">
        <w:t xml:space="preserve"> </w:t>
      </w:r>
      <w:r>
        <w:t xml:space="preserve">Harris and Goodall (2007, p.14) implies that effective </w:t>
      </w:r>
      <w:r w:rsidR="00886B30">
        <w:t>parent</w:t>
      </w:r>
      <w:r>
        <w:t xml:space="preserve"> engagement is the most powerful school improvement lever. Desforges and Abouchaar (2003) agree, with this statement as they conclude the degree in which families engage with their child’s learning has six times the influence over a child’s educational achievement. Therefore, emphasising the potential impact of ‘story swap’ as</w:t>
      </w:r>
      <w:r w:rsidR="00C20FA1">
        <w:t xml:space="preserve">, </w:t>
      </w:r>
      <w:r>
        <w:t xml:space="preserve">through families and guardians involvement, </w:t>
      </w:r>
      <w:r w:rsidR="00886B30">
        <w:t>pupils'</w:t>
      </w:r>
      <w:r>
        <w:t xml:space="preserve"> attainment and learning will develop substantially.  However, it must be considered that not all parents are able to be involved in their child’s education due to unpredictable schedules which results in minimal time (Swap, 1993). It must also be recognised that not all parental ethnic groups nor all socio-economic groups feel welcomed by schools</w:t>
      </w:r>
      <w:r w:rsidR="006B1883">
        <w:t>,</w:t>
      </w:r>
      <w:r>
        <w:t xml:space="preserve"> which results</w:t>
      </w:r>
      <w:r w:rsidR="006B1883">
        <w:t xml:space="preserve"> </w:t>
      </w:r>
      <w:r>
        <w:t>in a weakened relationship between schools and families. Yet, through ‘story swap’ it can encourage involvement from all families and background</w:t>
      </w:r>
      <w:r w:rsidR="003F2B49">
        <w:t>s</w:t>
      </w:r>
      <w:r>
        <w:t xml:space="preserve"> to ensure an inclusive and represented image</w:t>
      </w:r>
      <w:r w:rsidR="00FF3C92">
        <w:t xml:space="preserve">. </w:t>
      </w:r>
      <w:r w:rsidR="00C52071">
        <w:t xml:space="preserve">As in </w:t>
      </w:r>
      <w:r>
        <w:t>accordance to article 12, of the UNCRC (2022), all children should have the rights to participation and expression</w:t>
      </w:r>
      <w:r w:rsidR="00586921">
        <w:t>,</w:t>
      </w:r>
      <w:r>
        <w:t xml:space="preserve"> which is reflected within the proposal ‘story swap’ as one of main purposes is to receive participation from families, the community and school in order to promote inclusivity. </w:t>
      </w:r>
    </w:p>
    <w:p w14:paraId="465FFFBA" w14:textId="77777777" w:rsidR="006913C6" w:rsidRDefault="006913C6" w:rsidP="00762FDF">
      <w:pPr>
        <w:spacing w:line="360" w:lineRule="auto"/>
      </w:pPr>
    </w:p>
    <w:p w14:paraId="6BE26938" w14:textId="5D0DF91F" w:rsidR="006913C6" w:rsidRDefault="006913C6" w:rsidP="00762FDF">
      <w:pPr>
        <w:spacing w:line="360" w:lineRule="auto"/>
      </w:pPr>
      <w:r>
        <w:t xml:space="preserve">Moreover, the proposal of ‘story swap’ enables for a sense of identity and belonging to </w:t>
      </w:r>
      <w:bookmarkStart w:id="7" w:name="_Int_5SpwPJGi"/>
      <w:r>
        <w:t>be built</w:t>
      </w:r>
      <w:bookmarkEnd w:id="7"/>
      <w:r>
        <w:t xml:space="preserve"> within the community and school. For instance, the curriculum of Wales (2022), introduces the word Cynefin, which translates to the place where we feel we belong, yet it is not just a place in a geographical sense but a historic, cultural and social place which continues to shape the community which inhabits it (Welsh government, 2020). Through, ‘story swap’ Cynefin can be </w:t>
      </w:r>
      <w:bookmarkStart w:id="8" w:name="_Int_ZRmPI3Dw"/>
      <w:r>
        <w:t>established</w:t>
      </w:r>
      <w:bookmarkEnd w:id="8"/>
      <w:r>
        <w:t xml:space="preserve"> as it brings about all members of the community, to share their stories with the younger generation and allows for families to </w:t>
      </w:r>
      <w:bookmarkStart w:id="9" w:name="_Int_21xaMCwi"/>
      <w:r>
        <w:t>be invited</w:t>
      </w:r>
      <w:bookmarkEnd w:id="9"/>
      <w:r>
        <w:t xml:space="preserve"> into the school and for the pupils to visit local care homes and libraries to strengthen their bonds with the community. Furthermore, it introduces</w:t>
      </w:r>
      <w:r w:rsidR="00956B23">
        <w:t xml:space="preserve"> many </w:t>
      </w:r>
      <w:r>
        <w:t>different cultures to be shared, as in School X there are many Polish, Romanian, Islamic and Caribbean pupils which brings a sense of inclusivity</w:t>
      </w:r>
      <w:r w:rsidR="00D974D4">
        <w:t>,</w:t>
      </w:r>
      <w:r>
        <w:t xml:space="preserve"> as Ofsted (2019), continues to </w:t>
      </w:r>
      <w:r>
        <w:lastRenderedPageBreak/>
        <w:t>promote the significance of inclusive practice to ensure that pupils and families feel a sense of belonging</w:t>
      </w:r>
      <w:r w:rsidR="00D974D4">
        <w:t>,</w:t>
      </w:r>
      <w:r>
        <w:t xml:space="preserve"> as without the proposal of ‘story swap’ some families in the area  may feel that they do not belong. Therefore, emphasising the importance ‘story swap’ would have in bringing all parts of the community together</w:t>
      </w:r>
      <w:r w:rsidR="00945979">
        <w:t>,</w:t>
      </w:r>
      <w:r>
        <w:t xml:space="preserve"> as cultural values </w:t>
      </w:r>
      <w:bookmarkStart w:id="10" w:name="_Int_TnFYwp2T"/>
      <w:r>
        <w:t>are woven</w:t>
      </w:r>
      <w:bookmarkEnd w:id="10"/>
      <w:r>
        <w:t xml:space="preserve"> into the fabric of everyday routines and interactions within the family and school and its of crucial necessity that this </w:t>
      </w:r>
      <w:bookmarkStart w:id="11" w:name="_Int_IZzszVJJ"/>
      <w:r>
        <w:t>is upheld</w:t>
      </w:r>
      <w:bookmarkEnd w:id="11"/>
      <w:r>
        <w:t xml:space="preserve"> (Velez-Agosto et al, 2013). Yet, it must be noted that some family members may not wish to share their stories du</w:t>
      </w:r>
      <w:r w:rsidR="00945979">
        <w:t xml:space="preserve">e to </w:t>
      </w:r>
      <w:r>
        <w:t xml:space="preserve">cultural sensitivities or if parents/guardians </w:t>
      </w:r>
      <w:r w:rsidR="006F5E0C">
        <w:t xml:space="preserve">can not </w:t>
      </w:r>
      <w:r>
        <w:t>read or write</w:t>
      </w:r>
      <w:r w:rsidR="00B52D53">
        <w:t>,</w:t>
      </w:r>
      <w:r>
        <w:t xml:space="preserve"> this proposal may cause them to shy away from joining.  Additionally, Maslow’s hierarchy of needs (1943) supports the influence of ‘story swap’ in building a sense of belonging as he </w:t>
      </w:r>
      <w:bookmarkStart w:id="12" w:name="_Int_scAS9jjR"/>
      <w:r>
        <w:t>states</w:t>
      </w:r>
      <w:bookmarkEnd w:id="12"/>
      <w:r>
        <w:t xml:space="preserve"> in his third levels of needs that learners </w:t>
      </w:r>
      <w:bookmarkStart w:id="13" w:name="_Int_i1duGTr5"/>
      <w:r>
        <w:t>require</w:t>
      </w:r>
      <w:bookmarkEnd w:id="13"/>
      <w:r>
        <w:t xml:space="preserve"> love and belonging. Hence, it is highlighted that a sense of </w:t>
      </w:r>
      <w:r w:rsidR="006F5E0C">
        <w:t>belonging,</w:t>
      </w:r>
      <w:r>
        <w:t xml:space="preserve"> and identity is developed through participation in community groups and social environments (Burleson and Thoron, 2014). Overall, emphasising how ‘story swap’ is crucial in developing belonging and </w:t>
      </w:r>
      <w:r w:rsidR="006F5E0C">
        <w:t>identity</w:t>
      </w:r>
      <w:r w:rsidR="00DF4819">
        <w:t>,</w:t>
      </w:r>
      <w:r w:rsidR="006F5E0C">
        <w:t xml:space="preserve"> as</w:t>
      </w:r>
      <w:r>
        <w:t xml:space="preserve"> Gray (2021), states that through developing a sense of belonging</w:t>
      </w:r>
      <w:r w:rsidR="00C908C8">
        <w:t>,</w:t>
      </w:r>
      <w:r>
        <w:t xml:space="preserve"> pupils will increase their educational success and motivational outcomes which in turn r</w:t>
      </w:r>
      <w:r w:rsidR="00C908C8">
        <w:t>aises</w:t>
      </w:r>
      <w:r>
        <w:t xml:space="preserve"> attainment and builds the pupils of Wales into future successful learners. </w:t>
      </w:r>
    </w:p>
    <w:p w14:paraId="67EB83B3" w14:textId="77777777" w:rsidR="006913C6" w:rsidRDefault="006913C6" w:rsidP="00762FDF">
      <w:pPr>
        <w:spacing w:line="360" w:lineRule="auto"/>
      </w:pPr>
    </w:p>
    <w:p w14:paraId="51285BB1" w14:textId="71DD6362" w:rsidR="006913C6" w:rsidRDefault="006913C6" w:rsidP="00762FDF">
      <w:pPr>
        <w:spacing w:line="360" w:lineRule="auto"/>
      </w:pPr>
      <w:r>
        <w:t xml:space="preserve">The proposal of ‘story swap’ presents core project aims, as its fundamental priority is to strengthen school, </w:t>
      </w:r>
      <w:r w:rsidR="006F5E0C">
        <w:t>home,</w:t>
      </w:r>
      <w:r>
        <w:t xml:space="preserve"> and community partnerships whilst, also fostering inter generational connections and celebrating diversity and inclusion. Through these aims, the outcomes and intended impact is primarily to enhance </w:t>
      </w:r>
      <w:r w:rsidR="006F5E0C">
        <w:t>pupils'</w:t>
      </w:r>
      <w:r>
        <w:t xml:space="preserve"> literacy and language skills, to cultivate a sense of identity and belonging and to promote inclusive practice. Furthermore, these outcomes align with the Welsh curriculum of (2022), as it is of importance for all children to included and represented, as every learner matters and matters equally (UNESCO, in Crick, 2021, p.259). The proposal of story swap will </w:t>
      </w:r>
      <w:bookmarkStart w:id="14" w:name="_Int_XL8y8tjk"/>
      <w:r>
        <w:t>be implemented</w:t>
      </w:r>
      <w:bookmarkEnd w:id="14"/>
      <w:r>
        <w:t xml:space="preserve"> slowly into schools, beginning with a project launch assembly where the children will be able to learn about what it is and its purpose. The school will then send letters home and emails to ensure that they gain consent from the parents and</w:t>
      </w:r>
      <w:r w:rsidR="00C779BA">
        <w:t xml:space="preserve"> </w:t>
      </w:r>
      <w:r>
        <w:t xml:space="preserve">also </w:t>
      </w:r>
      <w:r w:rsidR="00C779BA">
        <w:t xml:space="preserve">to ascertain </w:t>
      </w:r>
      <w:r>
        <w:t xml:space="preserve">how many parents/guardians would like to </w:t>
      </w:r>
      <w:r w:rsidR="006F5E0C">
        <w:t>take part</w:t>
      </w:r>
      <w:r>
        <w:t>. However, Brodieu (1986), suggests that not all parents/guardians may feel comfortable receiving a letter</w:t>
      </w:r>
      <w:r w:rsidR="00C0262C">
        <w:t>,</w:t>
      </w:r>
      <w:r>
        <w:t xml:space="preserve"> </w:t>
      </w:r>
      <w:r>
        <w:lastRenderedPageBreak/>
        <w:t xml:space="preserve">especially if written in English or if there are low levels of literacy which could </w:t>
      </w:r>
      <w:r w:rsidR="006F5E0C">
        <w:t>impact</w:t>
      </w:r>
      <w:r>
        <w:t xml:space="preserve"> the involvement of the proposal. It will </w:t>
      </w:r>
      <w:bookmarkStart w:id="15" w:name="_Int_2RGQy3X7"/>
      <w:r>
        <w:t>be conducted</w:t>
      </w:r>
      <w:bookmarkEnd w:id="15"/>
      <w:r>
        <w:t xml:space="preserve"> weekly, and will be supervised by</w:t>
      </w:r>
      <w:r w:rsidR="007E25C3">
        <w:t xml:space="preserve"> the</w:t>
      </w:r>
      <w:r>
        <w:t xml:space="preserve"> head teacher, class teachers f</w:t>
      </w:r>
      <w:r w:rsidR="007E25C3">
        <w:t>or</w:t>
      </w:r>
      <w:r w:rsidR="008B7FEA">
        <w:t xml:space="preserve"> key</w:t>
      </w:r>
      <w:r>
        <w:t xml:space="preserve"> stage 2 pupils and teaching staff support will also </w:t>
      </w:r>
      <w:bookmarkStart w:id="16" w:name="_Int_s7ABkHNS"/>
      <w:r>
        <w:t>be included</w:t>
      </w:r>
      <w:bookmarkEnd w:id="16"/>
      <w:r>
        <w:t>. Yet, Maslach et al, (2001), implies that this could lead to a ‘burnout’ for teachers and staff as there may be many expectations to complete on top of the proposal of ‘story swap’ especially with it being a weekly proposal. In relation</w:t>
      </w:r>
      <w:r w:rsidR="00990F19">
        <w:t xml:space="preserve"> to</w:t>
      </w:r>
      <w:r>
        <w:t xml:space="preserve"> funding the proposal, it will be primarily through the school, </w:t>
      </w:r>
      <w:r w:rsidR="00665E01">
        <w:t>although</w:t>
      </w:r>
      <w:r>
        <w:t xml:space="preserve"> a parent teacher association </w:t>
      </w:r>
      <w:r w:rsidR="0018545C">
        <w:t>scheme could raise</w:t>
      </w:r>
      <w:r>
        <w:t xml:space="preserve"> money</w:t>
      </w:r>
      <w:r w:rsidR="0018545C">
        <w:t>,</w:t>
      </w:r>
      <w:r>
        <w:t xml:space="preserve"> for instance, a raffle </w:t>
      </w:r>
      <w:r w:rsidR="0018545C">
        <w:t xml:space="preserve">could be held </w:t>
      </w:r>
      <w:r>
        <w:t xml:space="preserve">to fund materials such as blank notebooks for the children to write down the stories they hear. One of the main outcomes of this proposal is to enhance literacy and language skills within learners, as Halliday (1993, p.16) </w:t>
      </w:r>
      <w:bookmarkStart w:id="17" w:name="_Int_rPH3vLIm"/>
      <w:r>
        <w:t>states</w:t>
      </w:r>
      <w:bookmarkEnd w:id="17"/>
      <w:r>
        <w:t xml:space="preserve"> the importance and power of language in shaping our consciousness. Therefore, ‘story swap’ provides a sense of development in this area, as story telling is the strongest predictor of literacy (Wells, 1986) which highlights its impact in enhancing learners language and literacy skills</w:t>
      </w:r>
      <w:r w:rsidR="00E864F8">
        <w:t xml:space="preserve">, </w:t>
      </w:r>
      <w:r>
        <w:t xml:space="preserve">as through ‘story swap’, the pupils will be introduced to a wide range of stories where they will listen and transcribe them. It is further emphasised through making personal connections, as the </w:t>
      </w:r>
      <w:r w:rsidR="004C4D48">
        <w:t>pupils'</w:t>
      </w:r>
      <w:r>
        <w:t xml:space="preserve"> parents will come into school and share their stories, this will thus</w:t>
      </w:r>
      <w:r w:rsidR="0008596E">
        <w:t xml:space="preserve"> </w:t>
      </w:r>
      <w:r>
        <w:t xml:space="preserve">encourage the learner to engage deeper and shape their understanding of language (Rosenblatt’s, 1978). In contrast, it must be considered that bringing in parents to share stories may hinder </w:t>
      </w:r>
      <w:r w:rsidR="004C4D48">
        <w:t>pupils'</w:t>
      </w:r>
      <w:r>
        <w:t xml:space="preserve"> language skills, as through Bernstein (1971) language codes theory, suggests that some individuals use different codes and wording depending on social class and context. </w:t>
      </w:r>
    </w:p>
    <w:p w14:paraId="14528433" w14:textId="77777777" w:rsidR="006913C6" w:rsidRDefault="006913C6" w:rsidP="00762FDF">
      <w:pPr>
        <w:spacing w:line="360" w:lineRule="auto"/>
      </w:pPr>
    </w:p>
    <w:p w14:paraId="3CA64569" w14:textId="5A07387D" w:rsidR="006913C6" w:rsidRDefault="006913C6" w:rsidP="00762FDF">
      <w:pPr>
        <w:spacing w:line="360" w:lineRule="auto"/>
      </w:pPr>
      <w:r>
        <w:t xml:space="preserve">In relation to measuring the impact of the proposal of ‘story swap’, the school </w:t>
      </w:r>
      <w:r w:rsidR="004C4D48">
        <w:t>will assess</w:t>
      </w:r>
      <w:r w:rsidR="00104DAC">
        <w:t xml:space="preserve"> </w:t>
      </w:r>
      <w:r>
        <w:t xml:space="preserve">how effective the community project proposal has been through family and parental feedback. This will be conducted after trialling the proposal for over four weeks, School X will then send out feedback forms to parents and guardians for their views on whether ‘story swap’ has been impactful in enhancing </w:t>
      </w:r>
      <w:r w:rsidR="004C4D48">
        <w:t>learners'</w:t>
      </w:r>
      <w:r>
        <w:t xml:space="preserve"> literacy and language skills. Bhargavi (2024), implies that parental feedback is crucial as through story swap</w:t>
      </w:r>
      <w:r w:rsidR="00A919F5">
        <w:t xml:space="preserve"> as </w:t>
      </w:r>
      <w:r>
        <w:t xml:space="preserve"> it offers the opportunity for parents and guardians to come into the school and see their children learning. Through parent and guardian feedback the </w:t>
      </w:r>
      <w:r>
        <w:lastRenderedPageBreak/>
        <w:t xml:space="preserve">school can  evaluate the impact of story swap as listening to </w:t>
      </w:r>
      <w:r w:rsidR="004C4D48">
        <w:t>families'</w:t>
      </w:r>
      <w:r>
        <w:t xml:space="preserve"> ideas encourages pupils to flourish in their attainment (Hong, 2009). Additionally, parental feedback strengthens the school’s ties to families and community and </w:t>
      </w:r>
      <w:r w:rsidR="00F87797">
        <w:t xml:space="preserve">it </w:t>
      </w:r>
      <w:r>
        <w:t xml:space="preserve">was discovered to be four times more likely to make significant gains in pupils reading and writing skills (Bryk et al, 2010). However, Green et al (2007, p.41), argues that some parents level of education may influence their views on whether they have sufficient skills and knowledge to engage with the feedback forms presented which may impede the impact of the proposal. Furthermore, Reay (1998, p.41) concludes that working class families and home-school relationships are about separateness therefore, suggesting working families feel alienated and may not reply to the feedback forms. Yet, ‘story swap’ proposes to overcome this challenge as it will welcome all families to school and thus, overall have a positive impact in strengthening family relationships within the school. </w:t>
      </w:r>
    </w:p>
    <w:p w14:paraId="51C19F6A" w14:textId="07AEE4CE" w:rsidR="006913C6" w:rsidRDefault="006913C6" w:rsidP="00762FDF">
      <w:pPr>
        <w:spacing w:line="360" w:lineRule="auto"/>
      </w:pPr>
      <w:r>
        <w:t xml:space="preserve">Moreover, a case study </w:t>
      </w:r>
      <w:bookmarkStart w:id="18" w:name="_Int_EH83ZbRx"/>
      <w:r>
        <w:t>similar to</w:t>
      </w:r>
      <w:bookmarkEnd w:id="18"/>
      <w:r>
        <w:t xml:space="preserve"> ‘story swap’ </w:t>
      </w:r>
      <w:bookmarkStart w:id="19" w:name="_Int_nTwDgC9T"/>
      <w:r>
        <w:t>was conducted</w:t>
      </w:r>
      <w:bookmarkEnd w:id="19"/>
      <w:r>
        <w:t xml:space="preserve"> in a primary school in Cornwall. The proposal was an intergenerational project named ‘linking lifetimes’ which bought different generations together to share and connect and learn through the common language of story (Volunteer Cornwall,2016). The school discovered through this proposal, school, community and family relationships strengthened as it invited an inclusive </w:t>
      </w:r>
      <w:r w:rsidR="004C4D48">
        <w:t>environment and</w:t>
      </w:r>
      <w:r>
        <w:t xml:space="preserve"> allowed for a sense of identity and belonging to prosper within the school. It further echoes Bronfenbrenner’s (1979) ecological systems theory, as he states the crucial role relationships play in a learner’s development therefore, bringing families and attending local care homes and libraries develop relationships into a learner’s microsystem. Wilson et al (2002 p.9)  implies that creating a positive school environment through proposals such as ‘story swap’ and ‘linking lifetimes’ and by valuing diversity and inclusion within </w:t>
      </w:r>
      <w:r w:rsidR="004C4D48">
        <w:t>this proposal</w:t>
      </w:r>
      <w:r w:rsidR="00735455">
        <w:t>,</w:t>
      </w:r>
      <w:r>
        <w:t xml:space="preserve"> it encourages a positive effect on </w:t>
      </w:r>
      <w:r w:rsidR="00565A78">
        <w:t xml:space="preserve">a </w:t>
      </w:r>
      <w:r>
        <w:t>student’s relationship with the school. In reflection, Bernstein (1971), suggests barriers to both proposals</w:t>
      </w:r>
      <w:r w:rsidR="0077583D">
        <w:t xml:space="preserve">, </w:t>
      </w:r>
      <w:r>
        <w:t>as he states that if there is inequality in access to education for families or community</w:t>
      </w:r>
      <w:r w:rsidR="0077583D">
        <w:t>,</w:t>
      </w:r>
      <w:r>
        <w:t xml:space="preserve"> this will thus create for an exclusion and damage relationships between the wider community and families. </w:t>
      </w:r>
    </w:p>
    <w:p w14:paraId="0C0D9049" w14:textId="77777777" w:rsidR="006913C6" w:rsidRDefault="006913C6" w:rsidP="00762FDF">
      <w:pPr>
        <w:spacing w:line="360" w:lineRule="auto"/>
      </w:pPr>
    </w:p>
    <w:p w14:paraId="7F64EDC6" w14:textId="280AB2E3" w:rsidR="006913C6" w:rsidRDefault="006913C6" w:rsidP="00762FDF">
      <w:pPr>
        <w:spacing w:line="360" w:lineRule="auto"/>
      </w:pPr>
      <w:r>
        <w:t xml:space="preserve">Firstly, the main strength of ‘story swap’ is that it fosters engagement and develops social skills within learners, as it strives to include all learners and families in order to </w:t>
      </w:r>
      <w:r>
        <w:lastRenderedPageBreak/>
        <w:t>share stories. This is of upmost importance as engagement is acknowledged as a critical factor in learning (Greenwood, 1991 and Mcwilliam et al, 1985, p.3). It is concluded that school and it’s environment plays an integral role in promoting student engagement and social interactions for instance, Dewey (1938) and Gutek (2014), note that learning should take place in a variety of social settings which highlights ‘story swap’ as the aim is to engage pupils in a number of settings within their community which develops their social skills. Through social interaction engagement grows as Flinders and Thornton (2013, P.92) reflect Dewey</w:t>
      </w:r>
      <w:r w:rsidR="00734B0D">
        <w:t>’s</w:t>
      </w:r>
      <w:r>
        <w:t xml:space="preserve"> (1938) social theory, as effective education primarily develops through social interactions thus, ‘story swap’ offers for pupils to expand their language and literacy skills through the act of engagement. An opportunity that arises through story swap is the potential for intergenerational learning which develops mutual learning relationships between different generations and helps expand social capital and social cohesion. Furthermore, it is the means of building meaningful relationships and recognises culture, values, and traditions to be passed on (Drury et al, 2017). Gigliotti et al (2005), expands as he implies intergenerational relationships increase empathy in young children. Whilst Springate et al (2008), notes the enhancement of communication skills and self-esteem. </w:t>
      </w:r>
    </w:p>
    <w:p w14:paraId="5E02BA0B" w14:textId="7F6AF89C" w:rsidR="006913C6" w:rsidRDefault="006913C6" w:rsidP="00762FDF">
      <w:pPr>
        <w:spacing w:line="360" w:lineRule="auto"/>
      </w:pPr>
      <w:r>
        <w:t xml:space="preserve">On the contrary, there are weaknesses and threats to the proposal as a lack of parental and community engagement could occur due to power imbalances between school, community, and families. This </w:t>
      </w:r>
      <w:bookmarkStart w:id="20" w:name="_Int_p55It16T"/>
      <w:r>
        <w:t>is discovered</w:t>
      </w:r>
      <w:bookmarkEnd w:id="20"/>
      <w:r>
        <w:t xml:space="preserve"> to be especially true when parents come from different cultures, class backgrounds and low levels of educational attainment which may cause families to feel ‘judged’ by the school (Ames and Dickinson, 2004 p.2). Additionally, it is implied by Watt (2006 p.2), that levels of parental engagement differ by socio economic demographic characteristics such as gender, ethnicity and class</w:t>
      </w:r>
      <w:r w:rsidR="000719BA">
        <w:t>,</w:t>
      </w:r>
      <w:r>
        <w:t xml:space="preserve"> which fosters a sense of alienation which could impact ‘story swap’ as without engagement the proposal will be unsuccessful. A threat that could impose the proposal of ‘story swap’ is economic factors, as Nuffield foundation (2023), states the cost of living has effected participation from families in acts of volunteering/proposals due to financial strains. Moreover, limited school funding or cuts in school funding could impact the proposal as it was discovered that over 50% of school</w:t>
      </w:r>
      <w:r w:rsidR="000D405C">
        <w:t xml:space="preserve">s </w:t>
      </w:r>
      <w:r>
        <w:t xml:space="preserve">have had to cut non-essential services as a result of the cost of living crisis (NFER, 2023). Therefore, </w:t>
      </w:r>
      <w:r>
        <w:lastRenderedPageBreak/>
        <w:t xml:space="preserve">suggesting the potential barriers that could impact the proposal of ‘story swap’ in regard to it’s success and it’s purpose in developing pupils literacy and language skills whilst, also laying foundations for community, school and family relationships to be established. </w:t>
      </w:r>
    </w:p>
    <w:p w14:paraId="29A80E3E" w14:textId="77777777" w:rsidR="006913C6" w:rsidRDefault="006913C6" w:rsidP="00762FDF">
      <w:pPr>
        <w:spacing w:line="360" w:lineRule="auto"/>
      </w:pPr>
    </w:p>
    <w:p w14:paraId="2F37169F" w14:textId="229217A6" w:rsidR="006913C6" w:rsidRDefault="006913C6" w:rsidP="00762FDF">
      <w:pPr>
        <w:spacing w:line="360" w:lineRule="auto"/>
      </w:pPr>
      <w:bookmarkStart w:id="21" w:name="_Int_OckoJGZl"/>
      <w:r>
        <w:t>In essence, the</w:t>
      </w:r>
      <w:bookmarkEnd w:id="21"/>
      <w:r>
        <w:t xml:space="preserve"> proposal of ‘story swap’ has </w:t>
      </w:r>
      <w:r w:rsidR="008C0AFA">
        <w:t>raised</w:t>
      </w:r>
      <w:r>
        <w:t xml:space="preserve"> a wide range of </w:t>
      </w:r>
      <w:r w:rsidR="00100E34">
        <w:t xml:space="preserve">significant issues such </w:t>
      </w:r>
      <w:r>
        <w:t>as</w:t>
      </w:r>
      <w:r w:rsidR="00100E34">
        <w:t xml:space="preserve">, </w:t>
      </w:r>
      <w:r>
        <w:t>community has been acknowledged as a vital component within learning, linking to Bronfenbrenner’s (1979), ecological systems theory highlights the importance of community involvement in regard to children’s development. This reflects ‘story swap’</w:t>
      </w:r>
      <w:r w:rsidR="0065414E">
        <w:t>,</w:t>
      </w:r>
      <w:r>
        <w:t xml:space="preserve"> as community is central in connecting learners with families and older community members</w:t>
      </w:r>
      <w:r w:rsidR="0085459A">
        <w:t>,</w:t>
      </w:r>
      <w:r>
        <w:t xml:space="preserve"> whilst</w:t>
      </w:r>
      <w:r w:rsidR="0085459A">
        <w:t xml:space="preserve"> </w:t>
      </w:r>
      <w:r>
        <w:t xml:space="preserve">further encouraging an inclusion of diverse and cultural backgrounds to be shared. This allows a sense of Cynefin to grow in communities and within learners and builds a sense of knowledge of different cultures and histories (Welsh curriculum, 2022). Through, this proposal it has reinforced my belief in an inclusive education </w:t>
      </w:r>
      <w:r w:rsidR="00F71903">
        <w:t xml:space="preserve">system </w:t>
      </w:r>
      <w:r>
        <w:t>and the fundamental need for the role of culture, family and community in pupils education. This emphasises the QTS standards of adapting my teaching to respond to the needs of all pupils</w:t>
      </w:r>
      <w:r w:rsidR="00382D01">
        <w:t xml:space="preserve">, </w:t>
      </w:r>
      <w:r>
        <w:t xml:space="preserve">for instance, ensuring that all pupils feel represented and are aware of cultural diversity. Furthermore, to value my wider professional responsibilities such as engaging with parents/families in order to strengthen relationships. In regard to reflection of this proposal on my own teaching practice it has allowed me to appreciate the learning </w:t>
      </w:r>
      <w:r w:rsidR="00382D01">
        <w:t xml:space="preserve">that </w:t>
      </w:r>
      <w:r>
        <w:t>extends beyond the classroom and the vital need for community and identity in pupils learning. Following, this I intend to develop inclusive communication strategies and prioritise inclusion and belonging in future practice in order for all pupils to sense the feeling of Cynefin.</w:t>
      </w:r>
    </w:p>
    <w:p w14:paraId="04239C36" w14:textId="77777777" w:rsidR="00252C3C" w:rsidRDefault="00252C3C" w:rsidP="007D58F0"/>
    <w:p w14:paraId="76D31A86" w14:textId="77777777" w:rsidR="00252C3C" w:rsidRDefault="00252C3C" w:rsidP="007D58F0"/>
    <w:p w14:paraId="6AE8A02D" w14:textId="77777777" w:rsidR="00252C3C" w:rsidRDefault="00252C3C" w:rsidP="007D58F0"/>
    <w:p w14:paraId="69203441" w14:textId="77777777" w:rsidR="00252C3C" w:rsidRDefault="00252C3C" w:rsidP="007D58F0"/>
    <w:p w14:paraId="6B1ECF27" w14:textId="77777777" w:rsidR="00252C3C" w:rsidRDefault="00252C3C" w:rsidP="007D58F0"/>
    <w:p w14:paraId="0612E3C4" w14:textId="77777777" w:rsidR="00252C3C" w:rsidRDefault="00252C3C" w:rsidP="007D58F0"/>
    <w:p w14:paraId="4D0B3ED8" w14:textId="0F2A27FF" w:rsidR="00252C3C" w:rsidRDefault="00252C3C" w:rsidP="007D58F0">
      <w:pPr>
        <w:rPr>
          <w:u w:val="single"/>
        </w:rPr>
      </w:pPr>
      <w:r w:rsidRPr="00252C3C">
        <w:rPr>
          <w:u w:val="single"/>
        </w:rPr>
        <w:lastRenderedPageBreak/>
        <w:t>Reference List</w:t>
      </w:r>
    </w:p>
    <w:p w14:paraId="2EC7A1D3" w14:textId="77777777" w:rsidR="00252C3C" w:rsidRDefault="00252C3C" w:rsidP="007D58F0">
      <w:pPr>
        <w:rPr>
          <w:u w:val="single"/>
        </w:rPr>
      </w:pPr>
    </w:p>
    <w:p w14:paraId="3AA4D4BA" w14:textId="1B6D4BB7" w:rsidR="00605AD1" w:rsidRPr="00605AD1" w:rsidRDefault="00605AD1" w:rsidP="00605AD1">
      <w:pPr>
        <w:spacing w:after="0" w:line="480" w:lineRule="atLeast"/>
        <w:jc w:val="center"/>
        <w:outlineLvl w:val="0"/>
        <w:divId w:val="17392309"/>
        <w:rPr>
          <w:rFonts w:ascii="Times New Roman" w:eastAsia="Times New Roman" w:hAnsi="Times New Roman" w:cs="Times New Roman"/>
          <w:b/>
          <w:bCs/>
          <w:color w:val="000000"/>
          <w:kern w:val="36"/>
          <w:lang w:eastAsia="en-GB"/>
          <w14:ligatures w14:val="none"/>
        </w:rPr>
      </w:pPr>
    </w:p>
    <w:p w14:paraId="6081AE0C"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“(PDF) Vygotsky’s Socio-Cultural Theory of Literacy Scaffolding Children to Read and Write at an Early Age.” </w:t>
      </w:r>
      <w:r w:rsidRPr="00605AD1">
        <w:rPr>
          <w:rFonts w:ascii="Times New Roman" w:hAnsi="Times New Roman" w:cs="Times New Roman"/>
          <w:i/>
          <w:iCs/>
          <w:color w:val="000000"/>
          <w:kern w:val="0"/>
          <w:lang w:eastAsia="en-GB"/>
          <w14:ligatures w14:val="none"/>
        </w:rPr>
        <w:t>ResearchGate</w:t>
      </w:r>
      <w:r w:rsidRPr="00605AD1">
        <w:rPr>
          <w:rFonts w:ascii="Times New Roman" w:hAnsi="Times New Roman" w:cs="Times New Roman"/>
          <w:color w:val="000000"/>
          <w:kern w:val="0"/>
          <w:lang w:eastAsia="en-GB"/>
          <w14:ligatures w14:val="none"/>
        </w:rPr>
        <w:t>, www.researchgate.net/publication/279279381_Vygotsky.</w:t>
      </w:r>
    </w:p>
    <w:p w14:paraId="69FEF153"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Ames, Nancy, and Amanda Dickerson. </w:t>
      </w:r>
      <w:r w:rsidRPr="00605AD1">
        <w:rPr>
          <w:rFonts w:ascii="Times New Roman" w:hAnsi="Times New Roman" w:cs="Times New Roman"/>
          <w:i/>
          <w:iCs/>
          <w:color w:val="000000"/>
          <w:kern w:val="0"/>
          <w:lang w:eastAsia="en-GB"/>
          <w14:ligatures w14:val="none"/>
        </w:rPr>
        <w:t>Five Barriers to Parent Involvement</w:t>
      </w:r>
      <w:r w:rsidRPr="00605AD1">
        <w:rPr>
          <w:rFonts w:ascii="Times New Roman" w:hAnsi="Times New Roman" w:cs="Times New Roman"/>
          <w:color w:val="000000"/>
          <w:kern w:val="0"/>
          <w:lang w:eastAsia="en-GB"/>
          <w14:ligatures w14:val="none"/>
        </w:rPr>
        <w:t>. 2004.</w:t>
      </w:r>
    </w:p>
    <w:p w14:paraId="747CFDBA"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Antony, Evelyn. “Framing Childhood Resilience through Bronfenbrenner’s Ecological Systems Theory: A Discussion Paper Framing Childhood Resilience through Bronfenbrenner’s Eco- Logical Systems Theory: A Discussion Paper.” </w:t>
      </w:r>
      <w:r w:rsidRPr="00605AD1">
        <w:rPr>
          <w:rFonts w:ascii="Times New Roman" w:hAnsi="Times New Roman" w:cs="Times New Roman"/>
          <w:i/>
          <w:iCs/>
          <w:color w:val="000000"/>
          <w:kern w:val="0"/>
          <w:lang w:eastAsia="en-GB"/>
          <w14:ligatures w14:val="none"/>
        </w:rPr>
        <w:t>Cambridge Educational Research E-Journal |</w:t>
      </w:r>
      <w:r w:rsidRPr="00605AD1">
        <w:rPr>
          <w:rFonts w:ascii="Times New Roman" w:hAnsi="Times New Roman" w:cs="Times New Roman"/>
          <w:color w:val="000000"/>
          <w:kern w:val="0"/>
          <w:lang w:eastAsia="en-GB"/>
          <w14:ligatures w14:val="none"/>
        </w:rPr>
        <w:t>, vol. 9, no. 9, 2022, www.repository.cam.ac.uk/bitstream/handle/1810/343152/Antony%2c%202022.pdf?sequence=2&amp;isAllowed=y, https://doi.org/10.17863/CAM.90564.</w:t>
      </w:r>
    </w:p>
    <w:p w14:paraId="7A1EBD15"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“Bernstein – Elaborated &amp; Restricted Code (1971).” </w:t>
      </w:r>
      <w:r w:rsidRPr="00605AD1">
        <w:rPr>
          <w:rFonts w:ascii="Times New Roman" w:hAnsi="Times New Roman" w:cs="Times New Roman"/>
          <w:i/>
          <w:iCs/>
          <w:color w:val="000000"/>
          <w:kern w:val="0"/>
          <w:lang w:eastAsia="en-GB"/>
          <w14:ligatures w14:val="none"/>
        </w:rPr>
        <w:t>I Love English Language</w:t>
      </w:r>
      <w:r w:rsidRPr="00605AD1">
        <w:rPr>
          <w:rFonts w:ascii="Times New Roman" w:hAnsi="Times New Roman" w:cs="Times New Roman"/>
          <w:color w:val="000000"/>
          <w:kern w:val="0"/>
          <w:lang w:eastAsia="en-GB"/>
          <w14:ligatures w14:val="none"/>
        </w:rPr>
        <w:t>, i love english language, 4 June 2010, aggslanguage.wordpress.com/2010/06/04/bernstein-elaborated-restricted-code-1971/.</w:t>
      </w:r>
    </w:p>
    <w:p w14:paraId="0848B9DB"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Bhargavi. “The Influence of Parents Feedback: Supporting Institutional Growth - PiHappiness.” </w:t>
      </w:r>
      <w:r w:rsidRPr="00605AD1">
        <w:rPr>
          <w:rFonts w:ascii="Times New Roman" w:hAnsi="Times New Roman" w:cs="Times New Roman"/>
          <w:i/>
          <w:iCs/>
          <w:color w:val="000000"/>
          <w:kern w:val="0"/>
          <w:lang w:eastAsia="en-GB"/>
          <w14:ligatures w14:val="none"/>
        </w:rPr>
        <w:t>PiHappiness</w:t>
      </w:r>
      <w:r w:rsidRPr="00605AD1">
        <w:rPr>
          <w:rFonts w:ascii="Times New Roman" w:hAnsi="Times New Roman" w:cs="Times New Roman"/>
          <w:color w:val="000000"/>
          <w:kern w:val="0"/>
          <w:lang w:eastAsia="en-GB"/>
          <w14:ligatures w14:val="none"/>
        </w:rPr>
        <w:t>, 8 May 2024, www.pihappiness.com/parents-feedback-supporting-institutional-growth/.</w:t>
      </w:r>
    </w:p>
    <w:p w14:paraId="690EB756"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Brodie, Kathy. “</w:t>
      </w:r>
      <w:proofErr w:type="spellStart"/>
      <w:r w:rsidRPr="00605AD1">
        <w:rPr>
          <w:rFonts w:ascii="Times New Roman" w:hAnsi="Times New Roman" w:cs="Times New Roman"/>
          <w:color w:val="000000"/>
          <w:kern w:val="0"/>
          <w:lang w:eastAsia="en-GB"/>
          <w14:ligatures w14:val="none"/>
        </w:rPr>
        <w:t>Urie</w:t>
      </w:r>
      <w:proofErr w:type="spellEnd"/>
      <w:r w:rsidRPr="00605AD1">
        <w:rPr>
          <w:rFonts w:ascii="Times New Roman" w:hAnsi="Times New Roman" w:cs="Times New Roman"/>
          <w:color w:val="000000"/>
          <w:kern w:val="0"/>
          <w:lang w:eastAsia="en-GB"/>
          <w14:ligatures w14:val="none"/>
        </w:rPr>
        <w:t xml:space="preserve"> Bronfenbrenner: The Ecological Systems Theory and </w:t>
      </w:r>
      <w:proofErr w:type="spellStart"/>
      <w:r w:rsidRPr="00605AD1">
        <w:rPr>
          <w:rFonts w:ascii="Times New Roman" w:hAnsi="Times New Roman" w:cs="Times New Roman"/>
          <w:color w:val="000000"/>
          <w:kern w:val="0"/>
          <w:lang w:eastAsia="en-GB"/>
          <w14:ligatures w14:val="none"/>
        </w:rPr>
        <w:t>Bioecological</w:t>
      </w:r>
      <w:proofErr w:type="spellEnd"/>
      <w:r w:rsidRPr="00605AD1">
        <w:rPr>
          <w:rFonts w:ascii="Times New Roman" w:hAnsi="Times New Roman" w:cs="Times New Roman"/>
          <w:color w:val="000000"/>
          <w:kern w:val="0"/>
          <w:lang w:eastAsia="en-GB"/>
          <w14:ligatures w14:val="none"/>
        </w:rPr>
        <w:t xml:space="preserve"> Model.” </w:t>
      </w:r>
      <w:r w:rsidRPr="00605AD1">
        <w:rPr>
          <w:rFonts w:ascii="Times New Roman" w:hAnsi="Times New Roman" w:cs="Times New Roman"/>
          <w:i/>
          <w:iCs/>
          <w:color w:val="000000"/>
          <w:kern w:val="0"/>
          <w:lang w:eastAsia="en-GB"/>
          <w14:ligatures w14:val="none"/>
        </w:rPr>
        <w:t>Https://</w:t>
      </w:r>
      <w:proofErr w:type="spellStart"/>
      <w:r w:rsidRPr="00605AD1">
        <w:rPr>
          <w:rFonts w:ascii="Times New Roman" w:hAnsi="Times New Roman" w:cs="Times New Roman"/>
          <w:i/>
          <w:iCs/>
          <w:color w:val="000000"/>
          <w:kern w:val="0"/>
          <w:lang w:eastAsia="en-GB"/>
          <w14:ligatures w14:val="none"/>
        </w:rPr>
        <w:t>Www.earlyyears.tv</w:t>
      </w:r>
      <w:proofErr w:type="spellEnd"/>
      <w:r w:rsidRPr="00605AD1">
        <w:rPr>
          <w:rFonts w:ascii="Times New Roman" w:hAnsi="Times New Roman" w:cs="Times New Roman"/>
          <w:i/>
          <w:iCs/>
          <w:color w:val="000000"/>
          <w:kern w:val="0"/>
          <w:lang w:eastAsia="en-GB"/>
          <w14:ligatures w14:val="none"/>
        </w:rPr>
        <w:t>/</w:t>
      </w:r>
      <w:r w:rsidRPr="00605AD1">
        <w:rPr>
          <w:rFonts w:ascii="Times New Roman" w:hAnsi="Times New Roman" w:cs="Times New Roman"/>
          <w:color w:val="000000"/>
          <w:kern w:val="0"/>
          <w:lang w:eastAsia="en-GB"/>
          <w14:ligatures w14:val="none"/>
        </w:rPr>
        <w:t>, 2024, www.earlyyears.tv/urie-bronfenbrenner-ecological-systems-theory-bioecological-model/.</w:t>
      </w:r>
    </w:p>
    <w:p w14:paraId="749C4198"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Burleson, Sarah E., and Andrew C. Thoron. “Maslow’s Hierarchy of Needs and Its Relation to Learning and Achievement.” </w:t>
      </w:r>
      <w:r w:rsidRPr="00605AD1">
        <w:rPr>
          <w:rFonts w:ascii="Times New Roman" w:hAnsi="Times New Roman" w:cs="Times New Roman"/>
          <w:i/>
          <w:iCs/>
          <w:color w:val="000000"/>
          <w:kern w:val="0"/>
          <w:lang w:eastAsia="en-GB"/>
          <w14:ligatures w14:val="none"/>
        </w:rPr>
        <w:t>EDIS</w:t>
      </w:r>
      <w:r w:rsidRPr="00605AD1">
        <w:rPr>
          <w:rFonts w:ascii="Times New Roman" w:hAnsi="Times New Roman" w:cs="Times New Roman"/>
          <w:color w:val="000000"/>
          <w:kern w:val="0"/>
          <w:lang w:eastAsia="en-GB"/>
          <w14:ligatures w14:val="none"/>
        </w:rPr>
        <w:t>, vol. 2014, no. 4, 30 June 2014, www.researchgate.net/publication/362667134_Maslow’s_Hierarchy_of_Needs_and_Its_Relation_to_Learning_and_Achievement_AEC495WC159_42014, https://doi.org/10.32473/edis-wc159-2014.</w:t>
      </w:r>
    </w:p>
    <w:p w14:paraId="298D5EE1"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“Community-School Partnerships | EBSCO.” </w:t>
      </w:r>
      <w:r w:rsidRPr="00605AD1">
        <w:rPr>
          <w:rFonts w:ascii="Times New Roman" w:hAnsi="Times New Roman" w:cs="Times New Roman"/>
          <w:i/>
          <w:iCs/>
          <w:color w:val="000000"/>
          <w:kern w:val="0"/>
          <w:lang w:eastAsia="en-GB"/>
          <w14:ligatures w14:val="none"/>
        </w:rPr>
        <w:t>EBSCO Information Services, Inc. | Www.ebsco.com</w:t>
      </w:r>
      <w:r w:rsidRPr="00605AD1">
        <w:rPr>
          <w:rFonts w:ascii="Times New Roman" w:hAnsi="Times New Roman" w:cs="Times New Roman"/>
          <w:color w:val="000000"/>
          <w:kern w:val="0"/>
          <w:lang w:eastAsia="en-GB"/>
          <w14:ligatures w14:val="none"/>
        </w:rPr>
        <w:t>, 2021, www.ebsco.com/research-starters/education/community-school-partnerships.</w:t>
      </w:r>
    </w:p>
    <w:p w14:paraId="2F7D9E8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i/>
          <w:iCs/>
          <w:color w:val="000000"/>
          <w:kern w:val="0"/>
          <w:lang w:eastAsia="en-GB"/>
          <w14:ligatures w14:val="none"/>
        </w:rPr>
        <w:t>Cost of Living Crisis: Impact on Schools National Foundation for Educational Research (NFER)</w:t>
      </w:r>
      <w:r w:rsidRPr="00605AD1">
        <w:rPr>
          <w:rFonts w:ascii="Times New Roman" w:hAnsi="Times New Roman" w:cs="Times New Roman"/>
          <w:color w:val="000000"/>
          <w:kern w:val="0"/>
          <w:lang w:eastAsia="en-GB"/>
          <w14:ligatures w14:val="none"/>
        </w:rPr>
        <w:t>.</w:t>
      </w:r>
    </w:p>
    <w:p w14:paraId="013865A3"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Cunningham, Georgia. </w:t>
      </w:r>
      <w:r w:rsidRPr="00605AD1">
        <w:rPr>
          <w:rFonts w:ascii="Times New Roman" w:hAnsi="Times New Roman" w:cs="Times New Roman"/>
          <w:i/>
          <w:iCs/>
          <w:color w:val="000000"/>
          <w:kern w:val="0"/>
          <w:lang w:eastAsia="en-GB"/>
          <w14:ligatures w14:val="none"/>
        </w:rPr>
        <w:t>An Exploration of Parental Engagement in Primary Schools</w:t>
      </w:r>
      <w:r w:rsidRPr="00605AD1">
        <w:rPr>
          <w:rFonts w:ascii="Times New Roman" w:hAnsi="Times New Roman" w:cs="Times New Roman"/>
          <w:color w:val="000000"/>
          <w:kern w:val="0"/>
          <w:lang w:eastAsia="en-GB"/>
          <w14:ligatures w14:val="none"/>
        </w:rPr>
        <w:t>. 2018.</w:t>
      </w:r>
    </w:p>
    <w:p w14:paraId="6B9FCC98"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proofErr w:type="spellStart"/>
      <w:r w:rsidRPr="00605AD1">
        <w:rPr>
          <w:rFonts w:ascii="Times New Roman" w:hAnsi="Times New Roman" w:cs="Times New Roman"/>
          <w:color w:val="000000"/>
          <w:kern w:val="0"/>
          <w:lang w:eastAsia="en-GB"/>
          <w14:ligatures w14:val="none"/>
        </w:rPr>
        <w:lastRenderedPageBreak/>
        <w:t>Dauncey</w:t>
      </w:r>
      <w:proofErr w:type="spellEnd"/>
      <w:r w:rsidRPr="00605AD1">
        <w:rPr>
          <w:rFonts w:ascii="Times New Roman" w:hAnsi="Times New Roman" w:cs="Times New Roman"/>
          <w:color w:val="000000"/>
          <w:kern w:val="0"/>
          <w:lang w:eastAsia="en-GB"/>
          <w14:ligatures w14:val="none"/>
        </w:rPr>
        <w:t>, Michael . “Reading between the Lines: Welsh Children’s Literacy Skills.” </w:t>
      </w:r>
      <w:proofErr w:type="spellStart"/>
      <w:r w:rsidRPr="00605AD1">
        <w:rPr>
          <w:rFonts w:ascii="Times New Roman" w:hAnsi="Times New Roman" w:cs="Times New Roman"/>
          <w:i/>
          <w:iCs/>
          <w:color w:val="000000"/>
          <w:kern w:val="0"/>
          <w:lang w:eastAsia="en-GB"/>
          <w14:ligatures w14:val="none"/>
        </w:rPr>
        <w:t>Research.senedd.wales</w:t>
      </w:r>
      <w:proofErr w:type="spellEnd"/>
      <w:r w:rsidRPr="00605AD1">
        <w:rPr>
          <w:rFonts w:ascii="Times New Roman" w:hAnsi="Times New Roman" w:cs="Times New Roman"/>
          <w:color w:val="000000"/>
          <w:kern w:val="0"/>
          <w:lang w:eastAsia="en-GB"/>
          <w14:ligatures w14:val="none"/>
        </w:rPr>
        <w:t>, 12 Nov. 2021, research.senedd.wales/research-articles/reading-between-the-lines-welsh-children-s-literacy-skills/.</w:t>
      </w:r>
    </w:p>
    <w:p w14:paraId="6C78CDC4"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proofErr w:type="spellStart"/>
      <w:r w:rsidRPr="00605AD1">
        <w:rPr>
          <w:rFonts w:ascii="Times New Roman" w:hAnsi="Times New Roman" w:cs="Times New Roman"/>
          <w:color w:val="000000"/>
          <w:kern w:val="0"/>
          <w:lang w:eastAsia="en-GB"/>
          <w14:ligatures w14:val="none"/>
        </w:rPr>
        <w:t>Dykstra</w:t>
      </w:r>
      <w:proofErr w:type="spellEnd"/>
      <w:r w:rsidRPr="00605AD1">
        <w:rPr>
          <w:rFonts w:ascii="Times New Roman" w:hAnsi="Times New Roman" w:cs="Times New Roman"/>
          <w:color w:val="000000"/>
          <w:kern w:val="0"/>
          <w:lang w:eastAsia="en-GB"/>
          <w14:ligatures w14:val="none"/>
        </w:rPr>
        <w:t xml:space="preserve"> Steinbrenner, Jessica R., and Linda R. Watson. “Student Engagement in the Classroom: The Impact of Classroom, Teacher, and Student Factors.” </w:t>
      </w:r>
      <w:r w:rsidRPr="00605AD1">
        <w:rPr>
          <w:rFonts w:ascii="Times New Roman" w:hAnsi="Times New Roman" w:cs="Times New Roman"/>
          <w:i/>
          <w:iCs/>
          <w:color w:val="000000"/>
          <w:kern w:val="0"/>
          <w:lang w:eastAsia="en-GB"/>
          <w14:ligatures w14:val="none"/>
        </w:rPr>
        <w:t>Journal of Autism and Developmental Disorders</w:t>
      </w:r>
      <w:r w:rsidRPr="00605AD1">
        <w:rPr>
          <w:rFonts w:ascii="Times New Roman" w:hAnsi="Times New Roman" w:cs="Times New Roman"/>
          <w:color w:val="000000"/>
          <w:kern w:val="0"/>
          <w:lang w:eastAsia="en-GB"/>
          <w14:ligatures w14:val="none"/>
        </w:rPr>
        <w:t>, vol. 45, no. 8, 3 Mar. 2015, pp. 2392–2410, https://doi.org/10.1007/s10803-015-2406-9. Accessed 13 Aug. 2019.</w:t>
      </w:r>
    </w:p>
    <w:p w14:paraId="717AC8D1"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proofErr w:type="spellStart"/>
      <w:r w:rsidRPr="00605AD1">
        <w:rPr>
          <w:rFonts w:ascii="Times New Roman" w:hAnsi="Times New Roman" w:cs="Times New Roman"/>
          <w:color w:val="000000"/>
          <w:kern w:val="0"/>
          <w:lang w:eastAsia="en-GB"/>
          <w14:ligatures w14:val="none"/>
        </w:rPr>
        <w:t>Einav</w:t>
      </w:r>
      <w:proofErr w:type="spellEnd"/>
      <w:r w:rsidRPr="00605AD1">
        <w:rPr>
          <w:rFonts w:ascii="Times New Roman" w:hAnsi="Times New Roman" w:cs="Times New Roman"/>
          <w:color w:val="000000"/>
          <w:kern w:val="0"/>
          <w:lang w:eastAsia="en-GB"/>
          <w14:ligatures w14:val="none"/>
        </w:rPr>
        <w:t>, Michal, et al. “Teachers’ Burnout – the Role of Social Support, Gratitude, Hope, Entitlement and Loneliness.” </w:t>
      </w:r>
      <w:r w:rsidRPr="00605AD1">
        <w:rPr>
          <w:rFonts w:ascii="Times New Roman" w:hAnsi="Times New Roman" w:cs="Times New Roman"/>
          <w:i/>
          <w:iCs/>
          <w:color w:val="000000"/>
          <w:kern w:val="0"/>
          <w:lang w:eastAsia="en-GB"/>
          <w14:ligatures w14:val="none"/>
        </w:rPr>
        <w:t>International Journal of Applied Positive Psychology</w:t>
      </w:r>
      <w:r w:rsidRPr="00605AD1">
        <w:rPr>
          <w:rFonts w:ascii="Times New Roman" w:hAnsi="Times New Roman" w:cs="Times New Roman"/>
          <w:color w:val="000000"/>
          <w:kern w:val="0"/>
          <w:lang w:eastAsia="en-GB"/>
          <w14:ligatures w14:val="none"/>
        </w:rPr>
        <w:t>, vol. 9, 5 Mar. 2024, https://doi.org/10.1007/s41042-024-00154-5.</w:t>
      </w:r>
    </w:p>
    <w:p w14:paraId="0E76FA6E"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i/>
          <w:iCs/>
          <w:color w:val="000000"/>
          <w:kern w:val="0"/>
          <w:lang w:eastAsia="en-GB"/>
          <w14:ligatures w14:val="none"/>
        </w:rPr>
        <w:t>Engaging Parents and Families a Toolkit for Practitioners Section 10: School Improvement Planning</w:t>
      </w:r>
      <w:r w:rsidRPr="00605AD1">
        <w:rPr>
          <w:rFonts w:ascii="Times New Roman" w:hAnsi="Times New Roman" w:cs="Times New Roman"/>
          <w:color w:val="000000"/>
          <w:kern w:val="0"/>
          <w:lang w:eastAsia="en-GB"/>
          <w14:ligatures w14:val="none"/>
        </w:rPr>
        <w:t>. 2019.</w:t>
      </w:r>
    </w:p>
    <w:p w14:paraId="05721539"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ESTYN. </w:t>
      </w:r>
      <w:r w:rsidRPr="00605AD1">
        <w:rPr>
          <w:rFonts w:ascii="Times New Roman" w:hAnsi="Times New Roman" w:cs="Times New Roman"/>
          <w:i/>
          <w:iCs/>
          <w:color w:val="000000"/>
          <w:kern w:val="0"/>
          <w:lang w:eastAsia="en-GB"/>
          <w14:ligatures w14:val="none"/>
        </w:rPr>
        <w:t>Community Schools: Families and Communities at the Heart of School Life</w:t>
      </w:r>
      <w:r w:rsidRPr="00605AD1">
        <w:rPr>
          <w:rFonts w:ascii="Times New Roman" w:hAnsi="Times New Roman" w:cs="Times New Roman"/>
          <w:color w:val="000000"/>
          <w:kern w:val="0"/>
          <w:lang w:eastAsia="en-GB"/>
          <w14:ligatures w14:val="none"/>
        </w:rPr>
        <w:t>. 2020.</w:t>
      </w:r>
    </w:p>
    <w:p w14:paraId="04A4D539"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 xml:space="preserve">“Family and Community Engagement - EJ-ROC Policy Hub | NYU </w:t>
      </w:r>
      <w:proofErr w:type="spellStart"/>
      <w:r w:rsidRPr="00605AD1">
        <w:rPr>
          <w:rFonts w:ascii="Times New Roman" w:hAnsi="Times New Roman" w:cs="Times New Roman"/>
          <w:color w:val="000000"/>
          <w:kern w:val="0"/>
          <w:lang w:eastAsia="en-GB"/>
          <w14:ligatures w14:val="none"/>
        </w:rPr>
        <w:t>Steinhardt</w:t>
      </w:r>
      <w:proofErr w:type="spellEnd"/>
      <w:r w:rsidRPr="00605AD1">
        <w:rPr>
          <w:rFonts w:ascii="Times New Roman" w:hAnsi="Times New Roman" w:cs="Times New Roman"/>
          <w:color w:val="000000"/>
          <w:kern w:val="0"/>
          <w:lang w:eastAsia="en-GB"/>
          <w14:ligatures w14:val="none"/>
        </w:rPr>
        <w:t>.” </w:t>
      </w:r>
      <w:r w:rsidRPr="00605AD1">
        <w:rPr>
          <w:rFonts w:ascii="Times New Roman" w:hAnsi="Times New Roman" w:cs="Times New Roman"/>
          <w:i/>
          <w:iCs/>
          <w:color w:val="000000"/>
          <w:kern w:val="0"/>
          <w:lang w:eastAsia="en-GB"/>
          <w14:ligatures w14:val="none"/>
        </w:rPr>
        <w:t>Steinhardt.nyu.edu</w:t>
      </w:r>
      <w:r w:rsidRPr="00605AD1">
        <w:rPr>
          <w:rFonts w:ascii="Times New Roman" w:hAnsi="Times New Roman" w:cs="Times New Roman"/>
          <w:color w:val="000000"/>
          <w:kern w:val="0"/>
          <w:lang w:eastAsia="en-GB"/>
          <w14:ligatures w14:val="none"/>
        </w:rPr>
        <w:t>, steinhardt.nyu.edu/metrocenter/ejroc/family-and-community-engagement.</w:t>
      </w:r>
    </w:p>
    <w:p w14:paraId="429490F2"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Gunstone, Richard F. </w:t>
      </w:r>
      <w:proofErr w:type="spellStart"/>
      <w:r w:rsidRPr="00605AD1">
        <w:rPr>
          <w:rFonts w:ascii="Times New Roman" w:hAnsi="Times New Roman" w:cs="Times New Roman"/>
          <w:i/>
          <w:iCs/>
          <w:color w:val="000000"/>
          <w:kern w:val="0"/>
          <w:lang w:eastAsia="en-GB"/>
          <w14:ligatures w14:val="none"/>
        </w:rPr>
        <w:t>Encyclopedia</w:t>
      </w:r>
      <w:proofErr w:type="spellEnd"/>
      <w:r w:rsidRPr="00605AD1">
        <w:rPr>
          <w:rFonts w:ascii="Times New Roman" w:hAnsi="Times New Roman" w:cs="Times New Roman"/>
          <w:i/>
          <w:iCs/>
          <w:color w:val="000000"/>
          <w:kern w:val="0"/>
          <w:lang w:eastAsia="en-GB"/>
          <w14:ligatures w14:val="none"/>
        </w:rPr>
        <w:t xml:space="preserve"> of Science Education</w:t>
      </w:r>
      <w:r w:rsidRPr="00605AD1">
        <w:rPr>
          <w:rFonts w:ascii="Times New Roman" w:hAnsi="Times New Roman" w:cs="Times New Roman"/>
          <w:color w:val="000000"/>
          <w:kern w:val="0"/>
          <w:lang w:eastAsia="en-GB"/>
          <w14:ligatures w14:val="none"/>
        </w:rPr>
        <w:t>. Dordrecht, Springer Reference, 2015.</w:t>
      </w:r>
    </w:p>
    <w:p w14:paraId="58897851"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Guy-Evans, Olivia. “Bronfenbrenner’s Ecological Systems Theory.” </w:t>
      </w:r>
      <w:r w:rsidRPr="00605AD1">
        <w:rPr>
          <w:rFonts w:ascii="Times New Roman" w:hAnsi="Times New Roman" w:cs="Times New Roman"/>
          <w:i/>
          <w:iCs/>
          <w:color w:val="000000"/>
          <w:kern w:val="0"/>
          <w:lang w:eastAsia="en-GB"/>
          <w14:ligatures w14:val="none"/>
        </w:rPr>
        <w:t>ResearchGate</w:t>
      </w:r>
      <w:r w:rsidRPr="00605AD1">
        <w:rPr>
          <w:rFonts w:ascii="Times New Roman" w:hAnsi="Times New Roman" w:cs="Times New Roman"/>
          <w:color w:val="000000"/>
          <w:kern w:val="0"/>
          <w:lang w:eastAsia="en-GB"/>
          <w14:ligatures w14:val="none"/>
        </w:rPr>
        <w:t>, 2024, www.researchgate.net/publication/383500583_Bronfenbrenner.</w:t>
      </w:r>
    </w:p>
    <w:p w14:paraId="2CD9A48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 “Bronfenbrenner’s Microsystem Theory.” </w:t>
      </w:r>
      <w:r w:rsidRPr="00605AD1">
        <w:rPr>
          <w:rFonts w:ascii="Times New Roman" w:hAnsi="Times New Roman" w:cs="Times New Roman"/>
          <w:i/>
          <w:iCs/>
          <w:color w:val="000000"/>
          <w:kern w:val="0"/>
          <w:lang w:eastAsia="en-GB"/>
          <w14:ligatures w14:val="none"/>
        </w:rPr>
        <w:t>ResearchGate</w:t>
      </w:r>
      <w:r w:rsidRPr="00605AD1">
        <w:rPr>
          <w:rFonts w:ascii="Times New Roman" w:hAnsi="Times New Roman" w:cs="Times New Roman"/>
          <w:color w:val="000000"/>
          <w:kern w:val="0"/>
          <w:lang w:eastAsia="en-GB"/>
          <w14:ligatures w14:val="none"/>
        </w:rPr>
        <w:t>, unknown, 19 Aug. 2024, www.researchgate.net/publication/383500864_Bronfenbrenner.</w:t>
      </w:r>
    </w:p>
    <w:p w14:paraId="348A88FE"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 xml:space="preserve">Hornby, Garry, and </w:t>
      </w:r>
      <w:proofErr w:type="spellStart"/>
      <w:r w:rsidRPr="00605AD1">
        <w:rPr>
          <w:rFonts w:ascii="Times New Roman" w:hAnsi="Times New Roman" w:cs="Times New Roman"/>
          <w:color w:val="000000"/>
          <w:kern w:val="0"/>
          <w:lang w:eastAsia="en-GB"/>
          <w14:ligatures w14:val="none"/>
        </w:rPr>
        <w:t>Rayleen</w:t>
      </w:r>
      <w:proofErr w:type="spellEnd"/>
      <w:r w:rsidRPr="00605AD1">
        <w:rPr>
          <w:rFonts w:ascii="Times New Roman" w:hAnsi="Times New Roman" w:cs="Times New Roman"/>
          <w:color w:val="000000"/>
          <w:kern w:val="0"/>
          <w:lang w:eastAsia="en-GB"/>
          <w14:ligatures w14:val="none"/>
        </w:rPr>
        <w:t xml:space="preserve"> </w:t>
      </w:r>
      <w:proofErr w:type="spellStart"/>
      <w:r w:rsidRPr="00605AD1">
        <w:rPr>
          <w:rFonts w:ascii="Times New Roman" w:hAnsi="Times New Roman" w:cs="Times New Roman"/>
          <w:color w:val="000000"/>
          <w:kern w:val="0"/>
          <w:lang w:eastAsia="en-GB"/>
          <w14:ligatures w14:val="none"/>
        </w:rPr>
        <w:t>Lafaele</w:t>
      </w:r>
      <w:proofErr w:type="spellEnd"/>
      <w:r w:rsidRPr="00605AD1">
        <w:rPr>
          <w:rFonts w:ascii="Times New Roman" w:hAnsi="Times New Roman" w:cs="Times New Roman"/>
          <w:color w:val="000000"/>
          <w:kern w:val="0"/>
          <w:lang w:eastAsia="en-GB"/>
          <w14:ligatures w14:val="none"/>
        </w:rPr>
        <w:t>. “Barriers to Parental Involvement in Education: An Explanatory Model.” </w:t>
      </w:r>
      <w:r w:rsidRPr="00605AD1">
        <w:rPr>
          <w:rFonts w:ascii="Times New Roman" w:hAnsi="Times New Roman" w:cs="Times New Roman"/>
          <w:i/>
          <w:iCs/>
          <w:color w:val="000000"/>
          <w:kern w:val="0"/>
          <w:lang w:eastAsia="en-GB"/>
          <w14:ligatures w14:val="none"/>
        </w:rPr>
        <w:t>Educational Review</w:t>
      </w:r>
      <w:r w:rsidRPr="00605AD1">
        <w:rPr>
          <w:rFonts w:ascii="Times New Roman" w:hAnsi="Times New Roman" w:cs="Times New Roman"/>
          <w:color w:val="000000"/>
          <w:kern w:val="0"/>
          <w:lang w:eastAsia="en-GB"/>
          <w14:ligatures w14:val="none"/>
        </w:rPr>
        <w:t>, vol. 63, no. 1, 22 Jan. 2011, pp. 37–52, www.tandfonline.com/doi/full/10.1080/00131911.2010.488049, https://doi.org/10.1080/00131911.2010.488049.</w:t>
      </w:r>
    </w:p>
    <w:p w14:paraId="41B654F6"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“Humanising Language Teaching Magazine for Teachers and Teacher Trainers.” </w:t>
      </w:r>
      <w:r w:rsidRPr="00605AD1">
        <w:rPr>
          <w:rFonts w:ascii="Times New Roman" w:hAnsi="Times New Roman" w:cs="Times New Roman"/>
          <w:i/>
          <w:iCs/>
          <w:color w:val="000000"/>
          <w:kern w:val="0"/>
          <w:lang w:eastAsia="en-GB"/>
          <w14:ligatures w14:val="none"/>
        </w:rPr>
        <w:t>Hltmag.co.uk</w:t>
      </w:r>
      <w:r w:rsidRPr="00605AD1">
        <w:rPr>
          <w:rFonts w:ascii="Times New Roman" w:hAnsi="Times New Roman" w:cs="Times New Roman"/>
          <w:color w:val="000000"/>
          <w:kern w:val="0"/>
          <w:lang w:eastAsia="en-GB"/>
          <w14:ligatures w14:val="none"/>
        </w:rPr>
        <w:t>, 2014, old.hltmag.co.uk/jun15/mart02.htm.</w:t>
      </w:r>
    </w:p>
    <w:p w14:paraId="0AE62F4C"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proofErr w:type="spellStart"/>
      <w:r w:rsidRPr="00605AD1">
        <w:rPr>
          <w:rFonts w:ascii="Times New Roman" w:hAnsi="Times New Roman" w:cs="Times New Roman"/>
          <w:color w:val="000000"/>
          <w:kern w:val="0"/>
          <w:lang w:eastAsia="en-GB"/>
          <w14:ligatures w14:val="none"/>
        </w:rPr>
        <w:t>Kerner</w:t>
      </w:r>
      <w:proofErr w:type="spellEnd"/>
      <w:r w:rsidRPr="00605AD1">
        <w:rPr>
          <w:rFonts w:ascii="Times New Roman" w:hAnsi="Times New Roman" w:cs="Times New Roman"/>
          <w:color w:val="000000"/>
          <w:kern w:val="0"/>
          <w:lang w:eastAsia="en-GB"/>
          <w14:ligatures w14:val="none"/>
        </w:rPr>
        <w:t>, David, and J. Thomas. “Resilience Attributes of Social-Ecological Systems: Framing Metrics for Management.” </w:t>
      </w:r>
      <w:r w:rsidRPr="00605AD1">
        <w:rPr>
          <w:rFonts w:ascii="Times New Roman" w:hAnsi="Times New Roman" w:cs="Times New Roman"/>
          <w:i/>
          <w:iCs/>
          <w:color w:val="000000"/>
          <w:kern w:val="0"/>
          <w:lang w:eastAsia="en-GB"/>
          <w14:ligatures w14:val="none"/>
        </w:rPr>
        <w:t>Resources</w:t>
      </w:r>
      <w:r w:rsidRPr="00605AD1">
        <w:rPr>
          <w:rFonts w:ascii="Times New Roman" w:hAnsi="Times New Roman" w:cs="Times New Roman"/>
          <w:color w:val="000000"/>
          <w:kern w:val="0"/>
          <w:lang w:eastAsia="en-GB"/>
          <w14:ligatures w14:val="none"/>
        </w:rPr>
        <w:t>, vol. 3, no. 4, 3 Dec. 2014, pp. 672–702, https://doi.org/10.3390/resources3040672. Accessed 10 Aug. 2019.</w:t>
      </w:r>
    </w:p>
    <w:p w14:paraId="3BB1267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lastRenderedPageBreak/>
        <w:t>Knight, Cathryn, and Tom Crick. “Inclusive Education in Wales: Interpreting Discourses of Values and Practice Using Critical Policy Analysis.” </w:t>
      </w:r>
      <w:r w:rsidRPr="00605AD1">
        <w:rPr>
          <w:rFonts w:ascii="Times New Roman" w:hAnsi="Times New Roman" w:cs="Times New Roman"/>
          <w:i/>
          <w:iCs/>
          <w:color w:val="000000"/>
          <w:kern w:val="0"/>
          <w:lang w:eastAsia="en-GB"/>
          <w14:ligatures w14:val="none"/>
        </w:rPr>
        <w:t>ECNU Review of Education</w:t>
      </w:r>
      <w:r w:rsidRPr="00605AD1">
        <w:rPr>
          <w:rFonts w:ascii="Times New Roman" w:hAnsi="Times New Roman" w:cs="Times New Roman"/>
          <w:color w:val="000000"/>
          <w:kern w:val="0"/>
          <w:lang w:eastAsia="en-GB"/>
          <w14:ligatures w14:val="none"/>
        </w:rPr>
        <w:t>, vol. 5, no. 2, 23 Sept. 2021, p. 209653112110398, journals.sagepub.com/doi/pdf/10.1177/20965311211039858, https://doi.org/10.1177/20965311211039858.</w:t>
      </w:r>
    </w:p>
    <w:p w14:paraId="161E65E0"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i/>
          <w:iCs/>
          <w:color w:val="000000"/>
          <w:kern w:val="0"/>
          <w:lang w:eastAsia="en-GB"/>
          <w14:ligatures w14:val="none"/>
        </w:rPr>
        <w:t>Learning through Intergenerational Practice Generations Working Together</w:t>
      </w:r>
      <w:r w:rsidRPr="00605AD1">
        <w:rPr>
          <w:rFonts w:ascii="Times New Roman" w:hAnsi="Times New Roman" w:cs="Times New Roman"/>
          <w:color w:val="000000"/>
          <w:kern w:val="0"/>
          <w:lang w:eastAsia="en-GB"/>
          <w14:ligatures w14:val="none"/>
        </w:rPr>
        <w:t>.</w:t>
      </w:r>
    </w:p>
    <w:p w14:paraId="2736FB66"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“Learning through Storytelling | Advance HE.” </w:t>
      </w:r>
      <w:r w:rsidRPr="00605AD1">
        <w:rPr>
          <w:rFonts w:ascii="Times New Roman" w:hAnsi="Times New Roman" w:cs="Times New Roman"/>
          <w:i/>
          <w:iCs/>
          <w:color w:val="000000"/>
          <w:kern w:val="0"/>
          <w:lang w:eastAsia="en-GB"/>
          <w14:ligatures w14:val="none"/>
        </w:rPr>
        <w:t>Www.advance-He.ac.uk</w:t>
      </w:r>
      <w:r w:rsidRPr="00605AD1">
        <w:rPr>
          <w:rFonts w:ascii="Times New Roman" w:hAnsi="Times New Roman" w:cs="Times New Roman"/>
          <w:color w:val="000000"/>
          <w:kern w:val="0"/>
          <w:lang w:eastAsia="en-GB"/>
          <w14:ligatures w14:val="none"/>
        </w:rPr>
        <w:t>, www.advance-he.ac.uk/knowledge-hub/learning-through-storytelling-0.</w:t>
      </w:r>
    </w:p>
    <w:p w14:paraId="0357344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“Linking Lifetimes Intergenerational Project- School &amp; Community.” </w:t>
      </w:r>
      <w:r w:rsidRPr="00605AD1">
        <w:rPr>
          <w:rFonts w:ascii="Times New Roman" w:hAnsi="Times New Roman" w:cs="Times New Roman"/>
          <w:i/>
          <w:iCs/>
          <w:color w:val="000000"/>
          <w:kern w:val="0"/>
          <w:lang w:eastAsia="en-GB"/>
          <w14:ligatures w14:val="none"/>
        </w:rPr>
        <w:t>Storylines</w:t>
      </w:r>
      <w:r w:rsidRPr="00605AD1">
        <w:rPr>
          <w:rFonts w:ascii="Times New Roman" w:hAnsi="Times New Roman" w:cs="Times New Roman"/>
          <w:color w:val="000000"/>
          <w:kern w:val="0"/>
          <w:lang w:eastAsia="en-GB"/>
          <w14:ligatures w14:val="none"/>
        </w:rPr>
        <w:t>, Mar. 2023, www.storylines.org.uk/project/linking-lifetimes-praze-an-beeble/. Accessed 19 Apr. 2025.</w:t>
      </w:r>
    </w:p>
    <w:p w14:paraId="437E22F2"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Lyndon, Sandra, and Helen Moss. “Creating Meaningful Interactions for Young Children, Older Friends, and Nursery School Practitioners within an Intergenerational Project.” </w:t>
      </w:r>
      <w:r w:rsidRPr="00605AD1">
        <w:rPr>
          <w:rFonts w:ascii="Times New Roman" w:hAnsi="Times New Roman" w:cs="Times New Roman"/>
          <w:i/>
          <w:iCs/>
          <w:color w:val="000000"/>
          <w:kern w:val="0"/>
          <w:lang w:eastAsia="en-GB"/>
          <w14:ligatures w14:val="none"/>
        </w:rPr>
        <w:t>Early Childhood Education Journal</w:t>
      </w:r>
      <w:r w:rsidRPr="00605AD1">
        <w:rPr>
          <w:rFonts w:ascii="Times New Roman" w:hAnsi="Times New Roman" w:cs="Times New Roman"/>
          <w:color w:val="000000"/>
          <w:kern w:val="0"/>
          <w:lang w:eastAsia="en-GB"/>
          <w14:ligatures w14:val="none"/>
        </w:rPr>
        <w:t>, vol. 51, no. 4, 9 Apr. 2022, https://doi.org/10.1007/s10643-022-01330-5.</w:t>
      </w:r>
    </w:p>
    <w:p w14:paraId="590F87D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Merino, Iris, et al. “School Projects with the Community: Educational Practices That Promote Connection between Learning Contexts and Experiences.” </w:t>
      </w:r>
      <w:proofErr w:type="spellStart"/>
      <w:r w:rsidRPr="00605AD1">
        <w:rPr>
          <w:rFonts w:ascii="Times New Roman" w:hAnsi="Times New Roman" w:cs="Times New Roman"/>
          <w:i/>
          <w:iCs/>
          <w:color w:val="000000"/>
          <w:kern w:val="0"/>
          <w:lang w:eastAsia="en-GB"/>
          <w14:ligatures w14:val="none"/>
        </w:rPr>
        <w:t>Acta</w:t>
      </w:r>
      <w:proofErr w:type="spellEnd"/>
      <w:r w:rsidRPr="00605AD1">
        <w:rPr>
          <w:rFonts w:ascii="Times New Roman" w:hAnsi="Times New Roman" w:cs="Times New Roman"/>
          <w:i/>
          <w:iCs/>
          <w:color w:val="000000"/>
          <w:kern w:val="0"/>
          <w:lang w:eastAsia="en-GB"/>
          <w14:ligatures w14:val="none"/>
        </w:rPr>
        <w:t xml:space="preserve"> </w:t>
      </w:r>
      <w:proofErr w:type="spellStart"/>
      <w:r w:rsidRPr="00605AD1">
        <w:rPr>
          <w:rFonts w:ascii="Times New Roman" w:hAnsi="Times New Roman" w:cs="Times New Roman"/>
          <w:i/>
          <w:iCs/>
          <w:color w:val="000000"/>
          <w:kern w:val="0"/>
          <w:lang w:eastAsia="en-GB"/>
          <w14:ligatures w14:val="none"/>
        </w:rPr>
        <w:t>Psychologica</w:t>
      </w:r>
      <w:proofErr w:type="spellEnd"/>
      <w:r w:rsidRPr="00605AD1">
        <w:rPr>
          <w:rFonts w:ascii="Times New Roman" w:hAnsi="Times New Roman" w:cs="Times New Roman"/>
          <w:color w:val="000000"/>
          <w:kern w:val="0"/>
          <w:lang w:eastAsia="en-GB"/>
          <w14:ligatures w14:val="none"/>
        </w:rPr>
        <w:t>, vol. 255, 22 Mar. 2025, p. 104893, www.sciencedirect.com/science/article/pii/S0001691825002069, https://doi.org/10.1016/j.actpsy.2025.104893.</w:t>
      </w:r>
    </w:p>
    <w:p w14:paraId="43DBFCFB"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Newman, Nicole, et al. “Epstein’s Model of Parental Involvement: Parent Perceptions in Urban Schools.” </w:t>
      </w:r>
      <w:r w:rsidRPr="00605AD1">
        <w:rPr>
          <w:rFonts w:ascii="Times New Roman" w:hAnsi="Times New Roman" w:cs="Times New Roman"/>
          <w:i/>
          <w:iCs/>
          <w:color w:val="000000"/>
          <w:kern w:val="0"/>
          <w:lang w:eastAsia="en-GB"/>
          <w14:ligatures w14:val="none"/>
        </w:rPr>
        <w:t>Language Teaching and Educational Research</w:t>
      </w:r>
      <w:r w:rsidRPr="00605AD1">
        <w:rPr>
          <w:rFonts w:ascii="Times New Roman" w:hAnsi="Times New Roman" w:cs="Times New Roman"/>
          <w:color w:val="000000"/>
          <w:kern w:val="0"/>
          <w:lang w:eastAsia="en-GB"/>
          <w14:ligatures w14:val="none"/>
        </w:rPr>
        <w:t>, vol. 2, no. 2, 23 Dec. 2019, pp. 81–100, www.researchgate.net/publication/338136886_Epstein’s_Model_of_Parental_Involvement_Parent_Perceptions_in_Urban_Schools, https://doi.org/10.35207/later.559732.</w:t>
      </w:r>
    </w:p>
    <w:p w14:paraId="6984FEE6"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“Ofsted’s New Inspection Framework Returns Focus to Inclusion.” </w:t>
      </w:r>
      <w:r w:rsidRPr="00605AD1">
        <w:rPr>
          <w:rFonts w:ascii="Times New Roman" w:hAnsi="Times New Roman" w:cs="Times New Roman"/>
          <w:i/>
          <w:iCs/>
          <w:color w:val="000000"/>
          <w:kern w:val="0"/>
          <w:lang w:eastAsia="en-GB"/>
          <w14:ligatures w14:val="none"/>
        </w:rPr>
        <w:t>National Secular Society</w:t>
      </w:r>
      <w:r w:rsidRPr="00605AD1">
        <w:rPr>
          <w:rFonts w:ascii="Times New Roman" w:hAnsi="Times New Roman" w:cs="Times New Roman"/>
          <w:color w:val="000000"/>
          <w:kern w:val="0"/>
          <w:lang w:eastAsia="en-GB"/>
          <w14:ligatures w14:val="none"/>
        </w:rPr>
        <w:t>, 2019, www.secularism.org.uk/news/2019/05/ofsteds-new-inspection-framework-returns-focus-to-inclusion.</w:t>
      </w:r>
    </w:p>
    <w:p w14:paraId="2E33B5F7"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proofErr w:type="spellStart"/>
      <w:r w:rsidRPr="00605AD1">
        <w:rPr>
          <w:rFonts w:ascii="Times New Roman" w:hAnsi="Times New Roman" w:cs="Times New Roman"/>
          <w:color w:val="000000"/>
          <w:kern w:val="0"/>
          <w:lang w:eastAsia="en-GB"/>
          <w14:ligatures w14:val="none"/>
        </w:rPr>
        <w:t>Ómar</w:t>
      </w:r>
      <w:proofErr w:type="spellEnd"/>
      <w:r w:rsidRPr="00605AD1">
        <w:rPr>
          <w:rFonts w:ascii="Times New Roman" w:hAnsi="Times New Roman" w:cs="Times New Roman"/>
          <w:color w:val="000000"/>
          <w:kern w:val="0"/>
          <w:lang w:eastAsia="en-GB"/>
          <w14:ligatures w14:val="none"/>
        </w:rPr>
        <w:t xml:space="preserve"> </w:t>
      </w:r>
      <w:proofErr w:type="spellStart"/>
      <w:r w:rsidRPr="00605AD1">
        <w:rPr>
          <w:rFonts w:ascii="Times New Roman" w:hAnsi="Times New Roman" w:cs="Times New Roman"/>
          <w:color w:val="000000"/>
          <w:kern w:val="0"/>
          <w:lang w:eastAsia="en-GB"/>
          <w14:ligatures w14:val="none"/>
        </w:rPr>
        <w:t>Örn</w:t>
      </w:r>
      <w:proofErr w:type="spellEnd"/>
      <w:r w:rsidRPr="00605AD1">
        <w:rPr>
          <w:rFonts w:ascii="Times New Roman" w:hAnsi="Times New Roman" w:cs="Times New Roman"/>
          <w:color w:val="000000"/>
          <w:kern w:val="0"/>
          <w:lang w:eastAsia="en-GB"/>
          <w14:ligatures w14:val="none"/>
        </w:rPr>
        <w:t xml:space="preserve"> </w:t>
      </w:r>
      <w:proofErr w:type="spellStart"/>
      <w:r w:rsidRPr="00605AD1">
        <w:rPr>
          <w:rFonts w:ascii="Times New Roman" w:hAnsi="Times New Roman" w:cs="Times New Roman"/>
          <w:color w:val="000000"/>
          <w:kern w:val="0"/>
          <w:lang w:eastAsia="en-GB"/>
          <w14:ligatures w14:val="none"/>
        </w:rPr>
        <w:t>Magnússon</w:t>
      </w:r>
      <w:proofErr w:type="spellEnd"/>
      <w:r w:rsidRPr="00605AD1">
        <w:rPr>
          <w:rFonts w:ascii="Times New Roman" w:hAnsi="Times New Roman" w:cs="Times New Roman"/>
          <w:color w:val="000000"/>
          <w:kern w:val="0"/>
          <w:lang w:eastAsia="en-GB"/>
          <w14:ligatures w14:val="none"/>
        </w:rPr>
        <w:t>, et al. “A Place for Basil Bernstein in the Field: How Applicable Is Basil Bernstein’s Theory of Codes and Social Groups as a Way of Understanding Educational Inequity in Upper Secondary Education in Iceland during the First Year of the COVID-19 Pandemic?” </w:t>
      </w:r>
      <w:r w:rsidRPr="00605AD1">
        <w:rPr>
          <w:rFonts w:ascii="Times New Roman" w:hAnsi="Times New Roman" w:cs="Times New Roman"/>
          <w:i/>
          <w:iCs/>
          <w:color w:val="000000"/>
          <w:kern w:val="0"/>
          <w:lang w:eastAsia="en-GB"/>
          <w14:ligatures w14:val="none"/>
        </w:rPr>
        <w:t>European Educational Research Journal</w:t>
      </w:r>
      <w:r w:rsidRPr="00605AD1">
        <w:rPr>
          <w:rFonts w:ascii="Times New Roman" w:hAnsi="Times New Roman" w:cs="Times New Roman"/>
          <w:color w:val="000000"/>
          <w:kern w:val="0"/>
          <w:lang w:eastAsia="en-GB"/>
          <w14:ligatures w14:val="none"/>
        </w:rPr>
        <w:t>, 23 Mar. 2024, https://doi.org/10.1177/14749041241235974.</w:t>
      </w:r>
    </w:p>
    <w:p w14:paraId="10D89A9A"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lastRenderedPageBreak/>
        <w:t xml:space="preserve">Stanley, </w:t>
      </w:r>
      <w:proofErr w:type="spellStart"/>
      <w:r w:rsidRPr="00605AD1">
        <w:rPr>
          <w:rFonts w:ascii="Times New Roman" w:hAnsi="Times New Roman" w:cs="Times New Roman"/>
          <w:color w:val="000000"/>
          <w:kern w:val="0"/>
          <w:lang w:eastAsia="en-GB"/>
          <w14:ligatures w14:val="none"/>
        </w:rPr>
        <w:t>Keonna</w:t>
      </w:r>
      <w:proofErr w:type="spellEnd"/>
      <w:r w:rsidRPr="00605AD1">
        <w:rPr>
          <w:rFonts w:ascii="Times New Roman" w:hAnsi="Times New Roman" w:cs="Times New Roman"/>
          <w:color w:val="000000"/>
          <w:kern w:val="0"/>
          <w:lang w:eastAsia="en-GB"/>
          <w14:ligatures w14:val="none"/>
        </w:rPr>
        <w:t xml:space="preserve">, and </w:t>
      </w:r>
      <w:proofErr w:type="spellStart"/>
      <w:r w:rsidRPr="00605AD1">
        <w:rPr>
          <w:rFonts w:ascii="Times New Roman" w:hAnsi="Times New Roman" w:cs="Times New Roman"/>
          <w:color w:val="000000"/>
          <w:kern w:val="0"/>
          <w:lang w:eastAsia="en-GB"/>
          <w14:ligatures w14:val="none"/>
        </w:rPr>
        <w:t>Nai-Cheng</w:t>
      </w:r>
      <w:proofErr w:type="spellEnd"/>
      <w:r w:rsidRPr="00605AD1">
        <w:rPr>
          <w:rFonts w:ascii="Times New Roman" w:hAnsi="Times New Roman" w:cs="Times New Roman"/>
          <w:color w:val="000000"/>
          <w:kern w:val="0"/>
          <w:lang w:eastAsia="en-GB"/>
          <w14:ligatures w14:val="none"/>
        </w:rPr>
        <w:t xml:space="preserve"> Kuo. ““It Takes a Village”: Approaching the Development of School-Family-Community Partnerships through Bronfenbrenner’s Socio-Ecological Perspectives.” </w:t>
      </w:r>
      <w:r w:rsidRPr="00605AD1">
        <w:rPr>
          <w:rFonts w:ascii="Times New Roman" w:hAnsi="Times New Roman" w:cs="Times New Roman"/>
          <w:i/>
          <w:iCs/>
          <w:color w:val="000000"/>
          <w:kern w:val="0"/>
          <w:lang w:eastAsia="en-GB"/>
          <w14:ligatures w14:val="none"/>
        </w:rPr>
        <w:t>Journal of Human Sciences and Extension</w:t>
      </w:r>
      <w:r w:rsidRPr="00605AD1">
        <w:rPr>
          <w:rFonts w:ascii="Times New Roman" w:hAnsi="Times New Roman" w:cs="Times New Roman"/>
          <w:color w:val="000000"/>
          <w:kern w:val="0"/>
          <w:lang w:eastAsia="en-GB"/>
          <w14:ligatures w14:val="none"/>
        </w:rPr>
        <w:t>, vol. 10, no. 1, 21 Apr. 2022, https://doi.org/10.54718/cqbw6379.</w:t>
      </w:r>
    </w:p>
    <w:p w14:paraId="60AFBF90"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UNICEF. “UN Convention on the Rights of the Child (UNCRC).” </w:t>
      </w:r>
      <w:r w:rsidRPr="00605AD1">
        <w:rPr>
          <w:rFonts w:ascii="Times New Roman" w:hAnsi="Times New Roman" w:cs="Times New Roman"/>
          <w:i/>
          <w:iCs/>
          <w:color w:val="000000"/>
          <w:kern w:val="0"/>
          <w:lang w:eastAsia="en-GB"/>
          <w14:ligatures w14:val="none"/>
        </w:rPr>
        <w:t>UNICEF</w:t>
      </w:r>
      <w:r w:rsidRPr="00605AD1">
        <w:rPr>
          <w:rFonts w:ascii="Times New Roman" w:hAnsi="Times New Roman" w:cs="Times New Roman"/>
          <w:color w:val="000000"/>
          <w:kern w:val="0"/>
          <w:lang w:eastAsia="en-GB"/>
          <w14:ligatures w14:val="none"/>
        </w:rPr>
        <w:t>, 2022, www.unicef.org.uk/what-we-do/un-convention-child-rights/.</w:t>
      </w:r>
    </w:p>
    <w:p w14:paraId="5154EB4D" w14:textId="77777777" w:rsidR="00605AD1" w:rsidRPr="00605AD1" w:rsidRDefault="00605AD1" w:rsidP="00605AD1">
      <w:pPr>
        <w:spacing w:after="0" w:line="480" w:lineRule="atLeast"/>
        <w:ind w:hanging="720"/>
        <w:jc w:val="center"/>
        <w:divId w:val="2078160266"/>
        <w:rPr>
          <w:rFonts w:ascii="Times New Roman" w:hAnsi="Times New Roman" w:cs="Times New Roman"/>
          <w:color w:val="000000"/>
          <w:kern w:val="0"/>
          <w:lang w:eastAsia="en-GB"/>
          <w14:ligatures w14:val="none"/>
        </w:rPr>
      </w:pPr>
      <w:r w:rsidRPr="00605AD1">
        <w:rPr>
          <w:rFonts w:ascii="Times New Roman" w:hAnsi="Times New Roman" w:cs="Times New Roman"/>
          <w:color w:val="000000"/>
          <w:kern w:val="0"/>
          <w:lang w:eastAsia="en-GB"/>
          <w14:ligatures w14:val="none"/>
        </w:rPr>
        <w:t>Williams, Morgan. “John Dewey in the 21st Century.” </w:t>
      </w:r>
      <w:r w:rsidRPr="00605AD1">
        <w:rPr>
          <w:rFonts w:ascii="Times New Roman" w:hAnsi="Times New Roman" w:cs="Times New Roman"/>
          <w:i/>
          <w:iCs/>
          <w:color w:val="000000"/>
          <w:kern w:val="0"/>
          <w:lang w:eastAsia="en-GB"/>
          <w14:ligatures w14:val="none"/>
        </w:rPr>
        <w:t>Journal of Inquiry &amp; Action in Education</w:t>
      </w:r>
      <w:r w:rsidRPr="00605AD1">
        <w:rPr>
          <w:rFonts w:ascii="Times New Roman" w:hAnsi="Times New Roman" w:cs="Times New Roman"/>
          <w:color w:val="000000"/>
          <w:kern w:val="0"/>
          <w:lang w:eastAsia="en-GB"/>
          <w14:ligatures w14:val="none"/>
        </w:rPr>
        <w:t>, vol. 9, no. 1, 2017, pp. 91–102, files.eric.ed.gov/fulltext/EJ1158258.pdf.</w:t>
      </w:r>
    </w:p>
    <w:p w14:paraId="4D788E0D" w14:textId="77777777" w:rsidR="00252C3C" w:rsidRPr="00252C3C" w:rsidRDefault="00252C3C" w:rsidP="007D58F0">
      <w:pPr>
        <w:rPr>
          <w:u w:val="single"/>
        </w:rPr>
      </w:pPr>
    </w:p>
    <w:p w14:paraId="6F6BB125" w14:textId="77777777" w:rsidR="006913C6" w:rsidRDefault="006913C6" w:rsidP="007D58F0"/>
    <w:p w14:paraId="1177BB0D" w14:textId="77777777" w:rsidR="006913C6" w:rsidRDefault="006913C6" w:rsidP="007D58F0"/>
    <w:p w14:paraId="394F96B3" w14:textId="77777777" w:rsidR="006913C6" w:rsidRDefault="006913C6" w:rsidP="007D58F0"/>
    <w:p w14:paraId="3D55149D" w14:textId="77777777" w:rsidR="006913C6" w:rsidRDefault="006913C6" w:rsidP="007D58F0"/>
    <w:p w14:paraId="04049EBC" w14:textId="77777777" w:rsidR="006913C6" w:rsidRDefault="006913C6" w:rsidP="007D58F0"/>
    <w:p w14:paraId="404A41A7" w14:textId="77777777" w:rsidR="006913C6" w:rsidRDefault="006913C6" w:rsidP="007D58F0"/>
    <w:p w14:paraId="7BC575B6" w14:textId="77777777" w:rsidR="006913C6" w:rsidRDefault="006913C6" w:rsidP="007D58F0"/>
    <w:p w14:paraId="1D3FBB26" w14:textId="77777777" w:rsidR="00605AD1" w:rsidRDefault="00605AD1" w:rsidP="007D58F0"/>
    <w:p w14:paraId="3946CD01" w14:textId="77777777" w:rsidR="00605AD1" w:rsidRDefault="00605AD1" w:rsidP="007D58F0"/>
    <w:p w14:paraId="0C6D40B2" w14:textId="77777777" w:rsidR="00605AD1" w:rsidRDefault="00605AD1" w:rsidP="007D58F0"/>
    <w:p w14:paraId="7DDD71C2" w14:textId="77777777" w:rsidR="00605AD1" w:rsidRDefault="00605AD1" w:rsidP="007D58F0"/>
    <w:p w14:paraId="57ED165E" w14:textId="77777777" w:rsidR="00605AD1" w:rsidRDefault="00605AD1" w:rsidP="007D58F0"/>
    <w:p w14:paraId="7312CF76" w14:textId="77777777" w:rsidR="00605AD1" w:rsidRDefault="00605AD1" w:rsidP="007D58F0"/>
    <w:p w14:paraId="31AF73BD" w14:textId="77777777" w:rsidR="00605AD1" w:rsidRDefault="00605AD1" w:rsidP="007D58F0"/>
    <w:p w14:paraId="692C1660" w14:textId="77777777" w:rsidR="00605AD1" w:rsidRDefault="00605AD1" w:rsidP="007D58F0"/>
    <w:p w14:paraId="09F2A318" w14:textId="77777777" w:rsidR="00605AD1" w:rsidRDefault="00605AD1" w:rsidP="007D58F0"/>
    <w:p w14:paraId="6AECFDA7" w14:textId="77777777" w:rsidR="00605AD1" w:rsidRDefault="00605AD1" w:rsidP="007D58F0"/>
    <w:p w14:paraId="471219F9" w14:textId="77777777" w:rsidR="00605AD1" w:rsidRDefault="00605AD1" w:rsidP="007D58F0"/>
    <w:p w14:paraId="3FE1B0A7" w14:textId="77777777" w:rsidR="00605AD1" w:rsidRDefault="00605AD1" w:rsidP="007D58F0"/>
    <w:p w14:paraId="2C43540D" w14:textId="77777777" w:rsidR="00605AD1" w:rsidRDefault="00605AD1" w:rsidP="007D58F0"/>
    <w:p w14:paraId="3F2AC9D8" w14:textId="147A5B52" w:rsidR="00605AD1" w:rsidRDefault="00605AD1" w:rsidP="007D58F0"/>
    <w:p w14:paraId="24CD7CD6" w14:textId="269EF64B" w:rsidR="00605AD1" w:rsidRDefault="00605AD1" w:rsidP="007D58F0">
      <w:pPr>
        <w:rPr>
          <w:u w:val="single"/>
        </w:rPr>
      </w:pPr>
      <w:r w:rsidRPr="00605AD1">
        <w:rPr>
          <w:u w:val="single"/>
        </w:rPr>
        <w:t xml:space="preserve">SWOT analysis </w:t>
      </w:r>
    </w:p>
    <w:p w14:paraId="4B97E754" w14:textId="350E27B1" w:rsidR="00605AD1" w:rsidRDefault="002B1B87" w:rsidP="007D58F0">
      <w:pPr>
        <w:rPr>
          <w:u w:val="single"/>
        </w:rPr>
      </w:pPr>
      <w:r>
        <w:rPr>
          <w:noProof/>
        </w:rPr>
        <w:drawing>
          <wp:anchor distT="0" distB="0" distL="114300" distR="114300" simplePos="0" relativeHeight="251659264" behindDoc="0" locked="0" layoutInCell="1" allowOverlap="1" wp14:anchorId="0B879705" wp14:editId="03234EE3">
            <wp:simplePos x="0" y="0"/>
            <wp:positionH relativeFrom="column">
              <wp:posOffset>-1405255</wp:posOffset>
            </wp:positionH>
            <wp:positionV relativeFrom="paragraph">
              <wp:posOffset>1969135</wp:posOffset>
            </wp:positionV>
            <wp:extent cx="7791450" cy="4717415"/>
            <wp:effectExtent l="317" t="0" r="0" b="0"/>
            <wp:wrapTopAndBottom/>
            <wp:docPr id="1328082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82080" name="Picture 1328082080"/>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7791450" cy="4717415"/>
                    </a:xfrm>
                    <a:prstGeom prst="rect">
                      <a:avLst/>
                    </a:prstGeom>
                  </pic:spPr>
                </pic:pic>
              </a:graphicData>
            </a:graphic>
            <wp14:sizeRelH relativeFrom="margin">
              <wp14:pctWidth>0</wp14:pctWidth>
            </wp14:sizeRelH>
            <wp14:sizeRelV relativeFrom="margin">
              <wp14:pctHeight>0</wp14:pctHeight>
            </wp14:sizeRelV>
          </wp:anchor>
        </w:drawing>
      </w:r>
    </w:p>
    <w:p w14:paraId="147F4FF2" w14:textId="577F5EE3" w:rsidR="00605AD1" w:rsidRPr="00605AD1" w:rsidRDefault="00605AD1" w:rsidP="007D58F0">
      <w:pPr>
        <w:rPr>
          <w:u w:val="single"/>
        </w:rPr>
      </w:pPr>
    </w:p>
    <w:p w14:paraId="6141C359" w14:textId="66C97A94" w:rsidR="006913C6" w:rsidRDefault="006913C6" w:rsidP="007D58F0"/>
    <w:p w14:paraId="32F00D51" w14:textId="44812695" w:rsidR="006913C6" w:rsidRDefault="006913C6" w:rsidP="007D58F0"/>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p55It16T" int2:invalidationBookmarkName="" int2:hashCode="K2D3ccVKcL+m37" int2:id="SnQukePo">
      <int2:state int2:value="Rejected" int2:type="AugLoop_Text_Critique"/>
    </int2:bookmark>
    <int2:bookmark int2:bookmarkName="_Int_OckoJGZl" int2:invalidationBookmarkName="" int2:hashCode="F5a4ICBtfOqhYq" int2:id="PTT1RNf6">
      <int2:state int2:value="Rejected" int2:type="AugLoop_Text_Critique"/>
    </int2:bookmark>
    <int2:bookmark int2:bookmarkName="_Int_EH83ZbRx" int2:invalidationBookmarkName="" int2:hashCode="E1+Tt6RJBbZOzq" int2:id="1eJ0JpnS">
      <int2:state int2:value="Rejected" int2:type="AugLoop_Text_Critique"/>
    </int2:bookmark>
    <int2:bookmark int2:bookmarkName="_Int_nTwDgC9T" int2:invalidationBookmarkName="" int2:hashCode="XXv1Ch1PRBZ0nJ" int2:id="FuBRkEG2">
      <int2:state int2:value="Rejected" int2:type="AugLoop_Text_Critique"/>
    </int2:bookmark>
    <int2:bookmark int2:bookmarkName="_Int_rPH3vLIm" int2:invalidationBookmarkName="" int2:hashCode="9kIXkgYRKD6AfN" int2:id="0eQ4jYip">
      <int2:state int2:value="Rejected" int2:type="AugLoop_Text_Critique"/>
    </int2:bookmark>
    <int2:bookmark int2:bookmarkName="_Int_rWthMhUu" int2:invalidationBookmarkName="" int2:hashCode="RgdVxYItepvJxB" int2:id="ah3c3Zxb">
      <int2:state int2:value="Rejected" int2:type="AugLoop_Text_Critique"/>
    </int2:bookmark>
    <int2:bookmark int2:bookmarkName="_Int_IZzszVJJ" int2:invalidationBookmarkName="" int2:hashCode="HMghhaW1jbqPdu" int2:id="jaLb1cJR">
      <int2:state int2:value="Rejected" int2:type="AugLoop_Text_Critique"/>
    </int2:bookmark>
    <int2:bookmark int2:bookmarkName="_Int_s7ABkHNS" int2:invalidationBookmarkName="" int2:hashCode="OsKuZMp/fasG2S" int2:id="FhJ9Fp6D">
      <int2:state int2:value="Rejected" int2:type="AugLoop_Text_Critique"/>
    </int2:bookmark>
    <int2:bookmark int2:bookmarkName="_Int_2RGQy3X7" int2:invalidationBookmarkName="" int2:hashCode="ymUKThEep6Jptv" int2:id="x7JQtzpP">
      <int2:state int2:value="Rejected" int2:type="AugLoop_Text_Critique"/>
    </int2:bookmark>
    <int2:bookmark int2:bookmarkName="_Int_XL8y8tjk" int2:invalidationBookmarkName="" int2:hashCode="MYHVZr8+SEe+VH" int2:id="lAcXUiHr">
      <int2:state int2:value="Rejected" int2:type="AugLoop_Text_Critique"/>
    </int2:bookmark>
    <int2:bookmark int2:bookmarkName="_Int_scAS9jjR" int2:invalidationBookmarkName="" int2:hashCode="9kIXkgYRKD6AfN" int2:id="KADaiCVw">
      <int2:state int2:value="Rejected" int2:type="AugLoop_Text_Critique"/>
    </int2:bookmark>
    <int2:bookmark int2:bookmarkName="_Int_i1duGTr5" int2:invalidationBookmarkName="" int2:hashCode="Yj52w2qiqIZUIB" int2:id="WcOuM1gm">
      <int2:state int2:value="Rejected" int2:type="AugLoop_Text_Critique"/>
    </int2:bookmark>
    <int2:bookmark int2:bookmarkName="_Int_TnFYwp2T" int2:invalidationBookmarkName="" int2:hashCode="9XXflmSlK4JqS4" int2:id="rs6ENAoT">
      <int2:state int2:value="Rejected" int2:type="AugLoop_Text_Critique"/>
    </int2:bookmark>
    <int2:bookmark int2:bookmarkName="_Int_ZRmPI3Dw" int2:invalidationBookmarkName="" int2:hashCode="VRyAVr/dM977IK" int2:id="v2bHuWIa">
      <int2:state int2:value="Rejected" int2:type="AugLoop_Text_Critique"/>
    </int2:bookmark>
    <int2:bookmark int2:bookmarkName="_Int_21xaMCwi" int2:invalidationBookmarkName="" int2:hashCode="pxCPpXwfLaNSn+" int2:id="fI4rxsVU">
      <int2:state int2:value="Rejected" int2:type="AugLoop_Text_Critique"/>
    </int2:bookmark>
    <int2:bookmark int2:bookmarkName="_Int_5SpwPJGi" int2:invalidationBookmarkName="" int2:hashCode="uaF5zmmPocFguV" int2:id="XUWS3Rfh">
      <int2:state int2:value="Rejected" int2:type="AugLoop_Text_Critique"/>
    </int2:bookmark>
    <int2:bookmark int2:bookmarkName="_Int_czkTK3HN" int2:invalidationBookmarkName="" int2:hashCode="3bPvKjIwSOetA5" int2:id="hVUJVund">
      <int2:state int2:value="Rejected" int2:type="AugLoop_Text_Critique"/>
    </int2:bookmark>
    <int2:bookmark int2:bookmarkName="_Int_KzigriIJ" int2:invalidationBookmarkName="" int2:hashCode="E1+Tt6RJBbZOzq" int2:id="MRfBojN2">
      <int2:state int2:value="Rejected" int2:type="AugLoop_Text_Critique"/>
    </int2:bookmark>
    <int2:bookmark int2:bookmarkName="_Int_gkDJV0ik" int2:invalidationBookmarkName="" int2:hashCode="43K/JlIt1QZTyM" int2:id="A7tgNLKz">
      <int2:state int2:value="Rejected" int2:type="AugLoop_Text_Critique"/>
    </int2:bookmark>
    <int2:bookmark int2:bookmarkName="_Int_UjaZbG83" int2:invalidationBookmarkName="" int2:hashCode="VRyAVr/dM977IK" int2:id="nbCk23RC">
      <int2:state int2:value="Rejected" int2:type="AugLoop_Text_Critique"/>
    </int2:bookmark>
    <int2:bookmark int2:bookmarkName="_Int_WPU7kx5r" int2:invalidationBookmarkName="" int2:hashCode="ZBHnU82cBhQ80u" int2:id="awuFNNkF">
      <int2:state int2:value="Rejected" int2:type="AugLoop_Text_Critique"/>
    </int2:bookmark>
    <int2:bookmark int2:bookmarkName="_Int_H9dmSviH" int2:invalidationBookmarkName="" int2:hashCode="wuhDda1eAtjOAN" int2:id="ZpYMJ6T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198D"/>
    <w:rsid w:val="000719BA"/>
    <w:rsid w:val="0008596E"/>
    <w:rsid w:val="000A2E17"/>
    <w:rsid w:val="000A470F"/>
    <w:rsid w:val="000B5504"/>
    <w:rsid w:val="000C144A"/>
    <w:rsid w:val="000C541C"/>
    <w:rsid w:val="000C68CB"/>
    <w:rsid w:val="000D405C"/>
    <w:rsid w:val="000D5B34"/>
    <w:rsid w:val="00100E34"/>
    <w:rsid w:val="0010406A"/>
    <w:rsid w:val="00104DAC"/>
    <w:rsid w:val="001118FB"/>
    <w:rsid w:val="00115538"/>
    <w:rsid w:val="00135DD1"/>
    <w:rsid w:val="00152B36"/>
    <w:rsid w:val="00164CA0"/>
    <w:rsid w:val="001819DF"/>
    <w:rsid w:val="0018545C"/>
    <w:rsid w:val="001936E7"/>
    <w:rsid w:val="00196410"/>
    <w:rsid w:val="001B086C"/>
    <w:rsid w:val="001C12D9"/>
    <w:rsid w:val="001C6E70"/>
    <w:rsid w:val="00252C3C"/>
    <w:rsid w:val="00255F17"/>
    <w:rsid w:val="00262DC1"/>
    <w:rsid w:val="002B0912"/>
    <w:rsid w:val="002B1B87"/>
    <w:rsid w:val="002C05B1"/>
    <w:rsid w:val="002F243A"/>
    <w:rsid w:val="00301906"/>
    <w:rsid w:val="00302BB1"/>
    <w:rsid w:val="003341DF"/>
    <w:rsid w:val="00347EA1"/>
    <w:rsid w:val="00382546"/>
    <w:rsid w:val="00382D01"/>
    <w:rsid w:val="00396AF5"/>
    <w:rsid w:val="003A709B"/>
    <w:rsid w:val="003D223A"/>
    <w:rsid w:val="003F1EC8"/>
    <w:rsid w:val="003F2B49"/>
    <w:rsid w:val="00403948"/>
    <w:rsid w:val="00417AB6"/>
    <w:rsid w:val="00495A4F"/>
    <w:rsid w:val="004A47F6"/>
    <w:rsid w:val="004B35A6"/>
    <w:rsid w:val="004C2C1C"/>
    <w:rsid w:val="004C4D48"/>
    <w:rsid w:val="004D474C"/>
    <w:rsid w:val="00536CFB"/>
    <w:rsid w:val="00543F5E"/>
    <w:rsid w:val="005571AD"/>
    <w:rsid w:val="00565A78"/>
    <w:rsid w:val="00584970"/>
    <w:rsid w:val="00586921"/>
    <w:rsid w:val="005B783A"/>
    <w:rsid w:val="005F42D0"/>
    <w:rsid w:val="005F7C42"/>
    <w:rsid w:val="00605AD1"/>
    <w:rsid w:val="0062310A"/>
    <w:rsid w:val="00647A6F"/>
    <w:rsid w:val="0065414E"/>
    <w:rsid w:val="006604C3"/>
    <w:rsid w:val="00664B16"/>
    <w:rsid w:val="00665E01"/>
    <w:rsid w:val="00682FA0"/>
    <w:rsid w:val="00690E81"/>
    <w:rsid w:val="006913C6"/>
    <w:rsid w:val="006B1883"/>
    <w:rsid w:val="006B52C3"/>
    <w:rsid w:val="006D753E"/>
    <w:rsid w:val="006F5E0C"/>
    <w:rsid w:val="007110AE"/>
    <w:rsid w:val="00716B27"/>
    <w:rsid w:val="007203C3"/>
    <w:rsid w:val="00734B0D"/>
    <w:rsid w:val="007352C0"/>
    <w:rsid w:val="00735455"/>
    <w:rsid w:val="00743752"/>
    <w:rsid w:val="00753CFC"/>
    <w:rsid w:val="00762FDF"/>
    <w:rsid w:val="0077583D"/>
    <w:rsid w:val="007D3AE1"/>
    <w:rsid w:val="007E01E0"/>
    <w:rsid w:val="007E25C3"/>
    <w:rsid w:val="00803155"/>
    <w:rsid w:val="00840BEE"/>
    <w:rsid w:val="00851EDB"/>
    <w:rsid w:val="0085459A"/>
    <w:rsid w:val="00886B30"/>
    <w:rsid w:val="008B7FEA"/>
    <w:rsid w:val="008C0AFA"/>
    <w:rsid w:val="008F1086"/>
    <w:rsid w:val="009060A0"/>
    <w:rsid w:val="009078C4"/>
    <w:rsid w:val="0091355A"/>
    <w:rsid w:val="00917008"/>
    <w:rsid w:val="00935B8D"/>
    <w:rsid w:val="00945979"/>
    <w:rsid w:val="00956B23"/>
    <w:rsid w:val="00990F19"/>
    <w:rsid w:val="009A47C5"/>
    <w:rsid w:val="009B164A"/>
    <w:rsid w:val="009E1900"/>
    <w:rsid w:val="00A23D6E"/>
    <w:rsid w:val="00A60E7E"/>
    <w:rsid w:val="00A919F5"/>
    <w:rsid w:val="00AD7313"/>
    <w:rsid w:val="00AE2AA9"/>
    <w:rsid w:val="00AE3307"/>
    <w:rsid w:val="00B028A8"/>
    <w:rsid w:val="00B103B9"/>
    <w:rsid w:val="00B34129"/>
    <w:rsid w:val="00B51B61"/>
    <w:rsid w:val="00B52D53"/>
    <w:rsid w:val="00B724BB"/>
    <w:rsid w:val="00BD1DF0"/>
    <w:rsid w:val="00BE2A35"/>
    <w:rsid w:val="00BE3554"/>
    <w:rsid w:val="00C0262C"/>
    <w:rsid w:val="00C1032E"/>
    <w:rsid w:val="00C129B8"/>
    <w:rsid w:val="00C20FA1"/>
    <w:rsid w:val="00C24461"/>
    <w:rsid w:val="00C2550A"/>
    <w:rsid w:val="00C4699D"/>
    <w:rsid w:val="00C52071"/>
    <w:rsid w:val="00C57962"/>
    <w:rsid w:val="00C779BA"/>
    <w:rsid w:val="00C908C8"/>
    <w:rsid w:val="00CF32AC"/>
    <w:rsid w:val="00D24ADF"/>
    <w:rsid w:val="00D26517"/>
    <w:rsid w:val="00D34F7E"/>
    <w:rsid w:val="00D80F18"/>
    <w:rsid w:val="00D974D4"/>
    <w:rsid w:val="00DB7B09"/>
    <w:rsid w:val="00DC55F3"/>
    <w:rsid w:val="00DD5969"/>
    <w:rsid w:val="00DF4819"/>
    <w:rsid w:val="00E10797"/>
    <w:rsid w:val="00E243A8"/>
    <w:rsid w:val="00E60818"/>
    <w:rsid w:val="00E6747C"/>
    <w:rsid w:val="00E864F8"/>
    <w:rsid w:val="00EA0B9A"/>
    <w:rsid w:val="00EA15D1"/>
    <w:rsid w:val="00EA6220"/>
    <w:rsid w:val="00EC1771"/>
    <w:rsid w:val="00EC7A8C"/>
    <w:rsid w:val="00F1102F"/>
    <w:rsid w:val="00F3143D"/>
    <w:rsid w:val="00F35124"/>
    <w:rsid w:val="00F60EFF"/>
    <w:rsid w:val="00F71903"/>
    <w:rsid w:val="00F8089C"/>
    <w:rsid w:val="00F87797"/>
    <w:rsid w:val="00F934CF"/>
    <w:rsid w:val="00FF0ABF"/>
    <w:rsid w:val="00FF3C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05AD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605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92309">
      <w:bodyDiv w:val="1"/>
      <w:marLeft w:val="0"/>
      <w:marRight w:val="0"/>
      <w:marTop w:val="0"/>
      <w:marBottom w:val="0"/>
      <w:divBdr>
        <w:top w:val="none" w:sz="0" w:space="0" w:color="auto"/>
        <w:left w:val="none" w:sz="0" w:space="0" w:color="auto"/>
        <w:bottom w:val="none" w:sz="0" w:space="0" w:color="auto"/>
        <w:right w:val="none" w:sz="0" w:space="0" w:color="auto"/>
      </w:divBdr>
      <w:divsChild>
        <w:div w:id="207816026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734</TotalTime>
  <Pages>16</Pages>
  <Words>4153</Words>
  <Characters>23674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Annabella Gibbons</cp:lastModifiedBy>
  <cp:revision>76</cp:revision>
  <dcterms:created xsi:type="dcterms:W3CDTF">2025-04-29T18:48:00Z</dcterms:created>
  <dcterms:modified xsi:type="dcterms:W3CDTF">2025-04-30T19:46:00Z</dcterms:modified>
</cp:coreProperties>
</file>