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CD753A" w:rsidP="74C9DEA0" w:rsidRDefault="00CD753A" w14:paraId="1F36A59D" w14:textId="1BEACBB5">
      <w:pPr>
        <w:spacing w:after="360"/>
        <w:jc w:val="center"/>
      </w:pPr>
      <w:r w:rsidR="00CD753A">
        <w:drawing>
          <wp:inline wp14:editId="25117F48" wp14:anchorId="4DB20943">
            <wp:extent cx="5731510" cy="734695"/>
            <wp:effectExtent l="0" t="0" r="2540" b="8255"/>
            <wp:docPr id="2030163986"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30163986" name=""/>
                    <pic:cNvPicPr/>
                  </pic:nvPicPr>
                  <pic:blipFill>
                    <a:blip xmlns:r="http://schemas.openxmlformats.org/officeDocument/2006/relationships" r:embed="rId8"/>
                    <a:stretch>
                      <a:fillRect/>
                    </a:stretch>
                  </pic:blipFill>
                  <pic:spPr>
                    <a:xfrm>
                      <a:off x="0" y="0"/>
                      <a:ext cx="5731510" cy="734695"/>
                    </a:xfrm>
                    <a:prstGeom prst="rect">
                      <a:avLst/>
                    </a:prstGeom>
                  </pic:spPr>
                </pic:pic>
              </a:graphicData>
            </a:graphic>
          </wp:inline>
        </w:drawing>
      </w:r>
      <w:r w:rsidRPr="74C9DEA0" w:rsidR="0A394423">
        <w:rPr>
          <w:b w:val="1"/>
          <w:bCs w:val="1"/>
          <w:sz w:val="26"/>
          <w:szCs w:val="26"/>
        </w:rPr>
        <w:t xml:space="preserve">  </w:t>
      </w:r>
    </w:p>
    <w:p w:rsidR="7379D35A" w:rsidP="74C9DEA0" w:rsidRDefault="7379D35A" w14:paraId="79C6396E" w14:textId="55449483">
      <w:pPr>
        <w:spacing w:after="360"/>
        <w:jc w:val="left"/>
      </w:pPr>
      <w:r w:rsidRPr="74C9DEA0" w:rsidR="7379D35A">
        <w:rPr>
          <w:b w:val="1"/>
          <w:bCs w:val="1"/>
          <w:sz w:val="26"/>
          <w:szCs w:val="26"/>
        </w:rPr>
        <w:t>Module:</w:t>
      </w:r>
      <w:r w:rsidRPr="74C9DEA0" w:rsidR="0A394423">
        <w:rPr>
          <w:b w:val="1"/>
          <w:bCs w:val="1"/>
          <w:sz w:val="26"/>
          <w:szCs w:val="26"/>
        </w:rPr>
        <w:t xml:space="preserve">  </w:t>
      </w:r>
      <w:r>
        <w:tab/>
      </w:r>
      <w:r>
        <w:tab/>
      </w:r>
      <w:r>
        <w:tab/>
      </w:r>
      <w:r w:rsidRPr="74C9DEA0" w:rsidR="00A90C61">
        <w:rPr>
          <w:b w:val="1"/>
          <w:bCs w:val="1"/>
          <w:sz w:val="26"/>
          <w:szCs w:val="26"/>
        </w:rPr>
        <w:t>Introduction to Independent Research Skill</w:t>
      </w:r>
    </w:p>
    <w:p w:rsidR="72875DEE" w:rsidP="74C9DEA0" w:rsidRDefault="72875DEE" w14:paraId="3AD9E0CD" w14:textId="1C6ABBFC">
      <w:pPr>
        <w:spacing w:after="360"/>
        <w:jc w:val="left"/>
      </w:pPr>
      <w:r w:rsidRPr="74C9DEA0" w:rsidR="72875DEE">
        <w:rPr>
          <w:b w:val="1"/>
          <w:bCs w:val="1"/>
          <w:sz w:val="26"/>
          <w:szCs w:val="26"/>
          <w:lang w:val="en-US"/>
        </w:rPr>
        <w:t xml:space="preserve">Module </w:t>
      </w:r>
      <w:r w:rsidRPr="74C9DEA0" w:rsidR="4F86DD1E">
        <w:rPr>
          <w:b w:val="1"/>
          <w:bCs w:val="1"/>
          <w:sz w:val="26"/>
          <w:szCs w:val="26"/>
          <w:lang w:val="en-US"/>
        </w:rPr>
        <w:t>Code:</w:t>
      </w:r>
      <w:r w:rsidRPr="74C9DEA0" w:rsidR="71AAB2CA">
        <w:rPr>
          <w:b w:val="1"/>
          <w:bCs w:val="1"/>
          <w:sz w:val="26"/>
          <w:szCs w:val="26"/>
          <w:lang w:val="en-US"/>
        </w:rPr>
        <w:t xml:space="preserve"> </w:t>
      </w:r>
      <w:r>
        <w:tab/>
      </w:r>
      <w:r>
        <w:tab/>
      </w:r>
      <w:r w:rsidRPr="74C9DEA0" w:rsidR="7A4F43EA">
        <w:rPr>
          <w:b w:val="1"/>
          <w:bCs w:val="1"/>
          <w:sz w:val="26"/>
          <w:szCs w:val="26"/>
          <w:lang w:val="en-US"/>
        </w:rPr>
        <w:t>BMHP5019</w:t>
      </w:r>
    </w:p>
    <w:p w:rsidR="3521AA26" w:rsidP="74C9DEA0" w:rsidRDefault="3521AA26" w14:paraId="6E20EA0A" w14:textId="0D1033D5">
      <w:pPr>
        <w:pStyle w:val="Normal"/>
        <w:spacing w:after="360"/>
        <w:jc w:val="left"/>
        <w:rPr>
          <w:b w:val="1"/>
          <w:bCs w:val="1"/>
          <w:sz w:val="26"/>
          <w:szCs w:val="26"/>
          <w:lang w:val="en-US"/>
        </w:rPr>
      </w:pPr>
      <w:r w:rsidRPr="74C9DEA0" w:rsidR="3521AA26">
        <w:rPr>
          <w:b w:val="1"/>
          <w:bCs w:val="1"/>
          <w:sz w:val="26"/>
          <w:szCs w:val="26"/>
          <w:lang w:val="en-US"/>
        </w:rPr>
        <w:t xml:space="preserve">Assessment </w:t>
      </w:r>
      <w:r w:rsidRPr="74C9DEA0" w:rsidR="140BB2E0">
        <w:rPr>
          <w:b w:val="1"/>
          <w:bCs w:val="1"/>
          <w:sz w:val="26"/>
          <w:szCs w:val="26"/>
          <w:lang w:val="en-US"/>
        </w:rPr>
        <w:t xml:space="preserve"> </w:t>
      </w:r>
      <w:r w:rsidRPr="74C9DEA0" w:rsidR="11E7AB11">
        <w:rPr>
          <w:b w:val="1"/>
          <w:bCs w:val="1"/>
          <w:sz w:val="26"/>
          <w:szCs w:val="26"/>
          <w:lang w:val="en-US"/>
        </w:rPr>
        <w:t xml:space="preserve"> </w:t>
      </w:r>
      <w:r w:rsidRPr="74C9DEA0" w:rsidR="4591E198">
        <w:rPr>
          <w:b w:val="1"/>
          <w:bCs w:val="1"/>
          <w:sz w:val="26"/>
          <w:szCs w:val="26"/>
          <w:lang w:val="en-US"/>
        </w:rPr>
        <w:t>Tile:</w:t>
      </w:r>
      <w:r w:rsidRPr="74C9DEA0" w:rsidR="0BBC0400">
        <w:rPr>
          <w:b w:val="1"/>
          <w:bCs w:val="1"/>
          <w:sz w:val="26"/>
          <w:szCs w:val="26"/>
          <w:lang w:val="en-US"/>
        </w:rPr>
        <w:t xml:space="preserve"> </w:t>
      </w:r>
      <w:r>
        <w:tab/>
      </w:r>
      <w:r w:rsidRPr="74C9DEA0" w:rsidR="543488A4">
        <w:rPr>
          <w:b w:val="1"/>
          <w:bCs w:val="1"/>
          <w:sz w:val="26"/>
          <w:szCs w:val="26"/>
          <w:lang w:val="en-US"/>
        </w:rPr>
        <w:t>Component</w:t>
      </w:r>
      <w:r w:rsidRPr="74C9DEA0" w:rsidR="543488A4">
        <w:rPr>
          <w:b w:val="1"/>
          <w:bCs w:val="1"/>
          <w:sz w:val="26"/>
          <w:szCs w:val="26"/>
          <w:lang w:val="en-US"/>
        </w:rPr>
        <w:t xml:space="preserve"> 2</w:t>
      </w:r>
      <w:r w:rsidRPr="74C9DEA0" w:rsidR="0BBC0400">
        <w:rPr>
          <w:b w:val="1"/>
          <w:bCs w:val="1"/>
          <w:sz w:val="26"/>
          <w:szCs w:val="26"/>
          <w:lang w:val="en-US"/>
        </w:rPr>
        <w:t xml:space="preserve">  </w:t>
      </w:r>
      <w:r w:rsidRPr="74C9DEA0" w:rsidR="067C91B7">
        <w:rPr>
          <w:b w:val="1"/>
          <w:bCs w:val="1"/>
          <w:sz w:val="26"/>
          <w:szCs w:val="26"/>
          <w:lang w:val="en-US"/>
        </w:rPr>
        <w:t xml:space="preserve"> </w:t>
      </w:r>
      <w:r w:rsidRPr="74C9DEA0" w:rsidR="678337A3">
        <w:rPr>
          <w:b w:val="1"/>
          <w:bCs w:val="1"/>
          <w:sz w:val="26"/>
          <w:szCs w:val="26"/>
          <w:lang w:val="en-US"/>
        </w:rPr>
        <w:t>Research report</w:t>
      </w:r>
      <w:r>
        <w:br/>
      </w:r>
    </w:p>
    <w:p w:rsidR="5F1FFD87" w:rsidP="74C9DEA0" w:rsidRDefault="5F1FFD87" w14:paraId="45E4D2CB" w14:textId="594CC80D">
      <w:pPr>
        <w:pStyle w:val="Normal"/>
        <w:spacing w:after="360"/>
        <w:jc w:val="left"/>
      </w:pPr>
      <w:r w:rsidRPr="74C9DEA0" w:rsidR="5F1FFD87">
        <w:rPr>
          <w:b w:val="1"/>
          <w:bCs w:val="1"/>
          <w:sz w:val="26"/>
          <w:szCs w:val="26"/>
          <w:lang w:val="en-US"/>
        </w:rPr>
        <w:t>Student I</w:t>
      </w:r>
      <w:r w:rsidRPr="74C9DEA0" w:rsidR="5A928DCA">
        <w:rPr>
          <w:b w:val="1"/>
          <w:bCs w:val="1"/>
          <w:sz w:val="26"/>
          <w:szCs w:val="26"/>
          <w:lang w:val="en-US"/>
        </w:rPr>
        <w:t>D:</w:t>
      </w:r>
      <w:r w:rsidRPr="74C9DEA0" w:rsidR="067C91B7">
        <w:rPr>
          <w:b w:val="1"/>
          <w:bCs w:val="1"/>
          <w:sz w:val="26"/>
          <w:szCs w:val="26"/>
          <w:lang w:val="en-US"/>
        </w:rPr>
        <w:t xml:space="preserve"> </w:t>
      </w:r>
      <w:r>
        <w:tab/>
      </w:r>
      <w:r>
        <w:tab/>
      </w:r>
      <w:r w:rsidRPr="74C9DEA0" w:rsidR="1D77B6F2">
        <w:rPr>
          <w:b w:val="1"/>
          <w:bCs w:val="1"/>
          <w:sz w:val="26"/>
          <w:szCs w:val="26"/>
          <w:lang w:val="en-US"/>
        </w:rPr>
        <w:t>2412552</w:t>
      </w:r>
      <w:r w:rsidRPr="74C9DEA0" w:rsidR="5358EC2D">
        <w:rPr>
          <w:b w:val="1"/>
          <w:bCs w:val="1"/>
          <w:sz w:val="26"/>
          <w:szCs w:val="26"/>
          <w:lang w:val="en-US"/>
        </w:rPr>
        <w:t>Student</w:t>
      </w:r>
    </w:p>
    <w:p w:rsidR="0516F4F9" w:rsidP="74C9DEA0" w:rsidRDefault="0516F4F9" w14:paraId="72DC16A0" w14:textId="4578E401">
      <w:pPr>
        <w:pStyle w:val="Normal"/>
        <w:spacing w:after="360"/>
        <w:jc w:val="left"/>
        <w:rPr>
          <w:b w:val="1"/>
          <w:bCs w:val="1"/>
          <w:sz w:val="26"/>
          <w:szCs w:val="26"/>
          <w:lang w:val="en-US"/>
        </w:rPr>
      </w:pPr>
      <w:r w:rsidRPr="74C9DEA0" w:rsidR="0516F4F9">
        <w:rPr>
          <w:b w:val="1"/>
          <w:bCs w:val="1"/>
          <w:sz w:val="26"/>
          <w:szCs w:val="26"/>
          <w:lang w:val="en-US"/>
        </w:rPr>
        <w:t xml:space="preserve">Student </w:t>
      </w:r>
      <w:r w:rsidRPr="74C9DEA0" w:rsidR="09121A69">
        <w:rPr>
          <w:b w:val="1"/>
          <w:bCs w:val="1"/>
          <w:sz w:val="26"/>
          <w:szCs w:val="26"/>
          <w:lang w:val="en-US"/>
        </w:rPr>
        <w:t xml:space="preserve">Name: </w:t>
      </w:r>
      <w:r w:rsidRPr="74C9DEA0" w:rsidR="067C91B7">
        <w:rPr>
          <w:b w:val="1"/>
          <w:bCs w:val="1"/>
          <w:sz w:val="26"/>
          <w:szCs w:val="26"/>
          <w:lang w:val="en-US"/>
        </w:rPr>
        <w:t xml:space="preserve">  </w:t>
      </w:r>
      <w:r>
        <w:tab/>
      </w:r>
      <w:r>
        <w:tab/>
      </w:r>
      <w:r w:rsidRPr="74C9DEA0" w:rsidR="331C5586">
        <w:rPr>
          <w:b w:val="1"/>
          <w:bCs w:val="1"/>
          <w:sz w:val="26"/>
          <w:szCs w:val="26"/>
          <w:lang w:val="en-US"/>
        </w:rPr>
        <w:t>Patricia Anucha</w:t>
      </w:r>
      <w:r w:rsidRPr="74C9DEA0" w:rsidR="067C91B7">
        <w:rPr>
          <w:b w:val="1"/>
          <w:bCs w:val="1"/>
          <w:sz w:val="26"/>
          <w:szCs w:val="26"/>
          <w:lang w:val="en-US"/>
        </w:rPr>
        <w:t xml:space="preserve"> </w:t>
      </w:r>
      <w:r>
        <w:br/>
      </w:r>
    </w:p>
    <w:p w:rsidR="3D1C727F" w:rsidP="74C9DEA0" w:rsidRDefault="3D1C727F" w14:paraId="37BE83AD" w14:textId="11FBFEC2">
      <w:pPr>
        <w:pStyle w:val="Normal"/>
        <w:spacing w:after="360"/>
        <w:jc w:val="left"/>
      </w:pPr>
      <w:r w:rsidRPr="74C9DEA0" w:rsidR="3D1C727F">
        <w:rPr>
          <w:b w:val="1"/>
          <w:bCs w:val="1"/>
          <w:sz w:val="26"/>
          <w:szCs w:val="26"/>
          <w:lang w:val="en-US"/>
        </w:rPr>
        <w:t>L</w:t>
      </w:r>
      <w:r w:rsidRPr="74C9DEA0" w:rsidR="3D1C727F">
        <w:rPr>
          <w:b w:val="1"/>
          <w:bCs w:val="1"/>
          <w:sz w:val="26"/>
          <w:szCs w:val="26"/>
          <w:lang w:val="en-US"/>
        </w:rPr>
        <w:t xml:space="preserve">ectures </w:t>
      </w:r>
      <w:r w:rsidRPr="74C9DEA0" w:rsidR="5940EDDD">
        <w:rPr>
          <w:b w:val="1"/>
          <w:bCs w:val="1"/>
          <w:sz w:val="26"/>
          <w:szCs w:val="26"/>
          <w:lang w:val="en-US"/>
        </w:rPr>
        <w:t xml:space="preserve">Name: </w:t>
      </w:r>
      <w:r w:rsidRPr="74C9DEA0" w:rsidR="067C91B7">
        <w:rPr>
          <w:b w:val="1"/>
          <w:bCs w:val="1"/>
          <w:sz w:val="26"/>
          <w:szCs w:val="26"/>
          <w:lang w:val="en-US"/>
        </w:rPr>
        <w:t xml:space="preserve"> </w:t>
      </w:r>
      <w:r>
        <w:tab/>
      </w:r>
      <w:r>
        <w:tab/>
      </w:r>
      <w:r w:rsidRPr="74C9DEA0" w:rsidR="6B8ECBE7">
        <w:rPr>
          <w:b w:val="1"/>
          <w:bCs w:val="1"/>
          <w:sz w:val="26"/>
          <w:szCs w:val="26"/>
          <w:lang w:val="en-US"/>
        </w:rPr>
        <w:t>Dr Eleni Koutsogeorgou-Andre</w:t>
      </w:r>
      <w:r w:rsidRPr="74C9DEA0" w:rsidR="11D58ED4">
        <w:rPr>
          <w:b w:val="1"/>
          <w:bCs w:val="1"/>
          <w:sz w:val="26"/>
          <w:szCs w:val="26"/>
          <w:lang w:val="en-US"/>
        </w:rPr>
        <w:t>ou</w:t>
      </w:r>
      <w:r w:rsidRPr="74C9DEA0" w:rsidR="067C91B7">
        <w:rPr>
          <w:b w:val="1"/>
          <w:bCs w:val="1"/>
          <w:sz w:val="26"/>
          <w:szCs w:val="26"/>
          <w:lang w:val="en-US"/>
        </w:rPr>
        <w:t xml:space="preserve">                                    </w:t>
      </w:r>
    </w:p>
    <w:p w:rsidR="6595B726" w:rsidP="74C9DEA0" w:rsidRDefault="6595B726" w14:paraId="703D4EA9" w14:textId="7DD88E50">
      <w:pPr>
        <w:jc w:val="center"/>
      </w:pPr>
      <w:r w:rsidRPr="74C9DEA0" w:rsidR="6595B726">
        <w:rPr>
          <w:b w:val="1"/>
          <w:bCs w:val="1"/>
          <w:sz w:val="26"/>
          <w:szCs w:val="26"/>
          <w:lang w:val="en-US"/>
        </w:rPr>
        <w:t xml:space="preserve">  </w:t>
      </w:r>
    </w:p>
    <w:p w:rsidR="11E7AB11" w:rsidP="74C9DEA0" w:rsidRDefault="11E7AB11" w14:paraId="1A8B09F3" w14:textId="6CE6D9F6">
      <w:pPr>
        <w:jc w:val="center"/>
      </w:pPr>
      <w:r w:rsidRPr="74C9DEA0" w:rsidR="11E7AB11">
        <w:rPr>
          <w:b w:val="1"/>
          <w:bCs w:val="1"/>
          <w:sz w:val="26"/>
          <w:szCs w:val="26"/>
          <w:lang w:val="en-US"/>
        </w:rPr>
        <w:t xml:space="preserve">  </w:t>
      </w:r>
      <w:r w:rsidRPr="74C9DEA0" w:rsidR="5EF0AFDE">
        <w:rPr>
          <w:b w:val="1"/>
          <w:bCs w:val="1"/>
          <w:sz w:val="26"/>
          <w:szCs w:val="26"/>
          <w:lang w:val="en-US"/>
        </w:rPr>
        <w:t xml:space="preserve">                                                                </w:t>
      </w:r>
    </w:p>
    <w:p w:rsidR="74C9DEA0" w:rsidP="74C9DEA0" w:rsidRDefault="74C9DEA0" w14:paraId="7924A30D" w14:textId="7D2A2B08">
      <w:pPr>
        <w:jc w:val="center"/>
        <w:rPr>
          <w:b w:val="1"/>
          <w:bCs w:val="1"/>
          <w:sz w:val="26"/>
          <w:szCs w:val="26"/>
          <w:lang w:val="en-US"/>
        </w:rPr>
      </w:pPr>
    </w:p>
    <w:p w:rsidR="74C9DEA0" w:rsidP="74C9DEA0" w:rsidRDefault="74C9DEA0" w14:paraId="6724C811" w14:textId="075284F5">
      <w:pPr>
        <w:jc w:val="center"/>
        <w:rPr>
          <w:b w:val="1"/>
          <w:bCs w:val="1"/>
          <w:sz w:val="26"/>
          <w:szCs w:val="26"/>
          <w:lang w:val="en-US"/>
        </w:rPr>
      </w:pPr>
    </w:p>
    <w:p w:rsidR="74C9DEA0" w:rsidP="74C9DEA0" w:rsidRDefault="74C9DEA0" w14:paraId="22913598" w14:textId="01D663D8">
      <w:pPr>
        <w:jc w:val="center"/>
        <w:rPr>
          <w:b w:val="1"/>
          <w:bCs w:val="1"/>
          <w:sz w:val="26"/>
          <w:szCs w:val="26"/>
          <w:lang w:val="en-US"/>
        </w:rPr>
      </w:pPr>
    </w:p>
    <w:p w:rsidR="11E7AB11" w:rsidP="74C9DEA0" w:rsidRDefault="11E7AB11" w14:paraId="21ECE166" w14:textId="692BFB8F">
      <w:pPr>
        <w:jc w:val="center"/>
        <w:rPr>
          <w:b w:val="1"/>
          <w:bCs w:val="1"/>
          <w:sz w:val="26"/>
          <w:szCs w:val="26"/>
          <w:lang w:val="en-US"/>
        </w:rPr>
      </w:pPr>
      <w:r w:rsidRPr="74C9DEA0" w:rsidR="11E7AB11">
        <w:rPr>
          <w:b w:val="1"/>
          <w:bCs w:val="1"/>
          <w:sz w:val="26"/>
          <w:szCs w:val="26"/>
          <w:lang w:val="en-US"/>
        </w:rPr>
        <w:t xml:space="preserve">  </w:t>
      </w:r>
      <w:r w:rsidRPr="74C9DEA0" w:rsidR="71AAB2CA">
        <w:rPr>
          <w:b w:val="1"/>
          <w:bCs w:val="1"/>
          <w:sz w:val="26"/>
          <w:szCs w:val="26"/>
          <w:lang w:val="en-US"/>
        </w:rPr>
        <w:t xml:space="preserve">                                                 </w:t>
      </w:r>
      <w:r w:rsidRPr="74C9DEA0" w:rsidR="3FA57CD0">
        <w:rPr>
          <w:b w:val="1"/>
          <w:bCs w:val="1"/>
          <w:sz w:val="26"/>
          <w:szCs w:val="26"/>
          <w:lang w:val="en-US"/>
        </w:rPr>
        <w:t xml:space="preserve">        </w:t>
      </w:r>
      <w:r w:rsidRPr="74C9DEA0" w:rsidR="6BD45E81">
        <w:rPr>
          <w:b w:val="1"/>
          <w:bCs w:val="1"/>
          <w:sz w:val="26"/>
          <w:szCs w:val="26"/>
          <w:lang w:val="en-US"/>
        </w:rPr>
        <w:t xml:space="preserve">                </w:t>
      </w:r>
      <w:r w:rsidRPr="74C9DEA0" w:rsidR="3FA57CD0">
        <w:rPr>
          <w:b w:val="1"/>
          <w:bCs w:val="1"/>
          <w:sz w:val="26"/>
          <w:szCs w:val="26"/>
          <w:lang w:val="en-US"/>
        </w:rPr>
        <w:t xml:space="preserve"> </w:t>
      </w:r>
      <w:r w:rsidRPr="74C9DEA0" w:rsidR="567EE8EF">
        <w:rPr>
          <w:b w:val="1"/>
          <w:bCs w:val="1"/>
          <w:sz w:val="26"/>
          <w:szCs w:val="26"/>
          <w:lang w:val="en-US"/>
        </w:rPr>
        <w:t xml:space="preserve">    </w:t>
      </w:r>
    </w:p>
    <w:p w:rsidR="3FA57CD0" w:rsidP="74C9DEA0" w:rsidRDefault="3FA57CD0" w14:paraId="2F7A3D6E" w14:textId="669A5CE4">
      <w:pPr>
        <w:jc w:val="center"/>
      </w:pPr>
      <w:r w:rsidRPr="74C9DEA0" w:rsidR="3FA57CD0">
        <w:rPr>
          <w:b w:val="1"/>
          <w:bCs w:val="1"/>
          <w:sz w:val="26"/>
          <w:szCs w:val="26"/>
          <w:lang w:val="pt-BR"/>
        </w:rPr>
        <w:t xml:space="preserve">                                                                                </w:t>
      </w:r>
    </w:p>
    <w:p w:rsidR="74C9DEA0" w:rsidP="74C9DEA0" w:rsidRDefault="74C9DEA0" w14:paraId="6A180D01" w14:textId="05C7B3D3">
      <w:pPr>
        <w:jc w:val="center"/>
        <w:rPr>
          <w:b w:val="1"/>
          <w:bCs w:val="1"/>
          <w:sz w:val="26"/>
          <w:szCs w:val="26"/>
        </w:rPr>
      </w:pPr>
    </w:p>
    <w:p w:rsidR="74C9DEA0" w:rsidP="74C9DEA0" w:rsidRDefault="74C9DEA0" w14:paraId="57BBA4C7" w14:textId="1DEABBFB">
      <w:pPr>
        <w:jc w:val="center"/>
        <w:rPr>
          <w:b w:val="1"/>
          <w:bCs w:val="1"/>
          <w:sz w:val="26"/>
          <w:szCs w:val="26"/>
        </w:rPr>
      </w:pPr>
    </w:p>
    <w:p w:rsidR="74C9DEA0" w:rsidP="74C9DEA0" w:rsidRDefault="74C9DEA0" w14:paraId="3078BD22" w14:textId="34392091">
      <w:pPr>
        <w:jc w:val="center"/>
        <w:rPr>
          <w:b w:val="1"/>
          <w:bCs w:val="1"/>
          <w:sz w:val="26"/>
          <w:szCs w:val="26"/>
        </w:rPr>
      </w:pPr>
    </w:p>
    <w:p w:rsidR="74C9DEA0" w:rsidP="74C9DEA0" w:rsidRDefault="74C9DEA0" w14:paraId="542D5254" w14:textId="305490DE">
      <w:pPr>
        <w:jc w:val="center"/>
        <w:rPr>
          <w:b w:val="1"/>
          <w:bCs w:val="1"/>
          <w:sz w:val="26"/>
          <w:szCs w:val="26"/>
        </w:rPr>
      </w:pPr>
    </w:p>
    <w:p w:rsidR="74C9DEA0" w:rsidP="74C9DEA0" w:rsidRDefault="74C9DEA0" w14:paraId="6C9595B4" w14:textId="392F03B8">
      <w:pPr>
        <w:jc w:val="center"/>
        <w:rPr>
          <w:b w:val="1"/>
          <w:bCs w:val="1"/>
          <w:sz w:val="26"/>
          <w:szCs w:val="26"/>
        </w:rPr>
      </w:pPr>
    </w:p>
    <w:p w:rsidR="74C9DEA0" w:rsidP="74C9DEA0" w:rsidRDefault="74C9DEA0" w14:paraId="3232F835" w14:textId="7D5E05D9">
      <w:pPr>
        <w:jc w:val="center"/>
        <w:rPr>
          <w:b w:val="1"/>
          <w:bCs w:val="1"/>
          <w:sz w:val="26"/>
          <w:szCs w:val="26"/>
        </w:rPr>
      </w:pPr>
    </w:p>
    <w:p w:rsidR="74C9DEA0" w:rsidP="74C9DEA0" w:rsidRDefault="74C9DEA0" w14:paraId="5A32A56A" w14:textId="750522CB">
      <w:pPr>
        <w:jc w:val="center"/>
        <w:rPr>
          <w:b w:val="1"/>
          <w:bCs w:val="1"/>
          <w:sz w:val="26"/>
          <w:szCs w:val="26"/>
        </w:rPr>
      </w:pPr>
    </w:p>
    <w:p w:rsidR="74C9DEA0" w:rsidP="74C9DEA0" w:rsidRDefault="74C9DEA0" w14:paraId="633E513B" w14:textId="51479AEA">
      <w:pPr>
        <w:jc w:val="center"/>
        <w:rPr>
          <w:b w:val="1"/>
          <w:bCs w:val="1"/>
          <w:sz w:val="26"/>
          <w:szCs w:val="26"/>
        </w:rPr>
      </w:pPr>
    </w:p>
    <w:p w:rsidR="74C9DEA0" w:rsidP="74C9DEA0" w:rsidRDefault="74C9DEA0" w14:paraId="5B534532" w14:textId="057D7B71">
      <w:pPr>
        <w:jc w:val="center"/>
        <w:rPr>
          <w:b w:val="1"/>
          <w:bCs w:val="1"/>
          <w:sz w:val="26"/>
          <w:szCs w:val="26"/>
        </w:rPr>
      </w:pPr>
    </w:p>
    <w:p w:rsidR="004D6F1D" w:rsidP="74C9DEA0" w:rsidRDefault="004D6F1D" w14:paraId="6766E32B" w14:textId="31C3D604">
      <w:pPr>
        <w:jc w:val="center"/>
      </w:pPr>
      <w:r w:rsidRPr="74C9DEA0" w:rsidR="004D6F1D">
        <w:rPr>
          <w:b w:val="1"/>
          <w:bCs w:val="1"/>
          <w:sz w:val="26"/>
          <w:szCs w:val="26"/>
        </w:rPr>
        <w:t xml:space="preserve">     </w:t>
      </w:r>
    </w:p>
    <w:p w:rsidR="00EB7820" w:rsidRDefault="00EB7820" w14:paraId="6713B61E" w14:textId="77777777"/>
    <w:p w:rsidR="00EB7820" w:rsidRDefault="00EB7820" w14:paraId="7A3E965B" w14:textId="77777777"/>
    <w:p w:rsidRPr="00980E71" w:rsidR="00EB7820" w:rsidP="00980E71" w:rsidRDefault="00980E71" w14:paraId="4E1B0BC2" w14:textId="5A670179">
      <w:pPr>
        <w:jc w:val="center"/>
        <w:rPr>
          <w:b/>
          <w:bCs/>
          <w:sz w:val="28"/>
          <w:szCs w:val="28"/>
        </w:rPr>
      </w:pPr>
      <w:r w:rsidRPr="00980E71">
        <w:rPr>
          <w:b/>
          <w:bCs/>
          <w:sz w:val="28"/>
          <w:szCs w:val="28"/>
        </w:rPr>
        <w:t>Research report on</w:t>
      </w:r>
    </w:p>
    <w:p w:rsidRPr="00CD753A" w:rsidR="00EB7820" w:rsidP="00CD753A" w:rsidRDefault="00A90C61" w14:paraId="7E9EDE20" w14:textId="77777777">
      <w:pPr>
        <w:spacing w:after="0" w:line="240" w:lineRule="auto"/>
        <w:jc w:val="center"/>
        <w:rPr>
          <w:b/>
          <w:bCs/>
          <w:i/>
          <w:iCs/>
        </w:rPr>
      </w:pPr>
      <w:r w:rsidRPr="00CD753A">
        <w:rPr>
          <w:b/>
          <w:bCs/>
          <w:i/>
          <w:iCs/>
        </w:rPr>
        <w:t>Effectiveness of Telehealth Interventions in Improving Healthcare Access and Health Outcomes for Older Adults in UK Primary Care</w:t>
      </w:r>
    </w:p>
    <w:p w:rsidRPr="00CD753A" w:rsidR="00EB7820" w:rsidP="00CD753A" w:rsidRDefault="00A90C61" w14:paraId="2FBC6ADC" w14:textId="77777777">
      <w:pPr>
        <w:spacing w:after="0" w:line="240" w:lineRule="auto"/>
        <w:jc w:val="center"/>
        <w:rPr>
          <w:b/>
          <w:bCs/>
          <w:i/>
          <w:iCs/>
        </w:rPr>
      </w:pPr>
      <w:r w:rsidRPr="00CD753A">
        <w:rPr>
          <w:b/>
          <w:bCs/>
          <w:i/>
          <w:iCs/>
        </w:rPr>
        <w:t>A Scoping Review of Five Secondary Peer-Reviewed Studies</w:t>
      </w:r>
    </w:p>
    <w:p w:rsidR="00EB7820" w:rsidRDefault="00EB7820" w14:paraId="6A5C4FDD" w14:textId="77777777"/>
    <w:p w:rsidR="00EB7820" w:rsidRDefault="00EB7820" w14:paraId="7270B83C" w14:textId="77777777"/>
    <w:p w:rsidR="00980E71" w:rsidP="00980E71" w:rsidRDefault="00980E71" w14:paraId="2C129FBF" w14:textId="77777777">
      <w:pPr>
        <w:jc w:val="center"/>
        <w:rPr>
          <w:b/>
          <w:sz w:val="21"/>
        </w:rPr>
      </w:pPr>
    </w:p>
    <w:p w:rsidR="00980E71" w:rsidP="00980E71" w:rsidRDefault="00980E71" w14:paraId="16FCA9D9" w14:textId="77777777">
      <w:pPr>
        <w:jc w:val="center"/>
        <w:rPr>
          <w:b/>
          <w:sz w:val="21"/>
        </w:rPr>
      </w:pPr>
    </w:p>
    <w:p w:rsidR="00980E71" w:rsidP="00980E71" w:rsidRDefault="00980E71" w14:paraId="5D718C11" w14:textId="77777777">
      <w:pPr>
        <w:jc w:val="center"/>
        <w:rPr>
          <w:b/>
          <w:sz w:val="21"/>
        </w:rPr>
      </w:pPr>
    </w:p>
    <w:p w:rsidR="00EB7820" w:rsidP="74C9DEA0" w:rsidRDefault="00980E71" w14:paraId="6958C5AA" w14:textId="10E28441">
      <w:pPr>
        <w:jc w:val="center"/>
        <w:rPr>
          <w:b w:val="1"/>
          <w:bCs w:val="1"/>
          <w:sz w:val="21"/>
          <w:szCs w:val="21"/>
        </w:rPr>
      </w:pPr>
    </w:p>
    <w:p w:rsidR="00980E71" w:rsidP="74C9DEA0" w:rsidRDefault="00980E71" w14:paraId="42D38223" w14:textId="162969BC">
      <w:pPr>
        <w:jc w:val="center"/>
        <w:rPr>
          <w:b w:val="1"/>
          <w:bCs w:val="1"/>
          <w:sz w:val="21"/>
          <w:szCs w:val="21"/>
        </w:rPr>
      </w:pPr>
    </w:p>
    <w:p w:rsidR="00EB7820" w:rsidP="005E3C3F" w:rsidRDefault="00A90C61" w14:paraId="60CACFA8" w14:textId="110CFF78">
      <w:r>
        <w:br w:type="page"/>
      </w:r>
    </w:p>
    <w:p w:rsidR="00EB7820" w:rsidP="00980E71" w:rsidRDefault="00A90C61" w14:paraId="5F8D3A51" w14:textId="77777777">
      <w:pPr>
        <w:pStyle w:val="Heading1"/>
      </w:pPr>
      <w:bookmarkStart w:name="_Toc236468957" w:id="0"/>
      <w:r>
        <w:t>Abstract</w:t>
      </w:r>
      <w:bookmarkEnd w:id="0"/>
    </w:p>
    <w:p w:rsidRPr="009E132A" w:rsidR="009E132A" w:rsidP="00980E71" w:rsidRDefault="009E132A" w14:paraId="313226AF" w14:textId="122C7A55">
      <w:pPr>
        <w:spacing w:before="120" w:after="240"/>
        <w:rPr>
          <w:lang w:val="en-GB"/>
        </w:rPr>
      </w:pPr>
      <w:r w:rsidRPr="009E132A">
        <w:rPr>
          <w:lang w:val="en-GB"/>
        </w:rPr>
        <w:t xml:space="preserve">The aim of this scoping review was to examine the effectiveness of telehealth for older people in primary care in the UK. Five secondary studies were conducted after 2022 and synthesised by qualitative thematic analysis in the review. </w:t>
      </w:r>
      <w:r w:rsidR="000E7267">
        <w:rPr>
          <w:lang w:val="en-GB"/>
        </w:rPr>
        <w:t>Nowadays, t</w:t>
      </w:r>
      <w:r w:rsidRPr="009E132A">
        <w:rPr>
          <w:lang w:val="en-GB"/>
        </w:rPr>
        <w:t>ravel was cut and convenience increased with telephone, video and remote monitoring. Older adults said that they were satisfied with services that were dependable, easy and suitable. A few programmes increased perceived health and decreased attendance of the ED. There was inconclusive evidence on safety, admissions to hospital, death rates and quality of life. Many elderly people were not able to take advantage of these benefits due to digital exclusion. Barriers were provided by limited skills, impairments, costs, connectivity and privacy concerns. Hybrid, person-centred models that provide true patient choice were the most effective models for using telehealth. Telephone and face-to-face routes, as well as online services, should all be maintained in the UK practices. Services need to consistently measure, support and check digital readiness and inequalities. Further research is required in the UK on frailty, multimorbidity, safety, cost and outcomes.</w:t>
      </w:r>
    </w:p>
    <w:p w:rsidR="00EB7820" w:rsidP="00980E71" w:rsidRDefault="00EB7820" w14:paraId="480330E8" w14:textId="4A0B5E6C">
      <w:pPr>
        <w:spacing w:before="120" w:after="240"/>
      </w:pPr>
    </w:p>
    <w:p w:rsidR="00C740CB" w:rsidP="00980E71" w:rsidRDefault="00C740CB" w14:paraId="3DC38112" w14:textId="77777777">
      <w:pPr>
        <w:spacing w:before="120" w:after="240"/>
        <w:jc w:val="left"/>
        <w:rPr>
          <w:rFonts w:eastAsiaTheme="majorEastAsia" w:cstheme="majorBidi"/>
          <w:b/>
          <w:bCs/>
          <w:color w:val="17365D"/>
          <w:sz w:val="28"/>
          <w:szCs w:val="28"/>
        </w:rPr>
      </w:pPr>
      <w:r>
        <w:br w:type="page"/>
      </w:r>
    </w:p>
    <w:sdt>
      <w:sdtPr>
        <w:id w:val="588977199"/>
        <w:docPartObj>
          <w:docPartGallery w:val="Table of Contents"/>
          <w:docPartUnique/>
        </w:docPartObj>
        <w:rPr>
          <w:rFonts w:eastAsia="Arial" w:cs="" w:cstheme="minorBidi"/>
          <w:b w:val="0"/>
          <w:bCs w:val="0"/>
          <w:color w:val="auto"/>
          <w:sz w:val="22"/>
          <w:szCs w:val="22"/>
        </w:rPr>
      </w:sdtPr>
      <w:sdtEndPr>
        <w:rPr>
          <w:rFonts w:eastAsia="Arial" w:cs="" w:cstheme="minorBidi"/>
          <w:b w:val="0"/>
          <w:bCs w:val="0"/>
          <w:noProof/>
          <w:color w:val="auto"/>
          <w:sz w:val="22"/>
          <w:szCs w:val="22"/>
        </w:rPr>
      </w:sdtEndPr>
      <w:sdtContent>
        <w:p w:rsidR="00C26858" w:rsidP="00C26858" w:rsidRDefault="00C26858" w14:paraId="09EEBA3B" w14:textId="078A45AE">
          <w:pPr>
            <w:pStyle w:val="TOCHeading"/>
          </w:pPr>
          <w:r>
            <w:rPr>
              <w:noProof/>
            </w:rPr>
            <w:drawing>
              <wp:inline distT="0" distB="0" distL="0" distR="0" wp14:anchorId="5E9FC7CD" wp14:editId="6604F9C3">
                <wp:extent cx="5731510" cy="4390390"/>
                <wp:effectExtent l="0" t="0" r="2540" b="0"/>
                <wp:docPr id="757902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902439" name=""/>
                        <pic:cNvPicPr/>
                      </pic:nvPicPr>
                      <pic:blipFill>
                        <a:blip r:embed="rId9"/>
                        <a:stretch>
                          <a:fillRect/>
                        </a:stretch>
                      </pic:blipFill>
                      <pic:spPr>
                        <a:xfrm>
                          <a:off x="0" y="0"/>
                          <a:ext cx="5731510" cy="4390390"/>
                        </a:xfrm>
                        <a:prstGeom prst="rect">
                          <a:avLst/>
                        </a:prstGeom>
                      </pic:spPr>
                    </pic:pic>
                  </a:graphicData>
                </a:graphic>
              </wp:inline>
            </w:drawing>
          </w:r>
        </w:p>
        <w:p w:rsidR="00C26858" w:rsidP="00C26858" w:rsidRDefault="00000000" w14:paraId="266B2275" w14:textId="2FCA9B46">
          <w:pPr>
            <w:spacing w:after="0" w:line="240" w:lineRule="auto"/>
          </w:pPr>
        </w:p>
      </w:sdtContent>
    </w:sdt>
    <w:p w:rsidR="00C26858" w:rsidP="00C26858" w:rsidRDefault="00C26858" w14:paraId="36611CBD" w14:textId="77777777"/>
    <w:p w:rsidR="00C26858" w:rsidP="00C26858" w:rsidRDefault="00C26858" w14:paraId="3D1BEDCA" w14:textId="77777777"/>
    <w:p w:rsidR="00C26858" w:rsidRDefault="00C26858" w14:paraId="4E47FCF8" w14:textId="77777777">
      <w:pPr>
        <w:spacing w:after="200" w:line="276" w:lineRule="auto"/>
        <w:jc w:val="left"/>
        <w:rPr>
          <w:rFonts w:eastAsiaTheme="majorEastAsia" w:cstheme="majorBidi"/>
          <w:b/>
          <w:bCs/>
          <w:color w:val="000000" w:themeColor="text1"/>
          <w:sz w:val="28"/>
          <w:szCs w:val="28"/>
        </w:rPr>
      </w:pPr>
      <w:r>
        <w:br w:type="page"/>
      </w:r>
    </w:p>
    <w:p w:rsidR="00EB7820" w:rsidP="00980E71" w:rsidRDefault="00A90C61" w14:paraId="3D781B4F" w14:textId="737E45C8">
      <w:pPr>
        <w:pStyle w:val="Heading1"/>
      </w:pPr>
      <w:bookmarkStart w:name="_Toc236468958" w:id="1"/>
      <w:r>
        <w:t>1. Introduction</w:t>
      </w:r>
      <w:bookmarkEnd w:id="1"/>
    </w:p>
    <w:p w:rsidR="00EB7820" w:rsidP="00980E71" w:rsidRDefault="00A90C61" w14:paraId="43BC762C" w14:textId="77777777">
      <w:pPr>
        <w:pStyle w:val="Heading2"/>
      </w:pPr>
      <w:bookmarkStart w:name="_Toc236468959" w:id="2"/>
      <w:r>
        <w:t>1.1 Definition of the main concepts</w:t>
      </w:r>
      <w:bookmarkEnd w:id="2"/>
    </w:p>
    <w:p w:rsidRPr="005E3C3F" w:rsidR="005E3C3F" w:rsidP="00980E71" w:rsidRDefault="005E3C3F" w14:paraId="6F09D89A" w14:textId="77777777">
      <w:pPr>
        <w:spacing w:before="120" w:after="240"/>
        <w:rPr>
          <w:lang w:val="en-GB"/>
        </w:rPr>
      </w:pPr>
      <w:r w:rsidRPr="005E3C3F">
        <w:rPr>
          <w:lang w:val="en-GB"/>
        </w:rPr>
        <w:t>Telehealth is the delivery or facilitation of health care services by means of communication technologies at a distance. The common services are phone consultations, video, messaging, and distance monitoring. Online consultation forms and digital self-management support are other examples of telehealth services. In general, telemedicine is a more constrained term referring to patient-clinician interactions from a distance. This report adopts the term 'telehealth', as it is more generic digital health. A few selected reviews only investigated synchronous remote consultations (</w:t>
      </w:r>
      <w:proofErr w:type="spellStart"/>
      <w:r w:rsidRPr="005E3C3F">
        <w:rPr>
          <w:lang w:val="en-GB"/>
        </w:rPr>
        <w:t>Ilali</w:t>
      </w:r>
      <w:proofErr w:type="spellEnd"/>
      <w:r w:rsidRPr="005E3C3F">
        <w:rPr>
          <w:lang w:val="en-GB"/>
        </w:rPr>
        <w:t xml:space="preserve"> et al., 2023). Another review included both telephony and video care (Zhang, Leuk and Teo, 2023). This review defines older adults as people aged 65 years or above. This threshold is based upon common service and policy usage throughout the United Kingdom. However, several international reviews included those 60 years and older. Healthcare access is defined as having access to the right care at the right time and place.</w:t>
      </w:r>
    </w:p>
    <w:p w:rsidRPr="005E3C3F" w:rsidR="005E3C3F" w:rsidP="00980E71" w:rsidRDefault="005E3C3F" w14:paraId="67C78FF8" w14:textId="77777777">
      <w:pPr>
        <w:pStyle w:val="Heading2"/>
        <w:rPr>
          <w:lang w:val="en-GB"/>
        </w:rPr>
      </w:pPr>
      <w:bookmarkStart w:name="_Toc236468960" w:id="3"/>
      <w:r w:rsidRPr="005E3C3F">
        <w:rPr>
          <w:lang w:val="en-GB"/>
        </w:rPr>
        <w:t>1.2 Rationale of the research</w:t>
      </w:r>
      <w:bookmarkEnd w:id="3"/>
    </w:p>
    <w:p w:rsidRPr="005E3C3F" w:rsidR="005E3C3F" w:rsidP="00980E71" w:rsidRDefault="005E3C3F" w14:paraId="6DEAF907" w14:textId="77777777">
      <w:pPr>
        <w:spacing w:before="120" w:after="240"/>
        <w:rPr>
          <w:lang w:val="en-GB"/>
        </w:rPr>
      </w:pPr>
      <w:r w:rsidRPr="005E3C3F">
        <w:rPr>
          <w:lang w:val="en-GB"/>
        </w:rPr>
        <w:t>Primary care is used by older adults often and they commonly have complex health needs. A large number suffer from multiple chronic conditions, frailty, limited mobility, loss of senses or transport problems. Housebound individuals and rural areas far away can benefit from telehealth. Remote triage, monitoring and follow-up may also aid practices in managing demand. Digital access is not equally distributed among older adults and communities, though. According to Age UK (2024), there were 4.7 million older persons without the necessary internet skills. The UK is also continuing to develop online consultations, digital telephony and NHS app services. Meanwhile, primary care is under significant demand pressure from increasing patient demands. The CQC (2024) has said there are five million patients waiting beyond 2 weeks. These delays were for general practice appointments made in March 2024. A targeted review can assess the benefits of telehealth access and outcomes.</w:t>
      </w:r>
    </w:p>
    <w:p w:rsidRPr="005E3C3F" w:rsidR="005E3C3F" w:rsidP="00980E71" w:rsidRDefault="005E3C3F" w14:paraId="6A607CDF" w14:textId="77777777">
      <w:pPr>
        <w:pStyle w:val="Heading2"/>
        <w:rPr>
          <w:lang w:val="en-GB"/>
        </w:rPr>
      </w:pPr>
      <w:bookmarkStart w:name="_Toc236468961" w:id="4"/>
      <w:r w:rsidRPr="005E3C3F">
        <w:rPr>
          <w:lang w:val="en-GB"/>
        </w:rPr>
        <w:t>1.3 Review question</w:t>
      </w:r>
      <w:bookmarkEnd w:id="4"/>
    </w:p>
    <w:p w:rsidRPr="005E3C3F" w:rsidR="005E3C3F" w:rsidP="00980E71" w:rsidRDefault="005E3C3F" w14:paraId="12A3769E" w14:textId="77777777">
      <w:pPr>
        <w:spacing w:before="120" w:after="240"/>
        <w:rPr>
          <w:lang w:val="en-GB"/>
        </w:rPr>
      </w:pPr>
      <w:r w:rsidRPr="005E3C3F">
        <w:rPr>
          <w:lang w:val="en-GB"/>
        </w:rPr>
        <w:t>How effective are telehealth interventions in enhancing health services access and health outcomes for older adults in UK primary care?</w:t>
      </w:r>
    </w:p>
    <w:p w:rsidRPr="005E3C3F" w:rsidR="005E3C3F" w:rsidP="00980E71" w:rsidRDefault="005E3C3F" w14:paraId="240A4BB0" w14:textId="77777777">
      <w:pPr>
        <w:pStyle w:val="Heading2"/>
        <w:rPr>
          <w:lang w:val="en-GB"/>
        </w:rPr>
      </w:pPr>
      <w:bookmarkStart w:name="_Toc236468962" w:id="5"/>
      <w:r w:rsidRPr="005E3C3F">
        <w:rPr>
          <w:lang w:val="en-GB"/>
        </w:rPr>
        <w:t>1.4 Objectives</w:t>
      </w:r>
      <w:bookmarkEnd w:id="5"/>
    </w:p>
    <w:p w:rsidRPr="001C6B71" w:rsidR="005E3C3F" w:rsidP="001C6B71" w:rsidRDefault="005E3C3F" w14:paraId="3A0672EF" w14:textId="77777777">
      <w:pPr>
        <w:pStyle w:val="ListParagraph"/>
        <w:numPr>
          <w:ilvl w:val="0"/>
          <w:numId w:val="14"/>
        </w:numPr>
        <w:spacing w:before="120" w:after="240"/>
        <w:rPr>
          <w:lang w:val="en-GB"/>
        </w:rPr>
      </w:pPr>
      <w:r w:rsidRPr="001C6B71">
        <w:rPr>
          <w:lang w:val="en-GB"/>
        </w:rPr>
        <w:t>To find five recent peer-reviewed secondary studies relevant to telehealth and older adults and primary care.</w:t>
      </w:r>
    </w:p>
    <w:p w:rsidRPr="001C6B71" w:rsidR="005E3C3F" w:rsidP="001C6B71" w:rsidRDefault="005E3C3F" w14:paraId="2474060E" w14:textId="77777777">
      <w:pPr>
        <w:pStyle w:val="ListParagraph"/>
        <w:numPr>
          <w:ilvl w:val="0"/>
          <w:numId w:val="14"/>
        </w:numPr>
        <w:spacing w:before="120" w:after="240"/>
        <w:rPr>
          <w:lang w:val="en-GB"/>
        </w:rPr>
      </w:pPr>
      <w:r w:rsidRPr="001C6B71">
        <w:rPr>
          <w:lang w:val="en-GB"/>
        </w:rPr>
        <w:t>To explore the impact of telehealth on the convenience, timeliness and access to health care.</w:t>
      </w:r>
    </w:p>
    <w:p w:rsidRPr="001C6B71" w:rsidR="005E3C3F" w:rsidP="001C6B71" w:rsidRDefault="005E3C3F" w14:paraId="121908A7" w14:textId="77777777">
      <w:pPr>
        <w:pStyle w:val="ListParagraph"/>
        <w:numPr>
          <w:ilvl w:val="0"/>
          <w:numId w:val="14"/>
        </w:numPr>
        <w:spacing w:before="120" w:after="240"/>
        <w:rPr>
          <w:lang w:val="en-GB"/>
        </w:rPr>
      </w:pPr>
      <w:r w:rsidRPr="001C6B71">
        <w:rPr>
          <w:lang w:val="en-GB"/>
        </w:rPr>
        <w:t>To measure reported health, service-use, satisfaction and safety outcomes.</w:t>
      </w:r>
    </w:p>
    <w:p w:rsidRPr="001C6B71" w:rsidR="005E3C3F" w:rsidP="001C6B71" w:rsidRDefault="005E3C3F" w14:paraId="656D9FAB" w14:textId="77777777">
      <w:pPr>
        <w:pStyle w:val="ListParagraph"/>
        <w:numPr>
          <w:ilvl w:val="0"/>
          <w:numId w:val="14"/>
        </w:numPr>
        <w:spacing w:before="120" w:after="240"/>
        <w:rPr>
          <w:lang w:val="en-GB"/>
        </w:rPr>
      </w:pPr>
      <w:r w:rsidRPr="001C6B71">
        <w:rPr>
          <w:lang w:val="en-GB"/>
        </w:rPr>
        <w:t>To identify barriers, facilitators and inequalities affecting older adults' use of telehealth.</w:t>
      </w:r>
    </w:p>
    <w:p w:rsidRPr="001C6B71" w:rsidR="00EB7820" w:rsidP="001C6B71" w:rsidRDefault="005E3C3F" w14:paraId="687F4C78" w14:textId="2367FBC1">
      <w:pPr>
        <w:pStyle w:val="ListParagraph"/>
        <w:numPr>
          <w:ilvl w:val="0"/>
          <w:numId w:val="14"/>
        </w:numPr>
        <w:spacing w:before="120" w:after="240"/>
        <w:rPr>
          <w:lang w:val="en-GB"/>
        </w:rPr>
      </w:pPr>
      <w:r w:rsidRPr="001C6B71">
        <w:rPr>
          <w:lang w:val="en-GB"/>
        </w:rPr>
        <w:t>To make recommendations for UK research, policy and health and social care practice.</w:t>
      </w:r>
    </w:p>
    <w:p w:rsidR="00EB7820" w:rsidP="00980E71" w:rsidRDefault="00A90C61" w14:paraId="76A58F8D" w14:textId="77777777">
      <w:pPr>
        <w:pStyle w:val="Heading1"/>
      </w:pPr>
      <w:bookmarkStart w:name="_Toc236468963" w:id="6"/>
      <w:r>
        <w:t>2. Background</w:t>
      </w:r>
      <w:bookmarkEnd w:id="6"/>
    </w:p>
    <w:p w:rsidR="00EB7820" w:rsidP="00980E71" w:rsidRDefault="00A90C61" w14:paraId="48810D02" w14:textId="77777777">
      <w:pPr>
        <w:pStyle w:val="Heading2"/>
      </w:pPr>
      <w:bookmarkStart w:name="_Toc236468964" w:id="7"/>
      <w:r>
        <w:t>2.1 UK primary care and digital transformation</w:t>
      </w:r>
      <w:bookmarkEnd w:id="7"/>
    </w:p>
    <w:p w:rsidRPr="00FB0514" w:rsidR="00EB7820" w:rsidP="00980E71" w:rsidRDefault="00FB0514" w14:paraId="485A1C48" w14:textId="6A1EF912">
      <w:pPr>
        <w:spacing w:before="120" w:after="240"/>
        <w:rPr>
          <w:lang w:val="en-GB"/>
        </w:rPr>
      </w:pPr>
      <w:r w:rsidRPr="74C9DEA0" w:rsidR="00FB0514">
        <w:rPr>
          <w:lang w:val="en-GB"/>
        </w:rPr>
        <w:t xml:space="preserve">The NHS's first point of contact for prevention, diagnosis and treatment is primary care. Long-term conditions are also helped with ongoing, community-based professional support available in services. Demand for patients is </w:t>
      </w:r>
      <w:r w:rsidRPr="74C9DEA0" w:rsidR="1A3F434D">
        <w:rPr>
          <w:lang w:val="en-GB"/>
        </w:rPr>
        <w:t>rising,</w:t>
      </w:r>
      <w:r w:rsidRPr="74C9DEA0" w:rsidR="00FB0514">
        <w:rPr>
          <w:lang w:val="en-GB"/>
        </w:rPr>
        <w:t xml:space="preserve"> and many find it difficult to reach </w:t>
      </w:r>
      <w:r w:rsidRPr="74C9DEA0" w:rsidR="00FB0514">
        <w:rPr>
          <w:lang w:val="en-GB"/>
        </w:rPr>
        <w:t>general practices</w:t>
      </w:r>
      <w:r w:rsidRPr="74C9DEA0" w:rsidR="00FB0514">
        <w:rPr>
          <w:lang w:val="en-GB"/>
        </w:rPr>
        <w:t>. NHS England's recovery plan encouraged digital telephony, requests online and messaging. The plan also provided for care navigation using Modern General Practice Access. These were part of national access reforms (NHS England, 2023a). Digital routes should be kept next to telephone &amp; walk-in access (NHS England, 2024a). Telehealth services include medicine reviews, video consultations, photographs, and blood-pressure monitoring. Digital programmes can also help patients with long-term conditions to be managed at home. Campbell et al. (2023) reported a reduction in waiting time and patient costs.</w:t>
      </w:r>
    </w:p>
    <w:p w:rsidR="00EB7820" w:rsidP="00980E71" w:rsidRDefault="00A90C61" w14:paraId="43FBC5A8" w14:textId="77777777">
      <w:pPr>
        <w:pStyle w:val="Heading2"/>
      </w:pPr>
      <w:bookmarkStart w:name="_Toc236468965" w:id="8"/>
      <w:r>
        <w:t>2.2 Digital exclusion and inequalities</w:t>
      </w:r>
      <w:bookmarkEnd w:id="8"/>
    </w:p>
    <w:p w:rsidRPr="00FB0514" w:rsidR="00EB7820" w:rsidP="00980E71" w:rsidRDefault="00FB0514" w14:paraId="57660A2D" w14:textId="135D6010">
      <w:pPr>
        <w:spacing w:before="120" w:after="240"/>
        <w:rPr>
          <w:lang w:val="en-GB"/>
        </w:rPr>
      </w:pPr>
      <w:r w:rsidRPr="00FB0514">
        <w:rPr>
          <w:lang w:val="en-GB"/>
        </w:rPr>
        <w:t>Older adults are a heterogeneous group with varying abilities and resources. Digital capability is influenced by education, income, language, disability, rurality and support. Age UK (2024) reported that 2.3 million older people were still not online. The report also discovered 3.3 million older adults were without smartphones. Barriers include arthritis, sensory loss, cognitive impairment, fraud concerns and cost. The poor broadband also makes it difficult to access digital healthcare services. Ofcom (2024) also linked older age to a lack of digital confidence. Inclusive design is part of NHS England's framework, alongside accessible non-digital services. Support for fair access for digitally excluded patients is a national expectation (NHS England, 2023b). Under the Equality Act 2010, reasonable adjustments must be made and discrimination is prohibited. Those needs must also be met appropriately by services (NHS England, 2023c).</w:t>
      </w:r>
    </w:p>
    <w:p w:rsidR="00EB7820" w:rsidP="00980E71" w:rsidRDefault="00A90C61" w14:paraId="00A1479A" w14:textId="417E6681">
      <w:pPr>
        <w:pStyle w:val="Heading2"/>
      </w:pPr>
      <w:bookmarkStart w:name="_Toc236468966" w:id="9"/>
      <w:r w:rsidR="00A90C61">
        <w:rPr/>
        <w:t xml:space="preserve">2.3 Legal, </w:t>
      </w:r>
      <w:r w:rsidR="00A90C61">
        <w:rPr/>
        <w:t>ethical</w:t>
      </w:r>
      <w:r w:rsidR="00A90C61">
        <w:rPr/>
        <w:t xml:space="preserve"> and </w:t>
      </w:r>
      <w:r w:rsidR="73ED0316">
        <w:rPr/>
        <w:t>organizational</w:t>
      </w:r>
      <w:r w:rsidR="00A90C61">
        <w:rPr/>
        <w:t xml:space="preserve"> context</w:t>
      </w:r>
      <w:bookmarkEnd w:id="9"/>
    </w:p>
    <w:p w:rsidRPr="00FB0514" w:rsidR="00EB7820" w:rsidP="00980E71" w:rsidRDefault="00FB0514" w14:paraId="516CB6FE" w14:textId="6A875DF7">
      <w:pPr>
        <w:spacing w:before="120" w:after="240"/>
        <w:rPr>
          <w:lang w:val="en-GB"/>
        </w:rPr>
      </w:pPr>
      <w:r w:rsidRPr="00FB0514">
        <w:rPr>
          <w:lang w:val="en-GB"/>
        </w:rPr>
        <w:t>Telehealth services routinely access sensitive personal information and confidential health information. Practices to comply with the UK GDPR and Data Protection Act 2018. Services must be legally processed, with limited data collection and with suitable security. Integrated systems have inequality responsibilities under the Health and Care Act 2022. The CQC monitors quality and safety in the registered health care services. It's a duty to cover services delivered by online providers as primary care. NHS England sets national standards and gives direction of services. NICE sets evidence standards to evaluate appropriate digital health technologies.</w:t>
      </w:r>
    </w:p>
    <w:p w:rsidR="00EB7820" w:rsidP="00980E71" w:rsidRDefault="00A90C61" w14:paraId="52B4FE4C" w14:textId="77777777">
      <w:pPr>
        <w:pStyle w:val="Heading2"/>
      </w:pPr>
      <w:bookmarkStart w:name="_Toc236468967" w:id="10"/>
      <w:r>
        <w:t>2.4 Current evidence problem</w:t>
      </w:r>
      <w:bookmarkEnd w:id="10"/>
    </w:p>
    <w:p w:rsidRPr="00740B52" w:rsidR="00EB7820" w:rsidP="00980E71" w:rsidRDefault="00740B52" w14:paraId="048C8327" w14:textId="2070E903">
      <w:pPr>
        <w:spacing w:before="120" w:after="240"/>
        <w:rPr>
          <w:lang w:val="en-GB"/>
        </w:rPr>
      </w:pPr>
      <w:r w:rsidRPr="00740B52">
        <w:rPr>
          <w:lang w:val="en-GB"/>
        </w:rPr>
        <w:t>The literature on telehealth is mixed, and recent reviews have been favourable. Numerous studies happened during periods of COVID-19 restrictions on in-person care. International results may not be directly translatable into the routine NHS primary care. A scoping review can capture a range of evidence and make comparisons between findings. This way also, gaps are identified without requiring a common effect (Peters et al., 2024).</w:t>
      </w:r>
    </w:p>
    <w:p w:rsidR="00EB7820" w:rsidP="00980E71" w:rsidRDefault="00A90C61" w14:paraId="1D9024F8" w14:textId="77777777">
      <w:pPr>
        <w:pStyle w:val="Heading1"/>
      </w:pPr>
      <w:bookmarkStart w:name="_Toc236468968" w:id="11"/>
      <w:r>
        <w:t>3. Methods</w:t>
      </w:r>
      <w:bookmarkEnd w:id="11"/>
    </w:p>
    <w:p w:rsidR="00EB7820" w:rsidP="00980E71" w:rsidRDefault="00A90C61" w14:paraId="3DE7019B" w14:textId="77777777">
      <w:pPr>
        <w:pStyle w:val="Heading2"/>
      </w:pPr>
      <w:bookmarkStart w:name="_Toc236468969" w:id="12"/>
      <w:r>
        <w:t>3.1 Review design</w:t>
      </w:r>
      <w:bookmarkEnd w:id="12"/>
    </w:p>
    <w:p w:rsidRPr="00740B52" w:rsidR="00EB7820" w:rsidP="00980E71" w:rsidRDefault="00740B52" w14:paraId="62356409" w14:textId="245510F4">
      <w:pPr>
        <w:spacing w:before="120" w:after="240"/>
        <w:rPr>
          <w:lang w:val="en-GB"/>
        </w:rPr>
      </w:pPr>
      <w:r w:rsidRPr="00740B52">
        <w:rPr>
          <w:lang w:val="en-GB"/>
        </w:rPr>
        <w:t>This was a structured scoping review process, with a secondary research design. This report is based on the new JBI guidance for scoping reviews (Peters et al., 2024). Recent secondary evidence was mapped, using a qualitative thematic synthesis approach. This method worked well for the diverse interventions, populations and outcomes reported in the telehealth field. The design also met requirements for reviewing three to five studies.</w:t>
      </w:r>
    </w:p>
    <w:p w:rsidR="00EB7820" w:rsidP="00980E71" w:rsidRDefault="00A90C61" w14:paraId="354B871C" w14:textId="77777777">
      <w:pPr>
        <w:pStyle w:val="Heading2"/>
      </w:pPr>
      <w:bookmarkStart w:name="_Toc236468970" w:id="13"/>
      <w:r>
        <w:t>3.2 Data collection and search strategy</w:t>
      </w:r>
      <w:bookmarkEnd w:id="13"/>
    </w:p>
    <w:p w:rsidRPr="00740B52" w:rsidR="00F214C0" w:rsidP="00980E71" w:rsidRDefault="00740B52" w14:paraId="700BBBB5" w14:textId="51A08F16">
      <w:pPr>
        <w:spacing w:before="120" w:after="240"/>
        <w:rPr>
          <w:lang w:val="en-GB"/>
        </w:rPr>
      </w:pPr>
      <w:r w:rsidRPr="00740B52">
        <w:rPr>
          <w:lang w:val="en-GB"/>
        </w:rPr>
        <w:t>The researcher conducted a structured database search in July 2026. The PubMed/MEDLINE, CINAHL, EBSCOhost, Scopus and Google Scholar were searched. Other relevant reviews were found using the UWTSD Library search. The researcher also scanned the reference lists of reviews of potentially relevant studies. Search paradigms included population, intervention, healthcare setting, and pertinent outcomes. The search terms included older adult, telehealth, primary care, and effectiveness. The following representative Boolean search string was used in the researcher's databases:</w:t>
      </w:r>
    </w:p>
    <w:p w:rsidRPr="00F214C0" w:rsidR="00F214C0" w:rsidP="00980E71" w:rsidRDefault="00F214C0" w14:paraId="4FBB6DAC" w14:textId="5A0199B9">
      <w:pPr>
        <w:spacing w:before="120" w:after="240"/>
        <w:jc w:val="center"/>
        <w:rPr>
          <w:i/>
          <w:iCs/>
        </w:rPr>
      </w:pPr>
      <w:r w:rsidRPr="00F214C0">
        <w:rPr>
          <w:i/>
          <w:iCs/>
        </w:rPr>
        <w:t>(</w:t>
      </w:r>
      <w:r w:rsidRPr="00F214C0" w:rsidR="000E7267">
        <w:rPr>
          <w:i/>
          <w:iCs/>
        </w:rPr>
        <w:t>Older</w:t>
      </w:r>
      <w:r w:rsidRPr="00F214C0">
        <w:rPr>
          <w:i/>
          <w:iCs/>
        </w:rPr>
        <w:t xml:space="preserve"> adult* OR elder* OR aged OR geriatric) AND (telehealth OR telemedicine OR virtual consultation* OR video consultation* OR telephone consultation* OR remote monitoring OR </w:t>
      </w:r>
      <w:r w:rsidRPr="00F214C0">
        <w:rPr>
          <w:i/>
          <w:iCs/>
        </w:rPr>
        <w:t>digital health) AND (primary care OR general practice OR community care) AND (access OR outcome* OR effectiveness OR satisfaction).</w:t>
      </w:r>
    </w:p>
    <w:p w:rsidR="00F214C0" w:rsidP="00980E71" w:rsidRDefault="00F214C0" w14:paraId="5273931B" w14:textId="6CA34C85">
      <w:pPr>
        <w:spacing w:before="120" w:after="240"/>
      </w:pPr>
      <w:r>
        <w:t>The publications were reviewed from January 2023 to July 2026 in English language.</w:t>
      </w:r>
    </w:p>
    <w:p w:rsidR="007136D5" w:rsidP="00980E71" w:rsidRDefault="00A90C61" w14:paraId="47FDFC95" w14:textId="77777777">
      <w:pPr>
        <w:spacing w:before="120" w:after="240"/>
        <w:jc w:val="center"/>
        <w:rPr>
          <w:b/>
          <w:sz w:val="20"/>
        </w:rPr>
      </w:pPr>
      <w:r>
        <w:rPr>
          <w:b/>
          <w:sz w:val="20"/>
        </w:rPr>
        <w:t>Table 1. Search and eligibility framework</w:t>
      </w:r>
    </w:p>
    <w:p w:rsidRPr="00F214C0" w:rsidR="00EB7820" w:rsidP="00980E71" w:rsidRDefault="007136D5" w14:paraId="516E0397" w14:textId="5B2C82E2">
      <w:pPr>
        <w:spacing w:before="120" w:after="240"/>
        <w:jc w:val="center"/>
        <w:rPr>
          <w:b/>
          <w:sz w:val="20"/>
        </w:rPr>
      </w:pPr>
      <w:r>
        <w:rPr>
          <w:noProof/>
        </w:rPr>
        <w:drawing>
          <wp:inline distT="0" distB="0" distL="0" distR="0" wp14:anchorId="047136D5" wp14:editId="2423C721">
            <wp:extent cx="3857281" cy="3373887"/>
            <wp:effectExtent l="0" t="0" r="0" b="0"/>
            <wp:docPr id="739052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052915" name=""/>
                    <pic:cNvPicPr/>
                  </pic:nvPicPr>
                  <pic:blipFill>
                    <a:blip r:embed="rId10"/>
                    <a:stretch>
                      <a:fillRect/>
                    </a:stretch>
                  </pic:blipFill>
                  <pic:spPr>
                    <a:xfrm>
                      <a:off x="0" y="0"/>
                      <a:ext cx="3880450" cy="3394152"/>
                    </a:xfrm>
                    <a:prstGeom prst="rect">
                      <a:avLst/>
                    </a:prstGeom>
                  </pic:spPr>
                </pic:pic>
              </a:graphicData>
            </a:graphic>
          </wp:inline>
        </w:drawing>
      </w:r>
    </w:p>
    <w:p w:rsidR="00EB7820" w:rsidP="00980E71" w:rsidRDefault="00A90C61" w14:paraId="001CCF1E" w14:textId="77777777">
      <w:pPr>
        <w:pStyle w:val="Heading2"/>
      </w:pPr>
      <w:bookmarkStart w:name="_Toc236468971" w:id="14"/>
      <w:r>
        <w:t>3.3 Study selection and quality appraisal</w:t>
      </w:r>
      <w:bookmarkEnd w:id="14"/>
    </w:p>
    <w:p w:rsidRPr="00740B52" w:rsidR="00EB7820" w:rsidP="00980E71" w:rsidRDefault="00740B52" w14:paraId="6C4250FE" w14:textId="11E11AD5">
      <w:pPr>
        <w:spacing w:before="120" w:after="240"/>
        <w:rPr>
          <w:lang w:val="en-GB"/>
        </w:rPr>
      </w:pPr>
      <w:r w:rsidRPr="00740B52">
        <w:rPr>
          <w:lang w:val="en-GB"/>
        </w:rPr>
        <w:t>The researcher conducted a title and abstract screening for predetermined eligibility criteria. The researcher then reviewed all full texts with the review question. The five eligible secondary peer reviewed studies for synthesis were identified through this process. Policy documents and legislation only facilitated the United Kingdom background. These documents were not analysed in the review. The appraisal was focused on the clarity of the questions, breadth of search, screening and quality assessment. It also discussed transparent synthesis, relevance and limitations of the study. The CASP checklist was used to guide the structured appraisal process (Critical Appraisal Skills Programme, 2024). Additional JBI principles were also applied to appraisals (Peters et al., 2024).</w:t>
      </w:r>
    </w:p>
    <w:p w:rsidR="00EB7820" w:rsidP="00980E71" w:rsidRDefault="00A90C61" w14:paraId="472A08BA" w14:textId="77777777">
      <w:pPr>
        <w:pStyle w:val="Heading2"/>
      </w:pPr>
      <w:bookmarkStart w:name="_Toc236468972" w:id="15"/>
      <w:r>
        <w:t>3.4 Data extraction and analysis</w:t>
      </w:r>
      <w:bookmarkEnd w:id="15"/>
    </w:p>
    <w:p w:rsidRPr="00224933" w:rsidR="00EB7820" w:rsidP="00980E71" w:rsidRDefault="00224933" w14:paraId="329D9160" w14:textId="749C2B1A">
      <w:pPr>
        <w:spacing w:before="120" w:after="240"/>
        <w:rPr>
          <w:lang w:val="en-GB"/>
        </w:rPr>
      </w:pPr>
      <w:r w:rsidRPr="74C9DEA0" w:rsidR="00224933">
        <w:rPr>
          <w:lang w:val="en-GB"/>
        </w:rPr>
        <w:t xml:space="preserve">The extraction table included details of the study authors, designs, evidence, interventions, and the findings. It also documented outcomes, challenges, </w:t>
      </w:r>
      <w:r w:rsidRPr="74C9DEA0" w:rsidR="00224933">
        <w:rPr>
          <w:lang w:val="en-GB"/>
        </w:rPr>
        <w:t>enablers</w:t>
      </w:r>
      <w:r w:rsidRPr="74C9DEA0" w:rsidR="00224933">
        <w:rPr>
          <w:lang w:val="en-GB"/>
        </w:rPr>
        <w:t xml:space="preserve"> and limitations of the study reported. All findings extracted were analysed qualitatively using thematic analysis. </w:t>
      </w:r>
      <w:r w:rsidRPr="74C9DEA0" w:rsidR="00224933">
        <w:rPr>
          <w:lang w:val="en-GB"/>
        </w:rPr>
        <w:t xml:space="preserve">Each review's findings and conclusions were read </w:t>
      </w:r>
      <w:r w:rsidRPr="74C9DEA0" w:rsidR="2929F290">
        <w:rPr>
          <w:lang w:val="en-GB"/>
        </w:rPr>
        <w:t>repeatedly</w:t>
      </w:r>
      <w:r w:rsidRPr="74C9DEA0" w:rsidR="00224933">
        <w:rPr>
          <w:lang w:val="en-GB"/>
        </w:rPr>
        <w:t xml:space="preserve"> by the researcher. The researcher then coded significant findings, such as decreased travel and satisfaction.</w:t>
      </w:r>
    </w:p>
    <w:p w:rsidR="00EB7820" w:rsidP="00980E71" w:rsidRDefault="00A90C61" w14:paraId="61DEE67E" w14:textId="77777777">
      <w:pPr>
        <w:pStyle w:val="Heading2"/>
      </w:pPr>
      <w:bookmarkStart w:name="_Toc236468973" w:id="16"/>
      <w:r>
        <w:t>3.5 Ethical considerations</w:t>
      </w:r>
      <w:bookmarkEnd w:id="16"/>
    </w:p>
    <w:p w:rsidRPr="00224933" w:rsidR="00EB7820" w:rsidP="00980E71" w:rsidRDefault="00224933" w14:paraId="3F3D48B7" w14:textId="22E73A15">
      <w:pPr>
        <w:spacing w:before="120" w:after="240"/>
        <w:rPr>
          <w:lang w:val="en-GB"/>
        </w:rPr>
      </w:pPr>
      <w:r w:rsidRPr="74C9DEA0" w:rsidR="00224933">
        <w:rPr>
          <w:lang w:val="en-GB"/>
        </w:rPr>
        <w:t xml:space="preserve">The review did not </w:t>
      </w:r>
      <w:r w:rsidRPr="74C9DEA0" w:rsidR="00224933">
        <w:rPr>
          <w:lang w:val="en-GB"/>
        </w:rPr>
        <w:t>reach out to patients or recruit any participants</w:t>
      </w:r>
      <w:r w:rsidRPr="74C9DEA0" w:rsidR="00224933">
        <w:rPr>
          <w:lang w:val="en-GB"/>
        </w:rPr>
        <w:t xml:space="preserve"> or collect confidential patient information. Normally a formal research ethics approval from the NHS was not </w:t>
      </w:r>
      <w:r w:rsidRPr="74C9DEA0" w:rsidR="00224933">
        <w:rPr>
          <w:lang w:val="en-GB"/>
        </w:rPr>
        <w:t>required</w:t>
      </w:r>
      <w:r w:rsidRPr="74C9DEA0" w:rsidR="00224933">
        <w:rPr>
          <w:lang w:val="en-GB"/>
        </w:rPr>
        <w:t xml:space="preserve">. During the review, the researcher still performed duties of importance to the ethical aspects. Proper citations safeguarded the academic integrity of the report and from plagiarism. The synthesis </w:t>
      </w:r>
      <w:r w:rsidRPr="74C9DEA0" w:rsidR="00224933">
        <w:rPr>
          <w:lang w:val="en-GB"/>
        </w:rPr>
        <w:t>maintained</w:t>
      </w:r>
      <w:r w:rsidRPr="74C9DEA0" w:rsidR="00224933">
        <w:rPr>
          <w:lang w:val="en-GB"/>
        </w:rPr>
        <w:t xml:space="preserve"> the meaning of each author in reporting evidence and conclusions. The researcher used both positive and negative findings </w:t>
      </w:r>
      <w:r w:rsidRPr="74C9DEA0" w:rsidR="64A6CFD0">
        <w:rPr>
          <w:lang w:val="en-GB"/>
        </w:rPr>
        <w:t>to</w:t>
      </w:r>
      <w:r w:rsidRPr="74C9DEA0" w:rsidR="00224933">
        <w:rPr>
          <w:lang w:val="en-GB"/>
        </w:rPr>
        <w:t xml:space="preserve"> avoid confirmation bias.</w:t>
      </w:r>
    </w:p>
    <w:p w:rsidR="00EB7820" w:rsidP="00980E71" w:rsidRDefault="00A90C61" w14:paraId="2D1B5F43" w14:textId="77777777">
      <w:pPr>
        <w:pStyle w:val="Heading1"/>
      </w:pPr>
      <w:bookmarkStart w:name="_Toc236468974" w:id="17"/>
      <w:r>
        <w:t>4. Results</w:t>
      </w:r>
      <w:bookmarkEnd w:id="17"/>
    </w:p>
    <w:p w:rsidR="00EB7820" w:rsidP="00980E71" w:rsidRDefault="00A90C61" w14:paraId="0E224B75" w14:textId="77777777">
      <w:pPr>
        <w:pStyle w:val="Heading2"/>
      </w:pPr>
      <w:bookmarkStart w:name="_Toc236468975" w:id="18"/>
      <w:r>
        <w:t>4.1 Number and characteristics of selected studies</w:t>
      </w:r>
      <w:bookmarkEnd w:id="18"/>
    </w:p>
    <w:p w:rsidRPr="00224933" w:rsidR="00EB7820" w:rsidP="00980E71" w:rsidRDefault="00224933" w14:paraId="3CE12110" w14:textId="1D12B7AF">
      <w:pPr>
        <w:spacing w:before="120" w:after="240"/>
        <w:rPr>
          <w:lang w:val="en-GB"/>
        </w:rPr>
        <w:sectPr w:rsidRPr="00224933" w:rsidR="00EB7820" w:rsidSect="00804689">
          <w:footerReference w:type="default" r:id="rId11"/>
          <w:pgSz w:w="11906" w:h="16838" w:orient="portrait" w:code="9"/>
          <w:pgMar w:top="1440" w:right="1440" w:bottom="1440" w:left="1440" w:header="680" w:footer="680" w:gutter="0"/>
          <w:cols w:space="720"/>
          <w:titlePg/>
          <w:docGrid w:linePitch="360"/>
        </w:sectPr>
      </w:pPr>
      <w:r w:rsidRPr="00224933">
        <w:rPr>
          <w:lang w:val="en-GB"/>
        </w:rPr>
        <w:t>For thematic synthesis, the review used 5 post-2022 secondary (peer-reviewed) studies. The four studies specifically aimed at older adults with digital health support. One review is a wider primary care population virtual consultation review. Both direct evidence and evidence based on that review were offered on access, quality, and health equity. The designs consisted of systematic reviews, meta-analysis, scoping synthesis and mixed studies analysis</w:t>
      </w:r>
      <w:r w:rsidRPr="004A0829" w:rsidR="004A0829">
        <w:t>.</w:t>
      </w:r>
    </w:p>
    <w:p w:rsidR="00EB7820" w:rsidRDefault="00A90C61" w14:paraId="23BE3B3B" w14:textId="77777777">
      <w:pPr>
        <w:spacing w:after="40" w:line="240" w:lineRule="auto"/>
        <w:jc w:val="center"/>
      </w:pPr>
      <w:r>
        <w:rPr>
          <w:b/>
          <w:sz w:val="20"/>
        </w:rPr>
        <w:t>Table 2. Summary and critical appraisal of the five selected secondary studies</w:t>
      </w:r>
    </w:p>
    <w:tbl>
      <w:tblPr>
        <w:tblW w:w="14856" w:type="dxa"/>
        <w:jc w:val="center"/>
        <w:tblBorders>
          <w:top w:val="single" w:color="8EA1B4" w:sz="4" w:space="0"/>
          <w:left w:val="single" w:color="8EA1B4" w:sz="4" w:space="0"/>
          <w:bottom w:val="single" w:color="8EA1B4" w:sz="4" w:space="0"/>
          <w:right w:val="single" w:color="8EA1B4" w:sz="4" w:space="0"/>
          <w:insideH w:val="single" w:color="8EA1B4" w:sz="4" w:space="0"/>
          <w:insideV w:val="single" w:color="8EA1B4" w:sz="4" w:space="0"/>
        </w:tblBorders>
        <w:tblLayout w:type="fixed"/>
        <w:tblLook w:val="04A0" w:firstRow="1" w:lastRow="0" w:firstColumn="1" w:lastColumn="0" w:noHBand="0" w:noVBand="1"/>
      </w:tblPr>
      <w:tblGrid>
        <w:gridCol w:w="2760"/>
        <w:gridCol w:w="2760"/>
        <w:gridCol w:w="3288"/>
        <w:gridCol w:w="3288"/>
        <w:gridCol w:w="2760"/>
      </w:tblGrid>
      <w:tr w:rsidRPr="00C27381" w:rsidR="00EB7820" w:rsidTr="74C9DEA0" w14:paraId="2EE761B2" w14:textId="77777777">
        <w:trPr>
          <w:tblHeader/>
          <w:jc w:val="center"/>
        </w:trPr>
        <w:tc>
          <w:tcPr>
            <w:tcW w:w="2760" w:type="dxa"/>
            <w:shd w:val="clear" w:color="auto" w:fill="2F5597"/>
            <w:tcMar>
              <w:top w:w="45" w:type="dxa"/>
              <w:left w:w="45" w:type="dxa"/>
              <w:bottom w:w="45" w:type="dxa"/>
              <w:right w:w="45" w:type="dxa"/>
            </w:tcMar>
          </w:tcPr>
          <w:p w:rsidRPr="00C27381" w:rsidR="00EB7820" w:rsidRDefault="00A90C61" w14:paraId="53F306CC" w14:textId="77777777">
            <w:pPr>
              <w:jc w:val="left"/>
              <w:rPr>
                <w:sz w:val="12"/>
                <w:szCs w:val="12"/>
              </w:rPr>
            </w:pPr>
            <w:r w:rsidRPr="00C27381">
              <w:rPr>
                <w:b/>
                <w:color w:val="FFFFFF"/>
                <w:sz w:val="12"/>
                <w:szCs w:val="12"/>
              </w:rPr>
              <w:t>Study</w:t>
            </w:r>
          </w:p>
        </w:tc>
        <w:tc>
          <w:tcPr>
            <w:tcW w:w="2760" w:type="dxa"/>
            <w:shd w:val="clear" w:color="auto" w:fill="2F5597"/>
            <w:tcMar>
              <w:top w:w="45" w:type="dxa"/>
              <w:left w:w="45" w:type="dxa"/>
              <w:bottom w:w="45" w:type="dxa"/>
              <w:right w:w="45" w:type="dxa"/>
            </w:tcMar>
          </w:tcPr>
          <w:p w:rsidRPr="00C27381" w:rsidR="00EB7820" w:rsidRDefault="00A90C61" w14:paraId="2D589B13" w14:textId="77777777">
            <w:pPr>
              <w:jc w:val="left"/>
              <w:rPr>
                <w:sz w:val="12"/>
                <w:szCs w:val="12"/>
              </w:rPr>
            </w:pPr>
            <w:r w:rsidRPr="00C27381">
              <w:rPr>
                <w:b/>
                <w:color w:val="FFFFFF"/>
                <w:sz w:val="12"/>
                <w:szCs w:val="12"/>
              </w:rPr>
              <w:t>Design and evidence base</w:t>
            </w:r>
          </w:p>
        </w:tc>
        <w:tc>
          <w:tcPr>
            <w:tcW w:w="3288" w:type="dxa"/>
            <w:shd w:val="clear" w:color="auto" w:fill="2F5597"/>
            <w:tcMar>
              <w:top w:w="45" w:type="dxa"/>
              <w:left w:w="45" w:type="dxa"/>
              <w:bottom w:w="45" w:type="dxa"/>
              <w:right w:w="45" w:type="dxa"/>
            </w:tcMar>
          </w:tcPr>
          <w:p w:rsidRPr="00C27381" w:rsidR="00EB7820" w:rsidRDefault="00A90C61" w14:paraId="3B41EF03" w14:textId="77777777">
            <w:pPr>
              <w:jc w:val="left"/>
              <w:rPr>
                <w:sz w:val="12"/>
                <w:szCs w:val="12"/>
              </w:rPr>
            </w:pPr>
            <w:r w:rsidRPr="00C27381">
              <w:rPr>
                <w:b/>
                <w:color w:val="FFFFFF"/>
                <w:sz w:val="12"/>
                <w:szCs w:val="12"/>
              </w:rPr>
              <w:t>Main access findings</w:t>
            </w:r>
          </w:p>
        </w:tc>
        <w:tc>
          <w:tcPr>
            <w:tcW w:w="3288" w:type="dxa"/>
            <w:shd w:val="clear" w:color="auto" w:fill="2F5597"/>
            <w:tcMar>
              <w:top w:w="45" w:type="dxa"/>
              <w:left w:w="45" w:type="dxa"/>
              <w:bottom w:w="45" w:type="dxa"/>
              <w:right w:w="45" w:type="dxa"/>
            </w:tcMar>
          </w:tcPr>
          <w:p w:rsidRPr="00C27381" w:rsidR="00EB7820" w:rsidRDefault="00A90C61" w14:paraId="6B7B0806" w14:textId="77777777">
            <w:pPr>
              <w:jc w:val="left"/>
              <w:rPr>
                <w:sz w:val="12"/>
                <w:szCs w:val="12"/>
              </w:rPr>
            </w:pPr>
            <w:r w:rsidRPr="00C27381">
              <w:rPr>
                <w:b/>
                <w:color w:val="FFFFFF"/>
                <w:sz w:val="12"/>
                <w:szCs w:val="12"/>
              </w:rPr>
              <w:t>Health/quality findings</w:t>
            </w:r>
          </w:p>
        </w:tc>
        <w:tc>
          <w:tcPr>
            <w:tcW w:w="2760" w:type="dxa"/>
            <w:shd w:val="clear" w:color="auto" w:fill="2F5597"/>
            <w:tcMar>
              <w:top w:w="45" w:type="dxa"/>
              <w:left w:w="45" w:type="dxa"/>
              <w:bottom w:w="45" w:type="dxa"/>
              <w:right w:w="45" w:type="dxa"/>
            </w:tcMar>
          </w:tcPr>
          <w:p w:rsidRPr="00C27381" w:rsidR="00EB7820" w:rsidRDefault="00A90C61" w14:paraId="69EFC863" w14:textId="77777777">
            <w:pPr>
              <w:jc w:val="left"/>
              <w:rPr>
                <w:sz w:val="12"/>
                <w:szCs w:val="12"/>
              </w:rPr>
            </w:pPr>
            <w:r w:rsidRPr="00C27381">
              <w:rPr>
                <w:b/>
                <w:color w:val="FFFFFF"/>
                <w:sz w:val="12"/>
                <w:szCs w:val="12"/>
              </w:rPr>
              <w:t>Critical appraisal and UK relevance</w:t>
            </w:r>
          </w:p>
        </w:tc>
      </w:tr>
      <w:tr w:rsidRPr="00C27381" w:rsidR="00224933" w:rsidTr="74C9DEA0" w14:paraId="77C75FF3" w14:textId="77777777">
        <w:trPr>
          <w:jc w:val="center"/>
        </w:trPr>
        <w:tc>
          <w:tcPr>
            <w:tcW w:w="2760" w:type="dxa"/>
            <w:tcMar>
              <w:top w:w="35" w:type="dxa"/>
              <w:left w:w="35" w:type="dxa"/>
              <w:bottom w:w="35" w:type="dxa"/>
              <w:right w:w="35" w:type="dxa"/>
            </w:tcMar>
          </w:tcPr>
          <w:p w:rsidRPr="00C27381" w:rsidR="00224933" w:rsidP="00224933" w:rsidRDefault="00224933" w14:paraId="7D9BBA6F" w14:textId="77777777">
            <w:pPr>
              <w:pStyle w:val="TableText"/>
              <w:rPr>
                <w:sz w:val="12"/>
                <w:szCs w:val="12"/>
              </w:rPr>
            </w:pPr>
            <w:proofErr w:type="spellStart"/>
            <w:r w:rsidRPr="00C27381">
              <w:rPr>
                <w:sz w:val="12"/>
                <w:szCs w:val="12"/>
              </w:rPr>
              <w:t>Ilali</w:t>
            </w:r>
            <w:proofErr w:type="spellEnd"/>
            <w:r w:rsidRPr="00C27381">
              <w:rPr>
                <w:sz w:val="12"/>
                <w:szCs w:val="12"/>
              </w:rPr>
              <w:t xml:space="preserve"> et al. (2023)</w:t>
            </w:r>
            <w:r w:rsidRPr="00C27381">
              <w:rPr>
                <w:sz w:val="12"/>
                <w:szCs w:val="12"/>
              </w:rPr>
              <w:br/>
            </w:r>
            <w:r w:rsidRPr="00C27381">
              <w:rPr>
                <w:sz w:val="12"/>
                <w:szCs w:val="12"/>
              </w:rPr>
              <w:t>BMC Primary Care</w:t>
            </w:r>
          </w:p>
        </w:tc>
        <w:tc>
          <w:tcPr>
            <w:tcW w:w="2760" w:type="dxa"/>
            <w:tcMar>
              <w:top w:w="35" w:type="dxa"/>
              <w:left w:w="35" w:type="dxa"/>
              <w:bottom w:w="35" w:type="dxa"/>
              <w:right w:w="35" w:type="dxa"/>
            </w:tcMar>
            <w:vAlign w:val="center"/>
          </w:tcPr>
          <w:p w:rsidRPr="00C27381" w:rsidR="00224933" w:rsidP="00224933" w:rsidRDefault="00224933" w14:paraId="5A4C2D2F" w14:textId="09F6DD6A">
            <w:pPr>
              <w:rPr>
                <w:sz w:val="12"/>
                <w:szCs w:val="12"/>
              </w:rPr>
            </w:pPr>
            <w:r>
              <w:rPr>
                <w:sz w:val="12"/>
                <w:szCs w:val="12"/>
              </w:rPr>
              <w:t>There was a total of 20 primary studies relevant to the systematic mixed-studies review. The studies reviewed included older adults in the community who were accessing primary care. Eight studies used telephone care, while nine used video consultations. Three studies used a hybrid of telephone and video consultation.</w:t>
            </w:r>
          </w:p>
        </w:tc>
        <w:tc>
          <w:tcPr>
            <w:tcW w:w="3288" w:type="dxa"/>
            <w:tcMar>
              <w:top w:w="35" w:type="dxa"/>
              <w:left w:w="35" w:type="dxa"/>
              <w:bottom w:w="35" w:type="dxa"/>
              <w:right w:w="35" w:type="dxa"/>
            </w:tcMar>
            <w:vAlign w:val="center"/>
          </w:tcPr>
          <w:p w:rsidRPr="00C27381" w:rsidR="00224933" w:rsidP="00224933" w:rsidRDefault="00224933" w14:paraId="376E3D77" w14:textId="61B9B10A">
            <w:pPr>
              <w:rPr>
                <w:sz w:val="12"/>
                <w:szCs w:val="12"/>
              </w:rPr>
            </w:pPr>
            <w:r w:rsidRPr="74C9DEA0" w:rsidR="00224933">
              <w:rPr>
                <w:sz w:val="12"/>
                <w:szCs w:val="12"/>
              </w:rPr>
              <w:t>Distance and time to travel often had a positive impact on the adoption of telehealth. Primary care support via remote contact</w:t>
            </w:r>
            <w:r w:rsidRPr="74C9DEA0" w:rsidR="1E5D59A2">
              <w:rPr>
                <w:sz w:val="12"/>
                <w:szCs w:val="12"/>
              </w:rPr>
              <w:t xml:space="preserve"> </w:t>
            </w:r>
            <w:r w:rsidRPr="74C9DEA0" w:rsidR="5667D357">
              <w:rPr>
                <w:sz w:val="12"/>
                <w:szCs w:val="12"/>
              </w:rPr>
              <w:t>is</w:t>
            </w:r>
            <w:r w:rsidRPr="74C9DEA0" w:rsidR="1E5D59A2">
              <w:rPr>
                <w:sz w:val="12"/>
                <w:szCs w:val="12"/>
              </w:rPr>
              <w:t xml:space="preserve"> convenient</w:t>
            </w:r>
            <w:r w:rsidRPr="74C9DEA0" w:rsidR="00224933">
              <w:rPr>
                <w:sz w:val="12"/>
                <w:szCs w:val="12"/>
              </w:rPr>
              <w:t>. Access experiences were influenced by technology skills, habits, preferences, and interface usability.</w:t>
            </w:r>
          </w:p>
        </w:tc>
        <w:tc>
          <w:tcPr>
            <w:tcW w:w="3288" w:type="dxa"/>
            <w:tcMar>
              <w:top w:w="35" w:type="dxa"/>
              <w:left w:w="35" w:type="dxa"/>
              <w:bottom w:w="35" w:type="dxa"/>
              <w:right w:w="35" w:type="dxa"/>
            </w:tcMar>
            <w:vAlign w:val="center"/>
          </w:tcPr>
          <w:p w:rsidRPr="00C27381" w:rsidR="00224933" w:rsidP="00224933" w:rsidRDefault="00224933" w14:paraId="1B38CC75" w14:textId="46E2AFFB">
            <w:pPr>
              <w:rPr>
                <w:sz w:val="12"/>
                <w:szCs w:val="12"/>
              </w:rPr>
            </w:pPr>
            <w:r w:rsidRPr="74C9DEA0" w:rsidR="09908D4F">
              <w:rPr>
                <w:sz w:val="12"/>
                <w:szCs w:val="12"/>
              </w:rPr>
              <w:t>Overall,</w:t>
            </w:r>
            <w:r w:rsidRPr="74C9DEA0" w:rsidR="00224933">
              <w:rPr>
                <w:sz w:val="12"/>
                <w:szCs w:val="12"/>
              </w:rPr>
              <w:t xml:space="preserve"> older people experienced positive experiences and were highly satisfied. There was limited evidence of clinical, </w:t>
            </w:r>
            <w:r w:rsidRPr="74C9DEA0" w:rsidR="05058EB9">
              <w:rPr>
                <w:sz w:val="12"/>
                <w:szCs w:val="12"/>
              </w:rPr>
              <w:t>behavioral</w:t>
            </w:r>
            <w:r w:rsidRPr="74C9DEA0" w:rsidR="00224933">
              <w:rPr>
                <w:sz w:val="12"/>
                <w:szCs w:val="12"/>
              </w:rPr>
              <w:t>, and service outcomes. One of the included studies clearly reported a positive health-related outcome.</w:t>
            </w:r>
          </w:p>
        </w:tc>
        <w:tc>
          <w:tcPr>
            <w:tcW w:w="2760" w:type="dxa"/>
            <w:tcMar>
              <w:top w:w="35" w:type="dxa"/>
              <w:left w:w="35" w:type="dxa"/>
              <w:bottom w:w="35" w:type="dxa"/>
              <w:right w:w="35" w:type="dxa"/>
            </w:tcMar>
            <w:vAlign w:val="center"/>
          </w:tcPr>
          <w:p w:rsidRPr="00C27381" w:rsidR="00224933" w:rsidP="00224933" w:rsidRDefault="00224933" w14:paraId="6D087041" w14:textId="1D5FD0FB">
            <w:pPr>
              <w:rPr>
                <w:sz w:val="12"/>
                <w:szCs w:val="12"/>
              </w:rPr>
            </w:pPr>
            <w:r w:rsidRPr="74C9DEA0" w:rsidR="00224933">
              <w:rPr>
                <w:sz w:val="12"/>
                <w:szCs w:val="12"/>
              </w:rPr>
              <w:t xml:space="preserve">This review best answered the selected research </w:t>
            </w:r>
            <w:r w:rsidRPr="74C9DEA0" w:rsidR="00224933">
              <w:rPr>
                <w:sz w:val="12"/>
                <w:szCs w:val="12"/>
              </w:rPr>
              <w:t>question generally</w:t>
            </w:r>
            <w:r w:rsidRPr="74C9DEA0" w:rsidR="00224933">
              <w:rPr>
                <w:sz w:val="12"/>
                <w:szCs w:val="12"/>
              </w:rPr>
              <w:t xml:space="preserve">. The wide database search and combination of evidence reinforced results. </w:t>
            </w:r>
            <w:r w:rsidRPr="74C9DEA0" w:rsidR="7020020F">
              <w:rPr>
                <w:sz w:val="12"/>
                <w:szCs w:val="12"/>
              </w:rPr>
              <w:t>Most</w:t>
            </w:r>
            <w:r w:rsidRPr="74C9DEA0" w:rsidR="00224933">
              <w:rPr>
                <w:sz w:val="12"/>
                <w:szCs w:val="12"/>
              </w:rPr>
              <w:t xml:space="preserve"> primary studies were without control </w:t>
            </w:r>
            <w:r w:rsidRPr="74C9DEA0" w:rsidR="799FCAF6">
              <w:rPr>
                <w:sz w:val="12"/>
                <w:szCs w:val="12"/>
              </w:rPr>
              <w:t>groups,</w:t>
            </w:r>
            <w:r w:rsidRPr="74C9DEA0" w:rsidR="00224933">
              <w:rPr>
                <w:sz w:val="12"/>
                <w:szCs w:val="12"/>
              </w:rPr>
              <w:t xml:space="preserve"> and only two were </w:t>
            </w:r>
            <w:r w:rsidRPr="74C9DEA0" w:rsidR="0BC78D6B">
              <w:rPr>
                <w:sz w:val="12"/>
                <w:szCs w:val="12"/>
              </w:rPr>
              <w:t>randomized</w:t>
            </w:r>
            <w:r w:rsidRPr="74C9DEA0" w:rsidR="00224933">
              <w:rPr>
                <w:sz w:val="12"/>
                <w:szCs w:val="12"/>
              </w:rPr>
              <w:t>.</w:t>
            </w:r>
          </w:p>
        </w:tc>
      </w:tr>
      <w:tr w:rsidRPr="00C27381" w:rsidR="00224933" w:rsidTr="74C9DEA0" w14:paraId="0316E60C" w14:textId="77777777">
        <w:trPr>
          <w:jc w:val="center"/>
        </w:trPr>
        <w:tc>
          <w:tcPr>
            <w:tcW w:w="2760" w:type="dxa"/>
            <w:shd w:val="clear" w:color="auto" w:fill="F2F6FA"/>
            <w:tcMar>
              <w:top w:w="35" w:type="dxa"/>
              <w:left w:w="35" w:type="dxa"/>
              <w:bottom w:w="35" w:type="dxa"/>
              <w:right w:w="35" w:type="dxa"/>
            </w:tcMar>
          </w:tcPr>
          <w:p w:rsidRPr="00C27381" w:rsidR="00224933" w:rsidP="00224933" w:rsidRDefault="00224933" w14:paraId="36B8F4AC" w14:textId="77777777">
            <w:pPr>
              <w:pStyle w:val="TableText"/>
              <w:rPr>
                <w:sz w:val="12"/>
                <w:szCs w:val="12"/>
              </w:rPr>
            </w:pPr>
            <w:r w:rsidRPr="00C27381">
              <w:rPr>
                <w:sz w:val="12"/>
                <w:szCs w:val="12"/>
              </w:rPr>
              <w:t>Zhang, Leuk and Teo (2023)</w:t>
            </w:r>
            <w:r w:rsidRPr="00C27381">
              <w:rPr>
                <w:sz w:val="12"/>
                <w:szCs w:val="12"/>
              </w:rPr>
              <w:br/>
            </w:r>
            <w:r w:rsidRPr="00C27381">
              <w:rPr>
                <w:sz w:val="12"/>
                <w:szCs w:val="12"/>
              </w:rPr>
              <w:t>JMIR Aging</w:t>
            </w:r>
          </w:p>
        </w:tc>
        <w:tc>
          <w:tcPr>
            <w:tcW w:w="2760" w:type="dxa"/>
            <w:shd w:val="clear" w:color="auto" w:fill="F2F6FA"/>
            <w:tcMar>
              <w:top w:w="35" w:type="dxa"/>
              <w:left w:w="35" w:type="dxa"/>
              <w:bottom w:w="35" w:type="dxa"/>
              <w:right w:w="35" w:type="dxa"/>
            </w:tcMar>
            <w:vAlign w:val="center"/>
          </w:tcPr>
          <w:p w:rsidRPr="00C27381" w:rsidR="00224933" w:rsidP="00224933" w:rsidRDefault="00224933" w14:paraId="708F4D03" w14:textId="1447547F">
            <w:pPr>
              <w:rPr>
                <w:sz w:val="12"/>
                <w:szCs w:val="12"/>
              </w:rPr>
            </w:pPr>
            <w:r w:rsidRPr="74C9DEA0" w:rsidR="00224933">
              <w:rPr>
                <w:sz w:val="12"/>
                <w:szCs w:val="12"/>
              </w:rPr>
              <w:t xml:space="preserve">Twenty-nine systematic reviews from all areas of ageing care were included in the scoping review. Older users' direct communication with professionals was included </w:t>
            </w:r>
            <w:r w:rsidRPr="74C9DEA0" w:rsidR="450F28D0">
              <w:rPr>
                <w:sz w:val="12"/>
                <w:szCs w:val="12"/>
              </w:rPr>
              <w:t>in</w:t>
            </w:r>
            <w:r w:rsidRPr="74C9DEA0" w:rsidR="00224933">
              <w:rPr>
                <w:sz w:val="12"/>
                <w:szCs w:val="12"/>
              </w:rPr>
              <w:t xml:space="preserve"> reviews. All the evidence was of various clinical domains and telehealth applications overall.</w:t>
            </w:r>
          </w:p>
        </w:tc>
        <w:tc>
          <w:tcPr>
            <w:tcW w:w="3288" w:type="dxa"/>
            <w:shd w:val="clear" w:color="auto" w:fill="F2F6FA"/>
            <w:tcMar>
              <w:top w:w="35" w:type="dxa"/>
              <w:left w:w="35" w:type="dxa"/>
              <w:bottom w:w="35" w:type="dxa"/>
              <w:right w:w="35" w:type="dxa"/>
            </w:tcMar>
            <w:vAlign w:val="center"/>
          </w:tcPr>
          <w:p w:rsidRPr="00C27381" w:rsidR="00224933" w:rsidP="00224933" w:rsidRDefault="00224933" w14:paraId="448A66D3" w14:textId="063352AD">
            <w:pPr>
              <w:rPr>
                <w:sz w:val="12"/>
                <w:szCs w:val="12"/>
              </w:rPr>
            </w:pPr>
            <w:r>
              <w:rPr>
                <w:sz w:val="12"/>
                <w:szCs w:val="12"/>
              </w:rPr>
              <w:t>Through telehealth, many older adults eliminated geographical and time constraints. Isolated, remote and homebound older adults were served especially by remote services. Applied factors of individual, interpersonal, technical, service and policy.</w:t>
            </w:r>
          </w:p>
        </w:tc>
        <w:tc>
          <w:tcPr>
            <w:tcW w:w="3288" w:type="dxa"/>
            <w:shd w:val="clear" w:color="auto" w:fill="F2F6FA"/>
            <w:tcMar>
              <w:top w:w="35" w:type="dxa"/>
              <w:left w:w="35" w:type="dxa"/>
              <w:bottom w:w="35" w:type="dxa"/>
              <w:right w:w="35" w:type="dxa"/>
            </w:tcMar>
            <w:vAlign w:val="center"/>
          </w:tcPr>
          <w:p w:rsidRPr="00C27381" w:rsidR="00224933" w:rsidP="00224933" w:rsidRDefault="00224933" w14:paraId="0C977483" w14:textId="2651A5D3">
            <w:pPr>
              <w:rPr>
                <w:sz w:val="12"/>
                <w:szCs w:val="12"/>
              </w:rPr>
            </w:pPr>
            <w:r>
              <w:rPr>
                <w:sz w:val="12"/>
                <w:szCs w:val="12"/>
              </w:rPr>
              <w:t>Overall, selected health conditions were acceptable and promising to telehealth. Possible clinical benefits and decreased health care costs overall were found. Some of these findings were due to limited quality and substantial heterogeneity.</w:t>
            </w:r>
          </w:p>
        </w:tc>
        <w:tc>
          <w:tcPr>
            <w:tcW w:w="2760" w:type="dxa"/>
            <w:shd w:val="clear" w:color="auto" w:fill="F2F6FA"/>
            <w:tcMar>
              <w:top w:w="35" w:type="dxa"/>
              <w:left w:w="35" w:type="dxa"/>
              <w:bottom w:w="35" w:type="dxa"/>
              <w:right w:w="35" w:type="dxa"/>
            </w:tcMar>
            <w:vAlign w:val="center"/>
          </w:tcPr>
          <w:p w:rsidRPr="00C27381" w:rsidR="00224933" w:rsidP="00224933" w:rsidRDefault="00224933" w14:paraId="295D807C" w14:textId="06AA9602">
            <w:pPr>
              <w:rPr>
                <w:sz w:val="12"/>
                <w:szCs w:val="12"/>
              </w:rPr>
            </w:pPr>
            <w:r>
              <w:rPr>
                <w:sz w:val="12"/>
                <w:szCs w:val="12"/>
              </w:rPr>
              <w:t>The review was a broad overview carried out in a transparent manner via JBI. The resulting umbrella-level synthesis did not include much in the way of detail for the primary studies and had a higher amount of overlap.</w:t>
            </w:r>
          </w:p>
        </w:tc>
      </w:tr>
      <w:tr w:rsidRPr="00C27381" w:rsidR="00224933" w:rsidTr="74C9DEA0" w14:paraId="540B6883" w14:textId="77777777">
        <w:trPr>
          <w:jc w:val="center"/>
        </w:trPr>
        <w:tc>
          <w:tcPr>
            <w:tcW w:w="2760" w:type="dxa"/>
            <w:tcMar>
              <w:top w:w="35" w:type="dxa"/>
              <w:left w:w="35" w:type="dxa"/>
              <w:bottom w:w="35" w:type="dxa"/>
              <w:right w:w="35" w:type="dxa"/>
            </w:tcMar>
          </w:tcPr>
          <w:p w:rsidRPr="00C27381" w:rsidR="00224933" w:rsidP="00224933" w:rsidRDefault="00224933" w14:paraId="20841B66" w14:textId="77777777">
            <w:pPr>
              <w:pStyle w:val="TableText"/>
              <w:rPr>
                <w:sz w:val="12"/>
                <w:szCs w:val="12"/>
              </w:rPr>
            </w:pPr>
            <w:r w:rsidRPr="00C27381">
              <w:rPr>
                <w:sz w:val="12"/>
                <w:szCs w:val="12"/>
              </w:rPr>
              <w:t>Tian et al. (2024)</w:t>
            </w:r>
            <w:r w:rsidRPr="00C27381">
              <w:rPr>
                <w:sz w:val="12"/>
                <w:szCs w:val="12"/>
              </w:rPr>
              <w:br/>
            </w:r>
            <w:r w:rsidRPr="00C27381">
              <w:rPr>
                <w:sz w:val="12"/>
                <w:szCs w:val="12"/>
              </w:rPr>
              <w:t>Frontiers in Public Health</w:t>
            </w:r>
          </w:p>
        </w:tc>
        <w:tc>
          <w:tcPr>
            <w:tcW w:w="2760" w:type="dxa"/>
            <w:tcMar>
              <w:top w:w="35" w:type="dxa"/>
              <w:left w:w="35" w:type="dxa"/>
              <w:bottom w:w="35" w:type="dxa"/>
              <w:right w:w="35" w:type="dxa"/>
            </w:tcMar>
            <w:vAlign w:val="center"/>
          </w:tcPr>
          <w:p w:rsidRPr="00C27381" w:rsidR="00224933" w:rsidP="00224933" w:rsidRDefault="00224933" w14:paraId="071BE503" w14:textId="742D9A8B">
            <w:pPr>
              <w:rPr>
                <w:sz w:val="12"/>
                <w:szCs w:val="12"/>
              </w:rPr>
            </w:pPr>
            <w:r>
              <w:rPr>
                <w:sz w:val="12"/>
                <w:szCs w:val="12"/>
              </w:rPr>
              <w:t>Thirty-two studies were included in the systematic review and meta-analysis. Twenty-one digital ICT integrated care interventions were the subject of these studies. There was a total of around 30,200 older people in the combined sample.</w:t>
            </w:r>
          </w:p>
        </w:tc>
        <w:tc>
          <w:tcPr>
            <w:tcW w:w="3288" w:type="dxa"/>
            <w:tcMar>
              <w:top w:w="35" w:type="dxa"/>
              <w:left w:w="35" w:type="dxa"/>
              <w:bottom w:w="35" w:type="dxa"/>
              <w:right w:w="35" w:type="dxa"/>
            </w:tcMar>
            <w:vAlign w:val="center"/>
          </w:tcPr>
          <w:p w:rsidRPr="00C27381" w:rsidR="00224933" w:rsidP="00224933" w:rsidRDefault="00224933" w14:paraId="542D5D1C" w14:textId="408CBF43">
            <w:pPr>
              <w:rPr>
                <w:sz w:val="12"/>
                <w:szCs w:val="12"/>
              </w:rPr>
            </w:pPr>
            <w:r>
              <w:rPr>
                <w:sz w:val="12"/>
                <w:szCs w:val="12"/>
              </w:rPr>
              <w:t>Narrative findings suggested better care coordination and primary care use. Integrated communication linked healthcare professionals, patients and carers together in healthcare. Other interventions also seemed to score positive on reported overall quality of care.</w:t>
            </w:r>
          </w:p>
        </w:tc>
        <w:tc>
          <w:tcPr>
            <w:tcW w:w="3288" w:type="dxa"/>
            <w:tcMar>
              <w:top w:w="35" w:type="dxa"/>
              <w:left w:w="35" w:type="dxa"/>
              <w:bottom w:w="35" w:type="dxa"/>
              <w:right w:w="35" w:type="dxa"/>
            </w:tcMar>
            <w:vAlign w:val="center"/>
          </w:tcPr>
          <w:p w:rsidRPr="00C27381" w:rsidR="00224933" w:rsidP="00224933" w:rsidRDefault="00224933" w14:paraId="6B59DDC6" w14:textId="7176993C">
            <w:pPr>
              <w:rPr>
                <w:sz w:val="12"/>
                <w:szCs w:val="12"/>
              </w:rPr>
            </w:pPr>
            <w:r>
              <w:rPr>
                <w:sz w:val="12"/>
                <w:szCs w:val="12"/>
              </w:rPr>
              <w:t>There was a slight improvement in perceived health and overall fewer ED attendances. A number of wider outcomes did not show any significant effects on pooled analyses. These outcomes included mobility, depression, admission, readmission, mortality, and quality of life.</w:t>
            </w:r>
          </w:p>
        </w:tc>
        <w:tc>
          <w:tcPr>
            <w:tcW w:w="2760" w:type="dxa"/>
            <w:tcMar>
              <w:top w:w="35" w:type="dxa"/>
              <w:left w:w="35" w:type="dxa"/>
              <w:bottom w:w="35" w:type="dxa"/>
              <w:right w:w="35" w:type="dxa"/>
            </w:tcMar>
            <w:vAlign w:val="center"/>
          </w:tcPr>
          <w:p w:rsidRPr="00C27381" w:rsidR="00224933" w:rsidP="00224933" w:rsidRDefault="00224933" w14:paraId="719DF6A1" w14:textId="7D592C37">
            <w:pPr>
              <w:rPr>
                <w:sz w:val="12"/>
                <w:szCs w:val="12"/>
              </w:rPr>
            </w:pPr>
            <w:r>
              <w:rPr>
                <w:sz w:val="12"/>
                <w:szCs w:val="12"/>
              </w:rPr>
              <w:t>This review gave the most quantitative evidence for health outcomes. Certainty was significantly reduced by high heterogeneity and variable intervention components overall.</w:t>
            </w:r>
          </w:p>
        </w:tc>
      </w:tr>
      <w:tr w:rsidRPr="00C27381" w:rsidR="00224933" w:rsidTr="74C9DEA0" w14:paraId="0E3F4CCC" w14:textId="77777777">
        <w:trPr>
          <w:jc w:val="center"/>
        </w:trPr>
        <w:tc>
          <w:tcPr>
            <w:tcW w:w="2760" w:type="dxa"/>
            <w:shd w:val="clear" w:color="auto" w:fill="F2F6FA"/>
            <w:tcMar>
              <w:top w:w="35" w:type="dxa"/>
              <w:left w:w="35" w:type="dxa"/>
              <w:bottom w:w="35" w:type="dxa"/>
              <w:right w:w="35" w:type="dxa"/>
            </w:tcMar>
          </w:tcPr>
          <w:p w:rsidRPr="00C27381" w:rsidR="00224933" w:rsidP="00224933" w:rsidRDefault="00224933" w14:paraId="54B54454" w14:textId="77777777">
            <w:pPr>
              <w:pStyle w:val="TableText"/>
              <w:rPr>
                <w:sz w:val="12"/>
                <w:szCs w:val="12"/>
              </w:rPr>
            </w:pPr>
            <w:r w:rsidRPr="00C27381">
              <w:rPr>
                <w:sz w:val="12"/>
                <w:szCs w:val="12"/>
              </w:rPr>
              <w:t>Hepburn, Williams and McCann (2025)</w:t>
            </w:r>
            <w:r w:rsidRPr="00C27381">
              <w:rPr>
                <w:sz w:val="12"/>
                <w:szCs w:val="12"/>
              </w:rPr>
              <w:br/>
            </w:r>
            <w:r w:rsidRPr="00C27381">
              <w:rPr>
                <w:sz w:val="12"/>
                <w:szCs w:val="12"/>
              </w:rPr>
              <w:t>JMIR Aging</w:t>
            </w:r>
          </w:p>
        </w:tc>
        <w:tc>
          <w:tcPr>
            <w:tcW w:w="2760" w:type="dxa"/>
            <w:shd w:val="clear" w:color="auto" w:fill="F2F6FA"/>
            <w:tcMar>
              <w:top w:w="35" w:type="dxa"/>
              <w:left w:w="35" w:type="dxa"/>
              <w:bottom w:w="35" w:type="dxa"/>
              <w:right w:w="35" w:type="dxa"/>
            </w:tcMar>
            <w:vAlign w:val="center"/>
          </w:tcPr>
          <w:p w:rsidRPr="00C27381" w:rsidR="00224933" w:rsidP="00224933" w:rsidRDefault="00224933" w14:paraId="490B2315" w14:textId="2D11B3BD">
            <w:pPr>
              <w:rPr>
                <w:sz w:val="12"/>
                <w:szCs w:val="12"/>
              </w:rPr>
            </w:pPr>
            <w:r>
              <w:rPr>
                <w:sz w:val="12"/>
                <w:szCs w:val="12"/>
              </w:rPr>
              <w:t>Twenty-nine relevant peer-reviewed research studies were identified for the new systematic review. Thirty relevant grey-literature documents were also reviewed for context. Included sources concerned adults aged 60 years with chronic diseases. The researchers used a systematic approach to analysis involving COM-B and PROGRESS-Plus frameworks.</w:t>
            </w:r>
          </w:p>
        </w:tc>
        <w:tc>
          <w:tcPr>
            <w:tcW w:w="3288" w:type="dxa"/>
            <w:shd w:val="clear" w:color="auto" w:fill="F2F6FA"/>
            <w:tcMar>
              <w:top w:w="35" w:type="dxa"/>
              <w:left w:w="35" w:type="dxa"/>
              <w:bottom w:w="35" w:type="dxa"/>
              <w:right w:w="35" w:type="dxa"/>
            </w:tcMar>
            <w:vAlign w:val="center"/>
          </w:tcPr>
          <w:p w:rsidRPr="00C27381" w:rsidR="00224933" w:rsidP="00224933" w:rsidRDefault="00224933" w14:paraId="4B4DAAEE" w14:textId="35FC7051">
            <w:pPr>
              <w:rPr>
                <w:sz w:val="12"/>
                <w:szCs w:val="12"/>
              </w:rPr>
            </w:pPr>
            <w:r w:rsidRPr="74C9DEA0" w:rsidR="00224933">
              <w:rPr>
                <w:sz w:val="12"/>
                <w:szCs w:val="12"/>
              </w:rPr>
              <w:t xml:space="preserve">Lack of digital literacy, internet, </w:t>
            </w:r>
            <w:r w:rsidRPr="74C9DEA0" w:rsidR="31C0786A">
              <w:rPr>
                <w:sz w:val="12"/>
                <w:szCs w:val="12"/>
              </w:rPr>
              <w:t>cost,</w:t>
            </w:r>
            <w:r w:rsidRPr="74C9DEA0" w:rsidR="00224933">
              <w:rPr>
                <w:sz w:val="12"/>
                <w:szCs w:val="12"/>
              </w:rPr>
              <w:t xml:space="preserve"> and inaccessible design limited adoption. Many older adults faced </w:t>
            </w:r>
            <w:r w:rsidRPr="74C9DEA0" w:rsidR="22EF8D8E">
              <w:rPr>
                <w:sz w:val="12"/>
                <w:szCs w:val="12"/>
              </w:rPr>
              <w:t>technical</w:t>
            </w:r>
            <w:r w:rsidRPr="74C9DEA0" w:rsidR="2141357C">
              <w:rPr>
                <w:sz w:val="12"/>
                <w:szCs w:val="12"/>
              </w:rPr>
              <w:t xml:space="preserve"> </w:t>
            </w:r>
            <w:r w:rsidRPr="74C9DEA0" w:rsidR="2141357C">
              <w:rPr>
                <w:sz w:val="12"/>
                <w:szCs w:val="12"/>
              </w:rPr>
              <w:t>difficulties</w:t>
            </w:r>
            <w:r w:rsidRPr="74C9DEA0" w:rsidR="68DC6A86">
              <w:rPr>
                <w:sz w:val="12"/>
                <w:szCs w:val="12"/>
              </w:rPr>
              <w:t>,</w:t>
            </w:r>
            <w:r w:rsidRPr="74C9DEA0" w:rsidR="00224933">
              <w:rPr>
                <w:sz w:val="12"/>
                <w:szCs w:val="12"/>
              </w:rPr>
              <w:t xml:space="preserve"> making things more difficult. </w:t>
            </w:r>
            <w:r w:rsidRPr="74C9DEA0" w:rsidR="00224933">
              <w:rPr>
                <w:sz w:val="12"/>
                <w:szCs w:val="12"/>
              </w:rPr>
              <w:t>Adoption was supported by training and co-design, accessible systems and professional endorsement.</w:t>
            </w:r>
          </w:p>
        </w:tc>
        <w:tc>
          <w:tcPr>
            <w:tcW w:w="3288" w:type="dxa"/>
            <w:shd w:val="clear" w:color="auto" w:fill="F2F6FA"/>
            <w:tcMar>
              <w:top w:w="35" w:type="dxa"/>
              <w:left w:w="35" w:type="dxa"/>
              <w:bottom w:w="35" w:type="dxa"/>
              <w:right w:w="35" w:type="dxa"/>
            </w:tcMar>
            <w:vAlign w:val="center"/>
          </w:tcPr>
          <w:p w:rsidRPr="00C27381" w:rsidR="00224933" w:rsidP="00224933" w:rsidRDefault="00224933" w14:paraId="7DA33F2E" w14:textId="4C4DFA21">
            <w:pPr>
              <w:rPr>
                <w:sz w:val="12"/>
                <w:szCs w:val="12"/>
              </w:rPr>
            </w:pPr>
            <w:r w:rsidRPr="74C9DEA0" w:rsidR="00224933">
              <w:rPr>
                <w:sz w:val="12"/>
                <w:szCs w:val="12"/>
              </w:rPr>
              <w:t xml:space="preserve">The review primarily focused on adoption and not on direct clinical effectiveness. Without capability, opportunity, and </w:t>
            </w:r>
            <w:r w:rsidRPr="74C9DEA0" w:rsidR="15E64EEA">
              <w:rPr>
                <w:sz w:val="12"/>
                <w:szCs w:val="12"/>
              </w:rPr>
              <w:t>motivation</w:t>
            </w:r>
            <w:r w:rsidRPr="74C9DEA0" w:rsidR="00224933">
              <w:rPr>
                <w:sz w:val="12"/>
                <w:szCs w:val="12"/>
              </w:rPr>
              <w:t xml:space="preserve"> are no expected benefits. Therefore, older adults need practical support for meaningful involvement in services.</w:t>
            </w:r>
          </w:p>
        </w:tc>
        <w:tc>
          <w:tcPr>
            <w:tcW w:w="2760" w:type="dxa"/>
            <w:shd w:val="clear" w:color="auto" w:fill="F2F6FA"/>
            <w:tcMar>
              <w:top w:w="35" w:type="dxa"/>
              <w:left w:w="35" w:type="dxa"/>
              <w:bottom w:w="35" w:type="dxa"/>
              <w:right w:w="35" w:type="dxa"/>
            </w:tcMar>
            <w:vAlign w:val="center"/>
          </w:tcPr>
          <w:p w:rsidRPr="00C27381" w:rsidR="00224933" w:rsidP="00224933" w:rsidRDefault="00224933" w14:paraId="7ABBB5ED" w14:textId="74548956">
            <w:pPr>
              <w:rPr>
                <w:sz w:val="12"/>
                <w:szCs w:val="12"/>
              </w:rPr>
            </w:pPr>
            <w:r>
              <w:rPr>
                <w:sz w:val="12"/>
                <w:szCs w:val="12"/>
              </w:rPr>
              <w:t>There was a recent review (UK authored) that was very strong in addressing healthcare equity. The evidence base was expanded with a variety of technologies and grey literature. This was a lack of specificity around the provision of 'remote consultation' in primary care.</w:t>
            </w:r>
          </w:p>
        </w:tc>
      </w:tr>
      <w:tr w:rsidRPr="00C27381" w:rsidR="00224933" w:rsidTr="74C9DEA0" w14:paraId="31D1AF1E" w14:textId="77777777">
        <w:trPr>
          <w:jc w:val="center"/>
        </w:trPr>
        <w:tc>
          <w:tcPr>
            <w:tcW w:w="2760" w:type="dxa"/>
            <w:tcMar>
              <w:top w:w="35" w:type="dxa"/>
              <w:left w:w="35" w:type="dxa"/>
              <w:bottom w:w="35" w:type="dxa"/>
              <w:right w:w="35" w:type="dxa"/>
            </w:tcMar>
          </w:tcPr>
          <w:p w:rsidRPr="00C27381" w:rsidR="00224933" w:rsidP="00224933" w:rsidRDefault="00224933" w14:paraId="2D71DFCA" w14:textId="77777777">
            <w:pPr>
              <w:pStyle w:val="TableText"/>
              <w:rPr>
                <w:sz w:val="12"/>
                <w:szCs w:val="12"/>
              </w:rPr>
            </w:pPr>
            <w:r w:rsidRPr="00C27381">
              <w:rPr>
                <w:sz w:val="12"/>
                <w:szCs w:val="12"/>
              </w:rPr>
              <w:t>Campbell et al. (2023)</w:t>
            </w:r>
            <w:r w:rsidRPr="00C27381">
              <w:rPr>
                <w:sz w:val="12"/>
                <w:szCs w:val="12"/>
              </w:rPr>
              <w:br/>
            </w:r>
            <w:r w:rsidRPr="00C27381">
              <w:rPr>
                <w:sz w:val="12"/>
                <w:szCs w:val="12"/>
              </w:rPr>
              <w:t>Journal of Medical Internet Research</w:t>
            </w:r>
          </w:p>
        </w:tc>
        <w:tc>
          <w:tcPr>
            <w:tcW w:w="2760" w:type="dxa"/>
            <w:tcMar>
              <w:top w:w="35" w:type="dxa"/>
              <w:left w:w="35" w:type="dxa"/>
              <w:bottom w:w="35" w:type="dxa"/>
              <w:right w:w="35" w:type="dxa"/>
            </w:tcMar>
            <w:vAlign w:val="center"/>
          </w:tcPr>
          <w:p w:rsidRPr="00C27381" w:rsidR="00224933" w:rsidP="00224933" w:rsidRDefault="00224933" w14:paraId="04A30C46" w14:textId="34526B20">
            <w:pPr>
              <w:rPr>
                <w:sz w:val="12"/>
                <w:szCs w:val="12"/>
              </w:rPr>
            </w:pPr>
            <w:r w:rsidRPr="74C9DEA0" w:rsidR="00224933">
              <w:rPr>
                <w:sz w:val="12"/>
                <w:szCs w:val="12"/>
              </w:rPr>
              <w:t xml:space="preserve">In total, the systematic review </w:t>
            </w:r>
            <w:r w:rsidRPr="74C9DEA0" w:rsidR="00224933">
              <w:rPr>
                <w:sz w:val="12"/>
                <w:szCs w:val="12"/>
              </w:rPr>
              <w:t>comprised</w:t>
            </w:r>
            <w:r w:rsidRPr="74C9DEA0" w:rsidR="00224933">
              <w:rPr>
                <w:sz w:val="12"/>
                <w:szCs w:val="12"/>
              </w:rPr>
              <w:t xml:space="preserve"> 30 studies with 5,469,333 participants. All included evidence examined virtual consultations within primary care settings. There </w:t>
            </w:r>
            <w:r w:rsidRPr="74C9DEA0" w:rsidR="6FD4D41E">
              <w:rPr>
                <w:sz w:val="12"/>
                <w:szCs w:val="12"/>
              </w:rPr>
              <w:t>were</w:t>
            </w:r>
            <w:r w:rsidRPr="74C9DEA0" w:rsidR="00224933">
              <w:rPr>
                <w:sz w:val="12"/>
                <w:szCs w:val="12"/>
              </w:rPr>
              <w:t xml:space="preserve"> </w:t>
            </w:r>
            <w:r w:rsidRPr="74C9DEA0" w:rsidR="06618BB6">
              <w:rPr>
                <w:sz w:val="12"/>
                <w:szCs w:val="12"/>
              </w:rPr>
              <w:t>no</w:t>
            </w:r>
            <w:r w:rsidRPr="74C9DEA0" w:rsidR="06618BB6">
              <w:rPr>
                <w:sz w:val="12"/>
                <w:szCs w:val="12"/>
              </w:rPr>
              <w:t xml:space="preserve"> strictions</w:t>
            </w:r>
            <w:r w:rsidRPr="74C9DEA0" w:rsidR="00224933">
              <w:rPr>
                <w:sz w:val="12"/>
                <w:szCs w:val="12"/>
              </w:rPr>
              <w:t xml:space="preserve"> for the participants.</w:t>
            </w:r>
          </w:p>
        </w:tc>
        <w:tc>
          <w:tcPr>
            <w:tcW w:w="3288" w:type="dxa"/>
            <w:tcMar>
              <w:top w:w="35" w:type="dxa"/>
              <w:left w:w="35" w:type="dxa"/>
              <w:bottom w:w="35" w:type="dxa"/>
              <w:right w:w="35" w:type="dxa"/>
            </w:tcMar>
            <w:vAlign w:val="center"/>
          </w:tcPr>
          <w:p w:rsidRPr="00C27381" w:rsidR="00224933" w:rsidP="00224933" w:rsidRDefault="00224933" w14:paraId="7E1A7C45" w14:textId="233E3D86">
            <w:pPr>
              <w:rPr>
                <w:sz w:val="12"/>
                <w:szCs w:val="12"/>
              </w:rPr>
            </w:pPr>
            <w:r w:rsidRPr="74C9DEA0" w:rsidR="00224933">
              <w:rPr>
                <w:sz w:val="12"/>
                <w:szCs w:val="12"/>
              </w:rPr>
              <w:t xml:space="preserve">Overall, virtual consultations often </w:t>
            </w:r>
            <w:r w:rsidRPr="74C9DEA0" w:rsidR="739BAF21">
              <w:rPr>
                <w:sz w:val="12"/>
                <w:szCs w:val="12"/>
              </w:rPr>
              <w:t>shorten</w:t>
            </w:r>
            <w:r w:rsidRPr="74C9DEA0" w:rsidR="00224933">
              <w:rPr>
                <w:sz w:val="12"/>
                <w:szCs w:val="12"/>
              </w:rPr>
              <w:t xml:space="preserve"> </w:t>
            </w:r>
            <w:r w:rsidRPr="74C9DEA0" w:rsidR="77D08255">
              <w:rPr>
                <w:sz w:val="12"/>
                <w:szCs w:val="12"/>
              </w:rPr>
              <w:t>time</w:t>
            </w:r>
            <w:r w:rsidRPr="74C9DEA0" w:rsidR="00224933">
              <w:rPr>
                <w:sz w:val="12"/>
                <w:szCs w:val="12"/>
              </w:rPr>
              <w:t xml:space="preserve"> and patient expenses. There was some evidence of decreased use of some later health services following. Overall, equity findings were not consistent among populations and/or settings.</w:t>
            </w:r>
          </w:p>
        </w:tc>
        <w:tc>
          <w:tcPr>
            <w:tcW w:w="3288" w:type="dxa"/>
            <w:tcMar>
              <w:top w:w="35" w:type="dxa"/>
              <w:left w:w="35" w:type="dxa"/>
              <w:bottom w:w="35" w:type="dxa"/>
              <w:right w:w="35" w:type="dxa"/>
            </w:tcMar>
            <w:vAlign w:val="center"/>
          </w:tcPr>
          <w:p w:rsidRPr="00C27381" w:rsidR="00224933" w:rsidP="00224933" w:rsidRDefault="00224933" w14:paraId="591E4EAA" w14:textId="451E73F7">
            <w:pPr>
              <w:rPr>
                <w:sz w:val="12"/>
                <w:szCs w:val="12"/>
              </w:rPr>
            </w:pPr>
            <w:r w:rsidRPr="74C9DEA0" w:rsidR="00224933">
              <w:rPr>
                <w:sz w:val="12"/>
                <w:szCs w:val="12"/>
              </w:rPr>
              <w:t xml:space="preserve">Some conditions resulted in similar or better outcomes when using virtual care. Some studies and clinical situations had more consistent results on patient </w:t>
            </w:r>
            <w:r w:rsidRPr="74C9DEA0" w:rsidR="384789E7">
              <w:rPr>
                <w:sz w:val="12"/>
                <w:szCs w:val="12"/>
              </w:rPr>
              <w:t>centeredness</w:t>
            </w:r>
            <w:r w:rsidRPr="74C9DEA0" w:rsidR="00224933">
              <w:rPr>
                <w:sz w:val="12"/>
                <w:szCs w:val="12"/>
              </w:rPr>
              <w:t xml:space="preserve"> while others did not. Across the </w:t>
            </w:r>
            <w:r w:rsidRPr="74C9DEA0" w:rsidR="5EA9A458">
              <w:rPr>
                <w:sz w:val="12"/>
                <w:szCs w:val="12"/>
              </w:rPr>
              <w:t>evidence,</w:t>
            </w:r>
            <w:r w:rsidRPr="74C9DEA0" w:rsidR="00224933">
              <w:rPr>
                <w:sz w:val="12"/>
                <w:szCs w:val="12"/>
              </w:rPr>
              <w:t xml:space="preserve"> base safety evidence was still </w:t>
            </w:r>
            <w:r w:rsidRPr="74C9DEA0" w:rsidR="00224933">
              <w:rPr>
                <w:sz w:val="12"/>
                <w:szCs w:val="12"/>
              </w:rPr>
              <w:t>very limited</w:t>
            </w:r>
            <w:r w:rsidRPr="74C9DEA0" w:rsidR="00224933">
              <w:rPr>
                <w:sz w:val="12"/>
                <w:szCs w:val="12"/>
              </w:rPr>
              <w:t>.</w:t>
            </w:r>
          </w:p>
        </w:tc>
        <w:tc>
          <w:tcPr>
            <w:tcW w:w="2760" w:type="dxa"/>
            <w:tcMar>
              <w:top w:w="35" w:type="dxa"/>
              <w:left w:w="35" w:type="dxa"/>
              <w:bottom w:w="35" w:type="dxa"/>
              <w:right w:w="35" w:type="dxa"/>
            </w:tcMar>
            <w:vAlign w:val="center"/>
          </w:tcPr>
          <w:p w:rsidRPr="00C27381" w:rsidR="00224933" w:rsidP="00224933" w:rsidRDefault="00224933" w14:paraId="7ABCA34D" w14:textId="593EBA2A">
            <w:pPr>
              <w:rPr>
                <w:sz w:val="12"/>
                <w:szCs w:val="12"/>
              </w:rPr>
            </w:pPr>
            <w:r w:rsidRPr="74C9DEA0" w:rsidR="00224933">
              <w:rPr>
                <w:sz w:val="12"/>
                <w:szCs w:val="12"/>
              </w:rPr>
              <w:t xml:space="preserve">This review directly addressed </w:t>
            </w:r>
            <w:r w:rsidRPr="74C9DEA0" w:rsidR="0098E745">
              <w:rPr>
                <w:sz w:val="12"/>
                <w:szCs w:val="12"/>
              </w:rPr>
              <w:t>the quality</w:t>
            </w:r>
            <w:r w:rsidRPr="74C9DEA0" w:rsidR="00224933">
              <w:rPr>
                <w:sz w:val="12"/>
                <w:szCs w:val="12"/>
              </w:rPr>
              <w:t xml:space="preserve"> of virtual consultations in PHC. It had </w:t>
            </w:r>
            <w:r w:rsidRPr="74C9DEA0" w:rsidR="00224933">
              <w:rPr>
                <w:sz w:val="12"/>
                <w:szCs w:val="12"/>
              </w:rPr>
              <w:t>a very large</w:t>
            </w:r>
            <w:r w:rsidRPr="74C9DEA0" w:rsidR="00224933">
              <w:rPr>
                <w:sz w:val="12"/>
                <w:szCs w:val="12"/>
              </w:rPr>
              <w:t xml:space="preserve"> sample size of participants, for its evidence base. The biggest reported limitation is the lack of an older adult subgroup analysis.</w:t>
            </w:r>
          </w:p>
        </w:tc>
      </w:tr>
    </w:tbl>
    <w:p w:rsidR="00EB7820" w:rsidRDefault="00EB7820" w14:paraId="5437EC56" w14:textId="77777777">
      <w:pPr>
        <w:sectPr w:rsidR="00EB7820">
          <w:pgSz w:w="15840" w:h="12240" w:orient="landscape"/>
          <w:pgMar w:top="1020" w:right="1020" w:bottom="1020" w:left="1020" w:header="680" w:footer="680" w:gutter="0"/>
          <w:cols w:space="720"/>
          <w:titlePg/>
          <w:docGrid w:linePitch="360"/>
        </w:sectPr>
      </w:pPr>
    </w:p>
    <w:p w:rsidR="00EB7820" w:rsidP="00980E71" w:rsidRDefault="00A90C61" w14:paraId="0072824D" w14:textId="77777777">
      <w:pPr>
        <w:pStyle w:val="Heading2"/>
      </w:pPr>
      <w:bookmarkStart w:name="_Toc236468976" w:id="19"/>
      <w:r>
        <w:t>4.2 Thematic analysis and synthesis</w:t>
      </w:r>
      <w:bookmarkEnd w:id="19"/>
    </w:p>
    <w:p w:rsidRPr="007B58DF" w:rsidR="007B58DF" w:rsidP="00980E71" w:rsidRDefault="007B58DF" w14:paraId="56A87AE4" w14:textId="77777777">
      <w:pPr>
        <w:spacing w:before="120" w:after="240"/>
        <w:rPr>
          <w:b/>
          <w:bCs/>
          <w:lang w:val="en-GB"/>
        </w:rPr>
      </w:pPr>
      <w:r w:rsidRPr="007B58DF">
        <w:rPr>
          <w:b/>
          <w:bCs/>
          <w:lang w:val="en-GB"/>
        </w:rPr>
        <w:t>Theme 1: Telehealth can improve practical access and convenience</w:t>
      </w:r>
    </w:p>
    <w:p w:rsidRPr="007B58DF" w:rsidR="007B58DF" w:rsidP="00980E71" w:rsidRDefault="007B58DF" w14:paraId="187F56AB" w14:textId="77777777">
      <w:pPr>
        <w:spacing w:before="120" w:after="240"/>
        <w:rPr>
          <w:lang w:val="en-GB"/>
        </w:rPr>
      </w:pPr>
      <w:r w:rsidRPr="007B58DF">
        <w:rPr>
          <w:lang w:val="en-GB"/>
        </w:rPr>
        <w:t xml:space="preserve">Possible improvements in practical access to healthcare were reported in all five reviews. Telephone and video contacts minimised travel and facilitated "at home" advice. These benefits supported those who were unable to walk, had a long journey and/or caring responsibilities. Patients who were worried about getting infected during healthcare visits were also helped by remote contact. </w:t>
      </w:r>
      <w:proofErr w:type="spellStart"/>
      <w:r w:rsidRPr="007B58DF">
        <w:rPr>
          <w:lang w:val="en-GB"/>
        </w:rPr>
        <w:t>Ilali</w:t>
      </w:r>
      <w:proofErr w:type="spellEnd"/>
      <w:r w:rsidRPr="007B58DF">
        <w:rPr>
          <w:lang w:val="en-GB"/>
        </w:rPr>
        <w:t xml:space="preserve"> et al. (2023) identified location and travel time as common facilitators. Zhang, Leuk and Teo (2023) reported fewer geographical and timing constraints. The advantages they noted were for geographically distant, housebound and isolated users. Campbell et al. (2023) reported potential for decreased waiting times and patient costs.</w:t>
      </w:r>
    </w:p>
    <w:p w:rsidRPr="007B58DF" w:rsidR="007B58DF" w:rsidP="00980E71" w:rsidRDefault="007B58DF" w14:paraId="682CAFCA" w14:textId="77777777">
      <w:pPr>
        <w:spacing w:before="120" w:after="240"/>
        <w:rPr>
          <w:b/>
          <w:bCs/>
          <w:lang w:val="en-GB"/>
        </w:rPr>
      </w:pPr>
      <w:r w:rsidRPr="007B58DF">
        <w:rPr>
          <w:b/>
          <w:bCs/>
          <w:lang w:val="en-GB"/>
        </w:rPr>
        <w:t>Theme 2: Digital exclusion produces unequal access.</w:t>
      </w:r>
    </w:p>
    <w:p w:rsidRPr="007B58DF" w:rsidR="007B58DF" w:rsidP="00980E71" w:rsidRDefault="007B58DF" w14:paraId="1560D823" w14:textId="2F818A1C">
      <w:pPr>
        <w:spacing w:before="120" w:after="240"/>
        <w:rPr>
          <w:lang w:val="en-GB"/>
        </w:rPr>
      </w:pPr>
      <w:r w:rsidRPr="74C9DEA0" w:rsidR="007B58DF">
        <w:rPr>
          <w:lang w:val="en-GB"/>
        </w:rPr>
        <w:t xml:space="preserve">Digital exclusion was the most consistent constraint </w:t>
      </w:r>
      <w:r w:rsidRPr="74C9DEA0" w:rsidR="007B58DF">
        <w:rPr>
          <w:lang w:val="en-GB"/>
        </w:rPr>
        <w:t>identified</w:t>
      </w:r>
      <w:r w:rsidRPr="74C9DEA0" w:rsidR="007B58DF">
        <w:rPr>
          <w:lang w:val="en-GB"/>
        </w:rPr>
        <w:t xml:space="preserve"> in selected reviews. </w:t>
      </w:r>
      <w:r w:rsidRPr="74C9DEA0" w:rsidR="007B58DF">
        <w:rPr>
          <w:lang w:val="en-GB"/>
        </w:rPr>
        <w:t>Ilali</w:t>
      </w:r>
      <w:r w:rsidRPr="74C9DEA0" w:rsidR="007B58DF">
        <w:rPr>
          <w:lang w:val="en-GB"/>
        </w:rPr>
        <w:t xml:space="preserve"> et al. (2023) specified the determinants as skills, preferences, </w:t>
      </w:r>
      <w:r w:rsidRPr="74C9DEA0" w:rsidR="007B58DF">
        <w:rPr>
          <w:lang w:val="en-GB"/>
        </w:rPr>
        <w:t>comfort</w:t>
      </w:r>
      <w:r w:rsidRPr="74C9DEA0" w:rsidR="007B58DF">
        <w:rPr>
          <w:lang w:val="en-GB"/>
        </w:rPr>
        <w:t xml:space="preserve"> and usability. Hepburn, </w:t>
      </w:r>
      <w:r w:rsidRPr="74C9DEA0" w:rsidR="007B58DF">
        <w:rPr>
          <w:lang w:val="en-GB"/>
        </w:rPr>
        <w:t>Williams</w:t>
      </w:r>
      <w:r w:rsidRPr="74C9DEA0" w:rsidR="007B58DF">
        <w:rPr>
          <w:lang w:val="en-GB"/>
        </w:rPr>
        <w:t xml:space="preserve"> and McCann (2025) emphasised interacting capability, </w:t>
      </w:r>
      <w:r w:rsidRPr="74C9DEA0" w:rsidR="007B58DF">
        <w:rPr>
          <w:lang w:val="en-GB"/>
        </w:rPr>
        <w:t>opportunity</w:t>
      </w:r>
      <w:r w:rsidRPr="74C9DEA0" w:rsidR="007B58DF">
        <w:rPr>
          <w:lang w:val="en-GB"/>
        </w:rPr>
        <w:t xml:space="preserve"> and motivation. Limited usage due to poor sight, memory, income, broadband, support, </w:t>
      </w:r>
      <w:r w:rsidRPr="74C9DEA0" w:rsidR="007B58DF">
        <w:rPr>
          <w:lang w:val="en-GB"/>
        </w:rPr>
        <w:t>privacy</w:t>
      </w:r>
      <w:r w:rsidRPr="74C9DEA0" w:rsidR="007B58DF">
        <w:rPr>
          <w:lang w:val="en-GB"/>
        </w:rPr>
        <w:t xml:space="preserve"> and mistrust. The same demographic and technological barriers were reported by Bertolazzi, Quaglia and </w:t>
      </w:r>
      <w:r w:rsidRPr="74C9DEA0" w:rsidR="32582F01">
        <w:rPr>
          <w:lang w:val="en-GB"/>
        </w:rPr>
        <w:t>Bonellia</w:t>
      </w:r>
      <w:r w:rsidRPr="74C9DEA0" w:rsidR="007B58DF">
        <w:rPr>
          <w:lang w:val="en-GB"/>
        </w:rPr>
        <w:t xml:space="preserve"> (2024). When online access is the norm, telehealth can contribute to reducing access inequalities. There is ambiguous evidence for </w:t>
      </w:r>
      <w:r w:rsidRPr="74C9DEA0" w:rsidR="007B58DF">
        <w:rPr>
          <w:lang w:val="en-GB"/>
        </w:rPr>
        <w:t>equitable</w:t>
      </w:r>
      <w:r w:rsidRPr="74C9DEA0" w:rsidR="007B58DF">
        <w:rPr>
          <w:lang w:val="en-GB"/>
        </w:rPr>
        <w:t xml:space="preserve"> access to services (Campbell et al., 2023). Some of the settings offered included higher VU in younger patients. Effectiveness with the population demands a wider view on digital exclusion in the UK. </w:t>
      </w:r>
    </w:p>
    <w:p w:rsidRPr="007B58DF" w:rsidR="007B58DF" w:rsidP="00980E71" w:rsidRDefault="007B58DF" w14:paraId="3F5084F1" w14:textId="77777777">
      <w:pPr>
        <w:spacing w:before="120" w:after="240"/>
        <w:rPr>
          <w:b/>
          <w:bCs/>
          <w:lang w:val="en-GB"/>
        </w:rPr>
      </w:pPr>
      <w:r w:rsidRPr="007B58DF">
        <w:rPr>
          <w:b/>
          <w:bCs/>
          <w:lang w:val="en-GB"/>
        </w:rPr>
        <w:t>Theme 3: Health outcomes are positive in selected areas but uncertain overall</w:t>
      </w:r>
    </w:p>
    <w:p w:rsidRPr="007B58DF" w:rsidR="007B58DF" w:rsidP="00980E71" w:rsidRDefault="007B58DF" w14:paraId="0F08DD4E" w14:textId="77777777">
      <w:pPr>
        <w:spacing w:before="120" w:after="240"/>
        <w:rPr>
          <w:lang w:val="en-GB"/>
        </w:rPr>
      </w:pPr>
      <w:r w:rsidRPr="007B58DF">
        <w:rPr>
          <w:lang w:val="en-GB"/>
        </w:rPr>
        <w:t>Tian et al. (2024) gave the most definitive quantitative evidence about results. ICT-based integrated care had a small effect on participants' self-reported health status. Emergency department attendance also decreased in these programmes across studies. These may be due to earlier support, better monitoring, or coordination. Little evidence on clinical outcomes was found with older adults (</w:t>
      </w:r>
      <w:proofErr w:type="spellStart"/>
      <w:r w:rsidRPr="007B58DF">
        <w:rPr>
          <w:lang w:val="en-GB"/>
        </w:rPr>
        <w:t>Ilali</w:t>
      </w:r>
      <w:proofErr w:type="spellEnd"/>
      <w:r w:rsidRPr="007B58DF">
        <w:rPr>
          <w:lang w:val="en-GB"/>
        </w:rPr>
        <w:t xml:space="preserve"> et al., 2023). Positive experiences, however, did not lead to regular health gains and safety. Promising evidence, but methodologically limited, were described by Zhang, Leuk and Teo (2023). Similar effectiveness was found for selected clinical conditions by Campbell et al., (2023). There was little evidence on patient safety outcomes in that review.</w:t>
      </w:r>
    </w:p>
    <w:p w:rsidRPr="007B58DF" w:rsidR="007B58DF" w:rsidP="00980E71" w:rsidRDefault="007B58DF" w14:paraId="621EC550" w14:textId="77777777">
      <w:pPr>
        <w:spacing w:before="120" w:after="240"/>
        <w:rPr>
          <w:b/>
          <w:bCs/>
          <w:lang w:val="en-GB"/>
        </w:rPr>
      </w:pPr>
      <w:r w:rsidRPr="007B58DF">
        <w:rPr>
          <w:b/>
          <w:bCs/>
          <w:lang w:val="en-GB"/>
        </w:rPr>
        <w:t>Theme 4: Acceptability depends on choice, relationships and hybrid care.</w:t>
      </w:r>
    </w:p>
    <w:p w:rsidRPr="007B58DF" w:rsidR="00EB7820" w:rsidP="00980E71" w:rsidRDefault="007B58DF" w14:paraId="0AF61BA7" w14:textId="2EAE89FC">
      <w:pPr>
        <w:spacing w:before="120" w:after="240"/>
        <w:rPr>
          <w:lang w:val="en-GB"/>
        </w:rPr>
      </w:pPr>
      <w:r w:rsidRPr="74C9DEA0" w:rsidR="007B58DF">
        <w:rPr>
          <w:lang w:val="en-GB"/>
        </w:rPr>
        <w:t xml:space="preserve">Older adults </w:t>
      </w:r>
      <w:r w:rsidRPr="74C9DEA0" w:rsidR="007B58DF">
        <w:rPr>
          <w:lang w:val="en-GB"/>
        </w:rPr>
        <w:t>frequently</w:t>
      </w:r>
      <w:r w:rsidRPr="74C9DEA0" w:rsidR="007B58DF">
        <w:rPr>
          <w:lang w:val="en-GB"/>
        </w:rPr>
        <w:t xml:space="preserve"> took to telehealth as long as it was easy and consistent. Useful technology was also </w:t>
      </w:r>
      <w:r w:rsidRPr="74C9DEA0" w:rsidR="007B58DF">
        <w:rPr>
          <w:lang w:val="en-GB"/>
        </w:rPr>
        <w:t>required</w:t>
      </w:r>
      <w:r w:rsidRPr="74C9DEA0" w:rsidR="007B58DF">
        <w:rPr>
          <w:lang w:val="en-GB"/>
        </w:rPr>
        <w:t xml:space="preserve"> to address individual preferences and situations. </w:t>
      </w:r>
      <w:r w:rsidRPr="74C9DEA0" w:rsidR="007B58DF">
        <w:rPr>
          <w:lang w:val="en-GB"/>
        </w:rPr>
        <w:t>Ilali</w:t>
      </w:r>
      <w:r w:rsidRPr="74C9DEA0" w:rsidR="007B58DF">
        <w:rPr>
          <w:lang w:val="en-GB"/>
        </w:rPr>
        <w:t xml:space="preserve"> et al. (2023) reported high satisfaction with alternative care options. Older participants still desired face-to-face health care access, however. </w:t>
      </w:r>
      <w:r w:rsidRPr="74C9DEA0" w:rsidR="59207253">
        <w:rPr>
          <w:lang w:val="en-GB"/>
        </w:rPr>
        <w:t>Al Sabeeha</w:t>
      </w:r>
      <w:r w:rsidRPr="74C9DEA0" w:rsidR="007B58DF">
        <w:rPr>
          <w:lang w:val="en-GB"/>
        </w:rPr>
        <w:t xml:space="preserve">, Atieh and Balakrishnan (2023) reported </w:t>
      </w:r>
      <w:r w:rsidRPr="74C9DEA0" w:rsidR="007B58DF">
        <w:rPr>
          <w:lang w:val="en-GB"/>
        </w:rPr>
        <w:t>generally positive</w:t>
      </w:r>
      <w:r w:rsidRPr="74C9DEA0" w:rsidR="007B58DF">
        <w:rPr>
          <w:lang w:val="en-GB"/>
        </w:rPr>
        <w:t xml:space="preserve"> pandemic-era satisfaction. For older adults with multimorbidity, convenience was found to be important (Yi et al., 2024). This influence was highlighted by Hepburn, </w:t>
      </w:r>
      <w:r w:rsidRPr="74C9DEA0" w:rsidR="007B58DF">
        <w:rPr>
          <w:lang w:val="en-GB"/>
        </w:rPr>
        <w:t>Williams</w:t>
      </w:r>
      <w:r w:rsidRPr="74C9DEA0" w:rsidR="007B58DF">
        <w:rPr>
          <w:lang w:val="en-GB"/>
        </w:rPr>
        <w:t xml:space="preserve"> and McCann (2025) in their included evidence. Shared options are offered between telephone and video and face to face appointments.</w:t>
      </w:r>
    </w:p>
    <w:p w:rsidR="00EB7820" w:rsidP="00980E71" w:rsidRDefault="00A90C61" w14:paraId="1E8F9177" w14:textId="77777777">
      <w:pPr>
        <w:pStyle w:val="Heading1"/>
      </w:pPr>
      <w:bookmarkStart w:name="_Toc236468977" w:id="20"/>
      <w:r>
        <w:t>5. Discussion</w:t>
      </w:r>
      <w:bookmarkEnd w:id="20"/>
    </w:p>
    <w:p w:rsidR="00EB7820" w:rsidP="00980E71" w:rsidRDefault="00A90C61" w14:paraId="04CC33C3" w14:textId="77777777">
      <w:pPr>
        <w:pStyle w:val="Heading2"/>
      </w:pPr>
      <w:bookmarkStart w:name="_Toc236468978" w:id="21"/>
      <w:r>
        <w:t>5.1 Summary of the main findings</w:t>
      </w:r>
      <w:bookmarkEnd w:id="21"/>
    </w:p>
    <w:p w:rsidRPr="007B58DF" w:rsidR="00EB7820" w:rsidP="00980E71" w:rsidRDefault="007B58DF" w14:paraId="45B597D4" w14:textId="0FC26AE7">
      <w:pPr>
        <w:spacing w:before="120" w:after="240"/>
        <w:rPr>
          <w:lang w:val="en-GB"/>
        </w:rPr>
      </w:pPr>
      <w:r w:rsidRPr="007B58DF">
        <w:rPr>
          <w:lang w:val="en-GB"/>
        </w:rPr>
        <w:t>The review focused on access and effectiveness of telehealth for older adults. There is moderate evidence of effectiveness in certain clinical and organisational settings. Telehealth makes healthcare more convenient, eliminates travel, and helps facilitate timely contact with health care. These benefits are especially for routine follow-up and housebound/distant patients. Elderly people are often satisfied when they use necessary technologies. There is inequity in access to telehealth for older adults.</w:t>
      </w:r>
    </w:p>
    <w:p w:rsidR="00EB7820" w:rsidP="00980E71" w:rsidRDefault="00A90C61" w14:paraId="628E8ADD" w14:textId="77777777">
      <w:pPr>
        <w:pStyle w:val="Heading2"/>
      </w:pPr>
      <w:bookmarkStart w:name="_Toc236468979" w:id="22"/>
      <w:r>
        <w:t>5.2 Discussion of the themes in relation to the review question</w:t>
      </w:r>
      <w:bookmarkEnd w:id="22"/>
    </w:p>
    <w:p w:rsidRPr="007B58DF" w:rsidR="00EB7820" w:rsidP="00980E71" w:rsidRDefault="007B58DF" w14:paraId="7B2BE040" w14:textId="2BE4B299">
      <w:pPr>
        <w:spacing w:before="120" w:after="240"/>
        <w:rPr>
          <w:lang w:val="en-GB"/>
        </w:rPr>
      </w:pPr>
      <w:r w:rsidRPr="007B58DF">
        <w:rPr>
          <w:lang w:val="en-GB"/>
        </w:rPr>
        <w:t xml:space="preserve">Theme one enables Telehealth to enhance the provision of practical healthcare. Limits travel for older adults with mobility challenges or transportation issues. For the right health issues, timely communication is also possible via distance. NHS England includes requests via digital, telephone and walk-in. The purpose of the model is to deliver same-day responses (NHS England, 2024a). The second theme illustrates the detrimental impacts of digital exclusion on potential access benefits. Digital exclusion is a major and preventable health inequity in today's society. Limited English, poverty and sensory loss may all interact. The Equality Act 2010 provides for reasonable adjustments for patients affected. Support of communication needs is also a requirement of the Accessible Information Standard. NHS guidance is for digital services as well as non-digital services (NHS England, 2023b). The third theme gives mixed results for patient health outcomes. Fewer emergency visits could be due to earlier intervention and better coordination of care. Strong conclusions cannot be drawn so far because the effects on the admission, mortality, and quality of life are still not clear. This uncertainty was also found in </w:t>
      </w:r>
      <w:r w:rsidRPr="007B58DF">
        <w:rPr>
          <w:lang w:val="en-GB"/>
        </w:rPr>
        <w:t>pooled analyses by Tian et al. (2024). Clinical pathways and professional responses following contact will also impact outcomes. Evidence for effectiveness, safety, usability and value is expected (NICE, 2022). The fourth theme demonstrates that 'acceptability' is a function of clinically meaningful relationships.</w:t>
      </w:r>
    </w:p>
    <w:p w:rsidR="00EB7820" w:rsidP="00980E71" w:rsidRDefault="00A90C61" w14:paraId="5D46EC83" w14:textId="77777777">
      <w:pPr>
        <w:pStyle w:val="Heading2"/>
      </w:pPr>
      <w:bookmarkStart w:name="_Toc236468980" w:id="23"/>
      <w:r>
        <w:t>5.3 Importance for health and social care</w:t>
      </w:r>
      <w:bookmarkEnd w:id="23"/>
    </w:p>
    <w:p w:rsidRPr="00E538FD" w:rsidR="00EB7820" w:rsidP="00980E71" w:rsidRDefault="00E538FD" w14:paraId="0B3F5D28" w14:textId="538CABB9">
      <w:pPr>
        <w:spacing w:before="120" w:after="240"/>
        <w:rPr>
          <w:lang w:val="en-GB"/>
        </w:rPr>
      </w:pPr>
      <w:r w:rsidRPr="00E538FD">
        <w:rPr>
          <w:lang w:val="en-GB"/>
        </w:rPr>
        <w:t>Good primary care prevents the decline and helps maintain older people's independence. Use of accessible services can also minimise unnecessary urgent and emergency health care. Telehealth can be used to support ongoing management of chronic conditions and periodic, remote medicine reviews. These services can minimise unnecessary travel for older people and carers. Primary care providers should identify older adults that need extra support with their digital tools. Communication needs, contact preferences and device access should be assessed. Digital champions and volunteer organisations can offer hands-on skills training. Outcomes for those with disability, deprivation and age should be monitored. The data can be used to determine if the digital system moves workload or risk. The CQC reports that service pressures need to be considered when assessing technology. Capacity and continuity continue to be important in assessing access improvements (CQC, 2024).</w:t>
      </w:r>
    </w:p>
    <w:p w:rsidR="00EB7820" w:rsidP="00980E71" w:rsidRDefault="00A90C61" w14:paraId="18E57CCF" w14:textId="77777777">
      <w:pPr>
        <w:pStyle w:val="Heading2"/>
      </w:pPr>
      <w:bookmarkStart w:name="_Toc236468981" w:id="24"/>
      <w:r>
        <w:t>5.4 Limitations of the scoping review</w:t>
      </w:r>
      <w:bookmarkEnd w:id="24"/>
    </w:p>
    <w:p w:rsidRPr="00E538FD" w:rsidR="00EB7820" w:rsidP="00980E71" w:rsidRDefault="00E538FD" w14:paraId="74EA88D1" w14:textId="13ED0DD9">
      <w:pPr>
        <w:spacing w:before="120" w:after="240"/>
        <w:rPr>
          <w:lang w:val="en-GB"/>
        </w:rPr>
      </w:pPr>
      <w:r w:rsidRPr="74C9DEA0" w:rsidR="00E538FD">
        <w:rPr>
          <w:lang w:val="en-GB"/>
        </w:rPr>
        <w:t xml:space="preserve">The scoping review has </w:t>
      </w:r>
      <w:r w:rsidRPr="74C9DEA0" w:rsidR="00E538FD">
        <w:rPr>
          <w:lang w:val="en-GB"/>
        </w:rPr>
        <w:t>a number of</w:t>
      </w:r>
      <w:r w:rsidRPr="74C9DEA0" w:rsidR="00E538FD">
        <w:rPr>
          <w:lang w:val="en-GB"/>
        </w:rPr>
        <w:t xml:space="preserve"> key methodological and evidential shortcomings. Only five secondary studies were chosen for thematic synthesis. This is a limited example and </w:t>
      </w:r>
      <w:r w:rsidRPr="74C9DEA0" w:rsidR="00E538FD">
        <w:rPr>
          <w:lang w:val="en-GB"/>
        </w:rPr>
        <w:t>won't</w:t>
      </w:r>
      <w:r w:rsidRPr="74C9DEA0" w:rsidR="00E538FD">
        <w:rPr>
          <w:lang w:val="en-GB"/>
        </w:rPr>
        <w:t xml:space="preserve"> cover all telehealth interventions or delivery models. There may be primary studies, evidence, that are repeated in included reviews. In that way, particular findings may seem to have a stronger influence within synthesis. </w:t>
      </w:r>
      <w:r w:rsidRPr="74C9DEA0" w:rsidR="5CFC85FC">
        <w:rPr>
          <w:lang w:val="en-GB"/>
        </w:rPr>
        <w:t>Most of the</w:t>
      </w:r>
      <w:r w:rsidRPr="74C9DEA0" w:rsidR="00E538FD">
        <w:rPr>
          <w:lang w:val="en-GB"/>
        </w:rPr>
        <w:t xml:space="preserve"> evidence was not in the context of UK practices. Numerous studies did not focus on older people in primary care. </w:t>
      </w:r>
      <w:r w:rsidRPr="74C9DEA0" w:rsidR="00E538FD">
        <w:rPr>
          <w:lang w:val="en-GB"/>
        </w:rPr>
        <w:t>Ilali</w:t>
      </w:r>
      <w:r w:rsidRPr="74C9DEA0" w:rsidR="00E538FD">
        <w:rPr>
          <w:lang w:val="en-GB"/>
        </w:rPr>
        <w:t xml:space="preserve"> et al. (2023) directly combined older adults and primary care. Campbell et al. (2023) looked at primary care and did not include an older adult sub analysis. Interventions, populations, </w:t>
      </w:r>
      <w:r w:rsidRPr="74C9DEA0" w:rsidR="00E538FD">
        <w:rPr>
          <w:lang w:val="en-GB"/>
        </w:rPr>
        <w:t>settings</w:t>
      </w:r>
      <w:r w:rsidRPr="74C9DEA0" w:rsidR="00E538FD">
        <w:rPr>
          <w:lang w:val="en-GB"/>
        </w:rPr>
        <w:t xml:space="preserve"> and reported outcomes were quite diverse. This difference resulted in one reliable overall effectiveness estimate not being possible to calculate. Relevant </w:t>
      </w:r>
      <w:r w:rsidRPr="74C9DEA0" w:rsidR="00E538FD">
        <w:rPr>
          <w:lang w:val="en-GB"/>
        </w:rPr>
        <w:t>previous</w:t>
      </w:r>
      <w:r w:rsidRPr="74C9DEA0" w:rsidR="00E538FD">
        <w:rPr>
          <w:lang w:val="en-GB"/>
        </w:rPr>
        <w:t xml:space="preserve"> evidence may not have been cited because of the publication limit after 2022.</w:t>
      </w:r>
    </w:p>
    <w:p w:rsidR="00EB7820" w:rsidP="00980E71" w:rsidRDefault="00A90C61" w14:paraId="648FB781" w14:textId="77777777">
      <w:pPr>
        <w:pStyle w:val="Heading1"/>
      </w:pPr>
      <w:bookmarkStart w:name="_Toc236468982" w:id="25"/>
      <w:r>
        <w:t>6. Conclusion and Recommendations</w:t>
      </w:r>
      <w:bookmarkEnd w:id="25"/>
    </w:p>
    <w:p w:rsidR="00EB7820" w:rsidP="00980E71" w:rsidRDefault="00A90C61" w14:paraId="787FBA2F" w14:textId="77777777">
      <w:pPr>
        <w:pStyle w:val="Heading2"/>
      </w:pPr>
      <w:bookmarkStart w:name="_Toc236468983" w:id="26"/>
      <w:r>
        <w:t>6.1 Conclusion</w:t>
      </w:r>
      <w:bookmarkEnd w:id="26"/>
    </w:p>
    <w:p w:rsidRPr="00E538FD" w:rsidR="00EB7820" w:rsidP="00980E71" w:rsidRDefault="00E538FD" w14:paraId="1829AF4D" w14:textId="3650FA7F">
      <w:pPr>
        <w:spacing w:before="120" w:after="240"/>
        <w:rPr>
          <w:lang w:val="en-GB"/>
        </w:rPr>
      </w:pPr>
      <w:r w:rsidRPr="00E538FD">
        <w:rPr>
          <w:lang w:val="en-GB"/>
        </w:rPr>
        <w:t>Telehealth can improve healthcare access for many older adults in primary care. Remote contact helps to minimise travel, to be more convenient and to make timely appointments. Older people typically are satisfied if they have simple and reliable systems. Services also need to align with person's needs, confidence and communication style. The effectiveness of telehealth in older adults is greatly influenced by digital inclusion. Users could be excluded due to limited skills, impairments, poverty, connectivity, or privacy. Services need to therefore offer telehealth services via hybrid and person-centred approaches.</w:t>
      </w:r>
    </w:p>
    <w:p w:rsidR="00EB7820" w:rsidP="00980E71" w:rsidRDefault="00A90C61" w14:paraId="1236D878" w14:textId="77777777">
      <w:pPr>
        <w:pStyle w:val="Heading2"/>
      </w:pPr>
      <w:bookmarkStart w:name="_Toc236468984" w:id="27"/>
      <w:r>
        <w:t>6.2 Recommendations for future research</w:t>
      </w:r>
      <w:bookmarkEnd w:id="27"/>
    </w:p>
    <w:p w:rsidRPr="00E538FD" w:rsidR="00EB7820" w:rsidP="00980E71" w:rsidRDefault="00E538FD" w14:paraId="1F1A3A55" w14:textId="4E967B71">
      <w:pPr>
        <w:spacing w:before="120" w:after="240"/>
        <w:rPr>
          <w:lang w:val="en-GB"/>
        </w:rPr>
      </w:pPr>
      <w:r w:rsidRPr="74C9DEA0" w:rsidR="00E538FD">
        <w:rPr>
          <w:lang w:val="en-GB"/>
        </w:rPr>
        <w:t xml:space="preserve">Pragmatic trials in general practice should be undertaken in the UK in the future. Older adults (age 75 years and above) should always be included in the research. Samples should </w:t>
      </w:r>
      <w:r w:rsidRPr="74C9DEA0" w:rsidR="00E538FD">
        <w:rPr>
          <w:lang w:val="en-GB"/>
        </w:rPr>
        <w:t>represent</w:t>
      </w:r>
      <w:r w:rsidRPr="74C9DEA0" w:rsidR="00E538FD">
        <w:rPr>
          <w:lang w:val="en-GB"/>
        </w:rPr>
        <w:t xml:space="preserve"> people experiencing frailty, dementia, multimorbidity, and sensory </w:t>
      </w:r>
      <w:r w:rsidRPr="74C9DEA0" w:rsidR="7D264D21">
        <w:rPr>
          <w:lang w:val="en-GB"/>
        </w:rPr>
        <w:t xml:space="preserve">impairment. </w:t>
      </w:r>
      <w:r w:rsidRPr="74C9DEA0" w:rsidR="7D264D21">
        <w:rPr>
          <w:lang w:val="en-GB"/>
        </w:rPr>
        <w:t>Future</w:t>
      </w:r>
      <w:r w:rsidRPr="74C9DEA0" w:rsidR="00E538FD">
        <w:rPr>
          <w:lang w:val="en-GB"/>
        </w:rPr>
        <w:t xml:space="preserve"> studies should assess safety, accuracy of diagnosis, </w:t>
      </w:r>
      <w:r w:rsidRPr="74C9DEA0" w:rsidR="00E538FD">
        <w:rPr>
          <w:lang w:val="en-GB"/>
        </w:rPr>
        <w:t>continuity</w:t>
      </w:r>
      <w:r w:rsidRPr="74C9DEA0" w:rsidR="00E538FD">
        <w:rPr>
          <w:lang w:val="en-GB"/>
        </w:rPr>
        <w:t xml:space="preserve"> and quality of life. Studies should </w:t>
      </w:r>
      <w:r w:rsidRPr="74C9DEA0" w:rsidR="00E538FD">
        <w:rPr>
          <w:lang w:val="en-GB"/>
        </w:rPr>
        <w:t>monitor</w:t>
      </w:r>
      <w:r w:rsidRPr="74C9DEA0" w:rsidR="00E538FD">
        <w:rPr>
          <w:lang w:val="en-GB"/>
        </w:rPr>
        <w:t xml:space="preserve"> the long-term outcome of urgent care, admissions, and death, as well as cost-effectiveness. Results should be reported by age, sex, ethnicity, </w:t>
      </w:r>
      <w:r w:rsidRPr="74C9DEA0" w:rsidR="00E538FD">
        <w:rPr>
          <w:lang w:val="en-GB"/>
        </w:rPr>
        <w:t>deprivation</w:t>
      </w:r>
      <w:r w:rsidRPr="74C9DEA0" w:rsidR="00E538FD">
        <w:rPr>
          <w:lang w:val="en-GB"/>
        </w:rPr>
        <w:t xml:space="preserve"> and disability. Rurality, </w:t>
      </w:r>
      <w:r w:rsidRPr="74C9DEA0" w:rsidR="00E538FD">
        <w:rPr>
          <w:lang w:val="en-GB"/>
        </w:rPr>
        <w:t>language</w:t>
      </w:r>
      <w:r w:rsidRPr="74C9DEA0" w:rsidR="00E538FD">
        <w:rPr>
          <w:lang w:val="en-GB"/>
        </w:rPr>
        <w:t xml:space="preserve"> and digital skill differences should also be reported.</w:t>
      </w:r>
    </w:p>
    <w:p w:rsidR="00EB7820" w:rsidP="00980E71" w:rsidRDefault="00A90C61" w14:paraId="4C3C8DE5" w14:textId="77777777">
      <w:pPr>
        <w:pStyle w:val="Heading2"/>
      </w:pPr>
      <w:bookmarkStart w:name="_Toc236468985" w:id="28"/>
      <w:r>
        <w:t>6.3 Recommendations for UK policy and practice</w:t>
      </w:r>
      <w:bookmarkEnd w:id="28"/>
    </w:p>
    <w:p w:rsidRPr="004819D4" w:rsidR="004819D4" w:rsidP="00980E71" w:rsidRDefault="004819D4" w14:paraId="79936924" w14:textId="77777777">
      <w:pPr>
        <w:numPr>
          <w:ilvl w:val="0"/>
          <w:numId w:val="12"/>
        </w:numPr>
        <w:spacing w:before="120" w:after="240"/>
        <w:rPr>
          <w:lang w:val="en-GB"/>
        </w:rPr>
      </w:pPr>
      <w:r w:rsidRPr="004819D4">
        <w:rPr>
          <w:lang w:val="en-GB"/>
        </w:rPr>
        <w:t>All practices should have dependable hybrid access over all consultation pathways. Patients should have reliable means of communication: by phone, by walk-in, electronically, and in-person.</w:t>
      </w:r>
    </w:p>
    <w:p w:rsidRPr="004819D4" w:rsidR="004819D4" w:rsidP="00980E71" w:rsidRDefault="004819D4" w14:paraId="2735893C" w14:textId="77777777">
      <w:pPr>
        <w:numPr>
          <w:ilvl w:val="0"/>
          <w:numId w:val="12"/>
        </w:numPr>
        <w:spacing w:before="120" w:after="240"/>
        <w:rPr>
          <w:lang w:val="en-GB"/>
        </w:rPr>
      </w:pPr>
      <w:r w:rsidRPr="004819D4">
        <w:rPr>
          <w:lang w:val="en-GB"/>
        </w:rPr>
        <w:t>It is important to regularly review digital readiness prior to engaging in remote consultations. Care needs to also be verified for each remote appointment. Communication needs and preferred ways to communicate should be clearly documented.</w:t>
      </w:r>
    </w:p>
    <w:p w:rsidRPr="004819D4" w:rsidR="004819D4" w:rsidP="00980E71" w:rsidRDefault="004819D4" w14:paraId="4BDE7FB7" w14:textId="77777777">
      <w:pPr>
        <w:numPr>
          <w:ilvl w:val="0"/>
          <w:numId w:val="12"/>
        </w:numPr>
        <w:spacing w:before="120" w:after="240"/>
        <w:rPr>
          <w:lang w:val="en-GB"/>
        </w:rPr>
      </w:pPr>
      <w:r w:rsidRPr="004819D4">
        <w:rPr>
          <w:lang w:val="en-GB"/>
        </w:rPr>
        <w:t>Technology, instructions, captioning and larger text should be accessible in services. Consent should be sought for interpreter support and trained assistance to remain.</w:t>
      </w:r>
    </w:p>
    <w:p w:rsidRPr="004819D4" w:rsidR="004819D4" w:rsidP="00980E71" w:rsidRDefault="004819D4" w14:paraId="31D65CCF" w14:textId="77777777">
      <w:pPr>
        <w:numPr>
          <w:ilvl w:val="0"/>
          <w:numId w:val="12"/>
        </w:numPr>
        <w:spacing w:before="120" w:after="240"/>
        <w:rPr>
          <w:lang w:val="en-GB"/>
        </w:rPr>
      </w:pPr>
      <w:r w:rsidRPr="004819D4">
        <w:rPr>
          <w:lang w:val="en-GB"/>
        </w:rPr>
        <w:t>Sustained digital inclusion programmes should be funded locally by the ICBs. Pupil access to digital skills, devices, connectivity and community partnerships should be funded.</w:t>
      </w:r>
    </w:p>
    <w:p w:rsidRPr="004819D4" w:rsidR="004819D4" w:rsidP="00C26858" w:rsidRDefault="004819D4" w14:paraId="07B33610" w14:textId="77777777">
      <w:pPr>
        <w:numPr>
          <w:ilvl w:val="0"/>
          <w:numId w:val="12"/>
        </w:numPr>
        <w:spacing w:before="120" w:after="240"/>
        <w:rPr>
          <w:lang w:val="en-GB"/>
        </w:rPr>
      </w:pPr>
      <w:r w:rsidRPr="004819D4">
        <w:rPr>
          <w:lang w:val="en-GB"/>
        </w:rPr>
        <w:t>RAs and Safeguarding needs training for Primary care teams. Education should include physical examination decisions, escalation, consent and privacy.</w:t>
      </w:r>
    </w:p>
    <w:p w:rsidRPr="004819D4" w:rsidR="004819D4" w:rsidP="00C26858" w:rsidRDefault="004819D4" w14:paraId="012DB485" w14:textId="77777777">
      <w:pPr>
        <w:numPr>
          <w:ilvl w:val="0"/>
          <w:numId w:val="12"/>
        </w:numPr>
        <w:spacing w:before="120" w:after="240"/>
        <w:rPr>
          <w:lang w:val="en-GB"/>
        </w:rPr>
      </w:pPr>
      <w:r w:rsidRPr="004819D4">
        <w:rPr>
          <w:lang w:val="en-GB"/>
        </w:rPr>
        <w:t>It is important that access to, and outcomes from, practices are tracked and reviewed by practices for inequality characteristics, as well as by complaint type. Safety, usability, equity and value should be considered during procurement.</w:t>
      </w:r>
    </w:p>
    <w:p w:rsidRPr="004819D4" w:rsidR="00EB7820" w:rsidP="00C26858" w:rsidRDefault="004819D4" w14:paraId="2F0EFA08" w14:textId="6977D528">
      <w:pPr>
        <w:numPr>
          <w:ilvl w:val="0"/>
          <w:numId w:val="12"/>
        </w:numPr>
        <w:spacing w:before="120" w:after="240"/>
        <w:rPr>
          <w:lang w:val="en-GB"/>
        </w:rPr>
      </w:pPr>
      <w:r w:rsidRPr="004819D4">
        <w:rPr>
          <w:lang w:val="en-GB"/>
        </w:rPr>
        <w:t>Digital-only communication is not the best option for sharing critical health care information. Providers have obligations to maintain offline routes, equality and data protection.</w:t>
      </w:r>
    </w:p>
    <w:p w:rsidR="00C740CB" w:rsidP="00C26858" w:rsidRDefault="00C740CB" w14:paraId="49D4CF42" w14:textId="77777777">
      <w:pPr>
        <w:spacing w:before="120" w:after="240"/>
        <w:rPr>
          <w:rFonts w:eastAsiaTheme="majorEastAsia" w:cstheme="majorBidi"/>
          <w:b/>
          <w:bCs/>
          <w:color w:val="000000" w:themeColor="text1"/>
          <w:sz w:val="28"/>
          <w:szCs w:val="28"/>
        </w:rPr>
      </w:pPr>
      <w:r>
        <w:br w:type="page"/>
      </w:r>
    </w:p>
    <w:p w:rsidR="00EB7820" w:rsidP="00C26858" w:rsidRDefault="00A90C61" w14:paraId="6C9AC485" w14:textId="16B660D1">
      <w:pPr>
        <w:pStyle w:val="Heading1"/>
      </w:pPr>
      <w:bookmarkStart w:name="_Toc236468986" w:id="29"/>
      <w:r>
        <w:t>Reference</w:t>
      </w:r>
      <w:r w:rsidR="00980E71">
        <w:t>s</w:t>
      </w:r>
      <w:bookmarkEnd w:id="29"/>
    </w:p>
    <w:p w:rsidRPr="00C26858" w:rsidR="00C26858" w:rsidP="00C26858" w:rsidRDefault="00C26858" w14:paraId="74C6B0E9" w14:textId="77777777">
      <w:pPr>
        <w:spacing w:before="120" w:after="240"/>
        <w:rPr>
          <w:lang w:val="en-GB"/>
        </w:rPr>
      </w:pPr>
      <w:r w:rsidRPr="00C26858">
        <w:rPr>
          <w:lang w:val="en-GB"/>
        </w:rPr>
        <w:t xml:space="preserve">Age UK (2024) </w:t>
      </w:r>
      <w:r w:rsidRPr="00C26858">
        <w:rPr>
          <w:i/>
          <w:iCs/>
          <w:lang w:val="en-GB"/>
        </w:rPr>
        <w:t>Offline and Overlooked: Digital exclusion and its impact on older people</w:t>
      </w:r>
      <w:r w:rsidRPr="00C26858">
        <w:rPr>
          <w:lang w:val="en-GB"/>
        </w:rPr>
        <w:t xml:space="preserve">. Available at: </w:t>
      </w:r>
      <w:hyperlink w:tgtFrame="_blank" w:history="1" r:id="rId12">
        <w:r w:rsidRPr="00C26858">
          <w:rPr>
            <w:rStyle w:val="Hyperlink"/>
            <w:lang w:val="en-GB"/>
          </w:rPr>
          <w:t>https://www.ageuk.org.uk/siteassets/documents/reports-and-publications/reports-and-briefings/offline-and-overlooked-report.pdf</w:t>
        </w:r>
      </w:hyperlink>
    </w:p>
    <w:p w:rsidRPr="00C26858" w:rsidR="00C26858" w:rsidP="00C26858" w:rsidRDefault="00C26858" w14:paraId="057DD575" w14:textId="7ECF90E1">
      <w:pPr>
        <w:spacing w:before="120" w:after="240"/>
        <w:rPr>
          <w:lang w:val="en-GB"/>
        </w:rPr>
      </w:pPr>
      <w:r w:rsidRPr="74C9DEA0" w:rsidR="274950A7">
        <w:rPr>
          <w:lang w:val="en-GB"/>
        </w:rPr>
        <w:t>AL Sabeeha</w:t>
      </w:r>
      <w:r w:rsidRPr="74C9DEA0" w:rsidR="00C26858">
        <w:rPr>
          <w:lang w:val="en-GB"/>
        </w:rPr>
        <w:t xml:space="preserve">, N.H.M., Atieh, M.A. and Balakrishnan, M.S. (2023) ‘Older adults' satisfaction with telemedicine during the COVID-19 pandemic: A systematic review’, </w:t>
      </w:r>
      <w:r w:rsidRPr="74C9DEA0" w:rsidR="00C26858">
        <w:rPr>
          <w:i w:val="1"/>
          <w:iCs w:val="1"/>
          <w:lang w:val="en-GB"/>
        </w:rPr>
        <w:t>Telemedicine and e-Health</w:t>
      </w:r>
      <w:r w:rsidRPr="74C9DEA0" w:rsidR="00C26858">
        <w:rPr>
          <w:lang w:val="en-GB"/>
        </w:rPr>
        <w:t xml:space="preserve">, 29(1), pp. 38–49. </w:t>
      </w:r>
      <w:r w:rsidRPr="74C9DEA0" w:rsidR="42612AD0">
        <w:rPr>
          <w:lang w:val="en-GB"/>
        </w:rPr>
        <w:t>Doi</w:t>
      </w:r>
      <w:r w:rsidRPr="74C9DEA0" w:rsidR="00C26858">
        <w:rPr>
          <w:lang w:val="en-GB"/>
        </w:rPr>
        <w:t>: 10.1089/tmj.2022.0045.</w:t>
      </w:r>
    </w:p>
    <w:p w:rsidRPr="00C26858" w:rsidR="00C26858" w:rsidP="00C26858" w:rsidRDefault="00C26858" w14:paraId="477291E4" w14:textId="400B4CB9">
      <w:pPr>
        <w:spacing w:before="120" w:after="240"/>
        <w:rPr>
          <w:lang w:val="en-GB"/>
        </w:rPr>
      </w:pPr>
      <w:r w:rsidRPr="74C9DEA0" w:rsidR="00C26858">
        <w:rPr>
          <w:lang w:val="en-GB"/>
        </w:rPr>
        <w:t xml:space="preserve">Bertolazzi, A., Quaglia, V. and Bongelli, R. (2024) ‘Barriers and facilitators to health technology adoption by older adults with chronic diseases: An integrative systematic review’, </w:t>
      </w:r>
      <w:r w:rsidRPr="74C9DEA0" w:rsidR="00C26858">
        <w:rPr>
          <w:i w:val="1"/>
          <w:iCs w:val="1"/>
          <w:lang w:val="en-GB"/>
        </w:rPr>
        <w:t>BMC Public Health</w:t>
      </w:r>
      <w:r w:rsidRPr="74C9DEA0" w:rsidR="00C26858">
        <w:rPr>
          <w:lang w:val="en-GB"/>
        </w:rPr>
        <w:t xml:space="preserve">, 24, Article 506. </w:t>
      </w:r>
      <w:r w:rsidRPr="74C9DEA0" w:rsidR="208751B3">
        <w:rPr>
          <w:lang w:val="en-GB"/>
        </w:rPr>
        <w:t>Doi</w:t>
      </w:r>
      <w:r w:rsidRPr="74C9DEA0" w:rsidR="00C26858">
        <w:rPr>
          <w:lang w:val="en-GB"/>
        </w:rPr>
        <w:t>: 10.1186/s12889-024-18036-5.</w:t>
      </w:r>
    </w:p>
    <w:p w:rsidRPr="00C26858" w:rsidR="00C26858" w:rsidP="00C26858" w:rsidRDefault="00C26858" w14:paraId="1153AE00" w14:textId="3252873C">
      <w:pPr>
        <w:spacing w:before="120" w:after="240"/>
        <w:rPr>
          <w:lang w:val="en-GB"/>
        </w:rPr>
      </w:pPr>
      <w:r w:rsidRPr="74C9DEA0" w:rsidR="00C26858">
        <w:rPr>
          <w:lang w:val="en-GB"/>
        </w:rPr>
        <w:t xml:space="preserve">Campbell, K., Greenfield, G., Li, E., O’Brien, N., Hayhoe, B., Beaney, T., Majeed, A. and Neves, A.L. (2023) ‘The impact of virtual consultations on the quality of primary care: Systematic review’, </w:t>
      </w:r>
      <w:r w:rsidRPr="74C9DEA0" w:rsidR="00C26858">
        <w:rPr>
          <w:i w:val="1"/>
          <w:iCs w:val="1"/>
          <w:lang w:val="en-GB"/>
        </w:rPr>
        <w:t>Journal of Medical Internet Research</w:t>
      </w:r>
      <w:r w:rsidRPr="74C9DEA0" w:rsidR="00C26858">
        <w:rPr>
          <w:lang w:val="en-GB"/>
        </w:rPr>
        <w:t xml:space="preserve">, 25, Article e48920. </w:t>
      </w:r>
      <w:r w:rsidRPr="74C9DEA0" w:rsidR="5024F14D">
        <w:rPr>
          <w:lang w:val="en-GB"/>
        </w:rPr>
        <w:t>Doi</w:t>
      </w:r>
      <w:r w:rsidRPr="74C9DEA0" w:rsidR="00C26858">
        <w:rPr>
          <w:lang w:val="en-GB"/>
        </w:rPr>
        <w:t>: 10.2196/48920.</w:t>
      </w:r>
    </w:p>
    <w:p w:rsidRPr="00C26858" w:rsidR="00C26858" w:rsidP="00C26858" w:rsidRDefault="00C26858" w14:paraId="5246E521" w14:textId="77777777">
      <w:pPr>
        <w:spacing w:before="120" w:after="240"/>
        <w:rPr>
          <w:lang w:val="en-GB"/>
        </w:rPr>
      </w:pPr>
      <w:r w:rsidRPr="00C26858">
        <w:rPr>
          <w:lang w:val="en-GB"/>
        </w:rPr>
        <w:t xml:space="preserve">Care Quality Commission (2024) </w:t>
      </w:r>
      <w:r w:rsidRPr="00C26858">
        <w:rPr>
          <w:i/>
          <w:iCs/>
          <w:lang w:val="en-GB"/>
        </w:rPr>
        <w:t>The state of health care and adult social care in England 2023/24</w:t>
      </w:r>
      <w:r w:rsidRPr="00C26858">
        <w:rPr>
          <w:lang w:val="en-GB"/>
        </w:rPr>
        <w:t xml:space="preserve">. Available at: </w:t>
      </w:r>
      <w:hyperlink w:tgtFrame="_blank" w:history="1" r:id="rId13">
        <w:r w:rsidRPr="00C26858">
          <w:rPr>
            <w:rStyle w:val="Hyperlink"/>
            <w:lang w:val="en-GB"/>
          </w:rPr>
          <w:t>https://www.cqc.org.uk/publications/major-report/state-care/2023-2024</w:t>
        </w:r>
      </w:hyperlink>
    </w:p>
    <w:p w:rsidRPr="00C26858" w:rsidR="00C26858" w:rsidP="00C26858" w:rsidRDefault="00C26858" w14:paraId="04D1067F" w14:textId="77777777">
      <w:pPr>
        <w:spacing w:before="120" w:after="240"/>
        <w:rPr>
          <w:lang w:val="en-GB"/>
        </w:rPr>
      </w:pPr>
      <w:r w:rsidRPr="00C26858">
        <w:rPr>
          <w:lang w:val="en-GB"/>
        </w:rPr>
        <w:t xml:space="preserve">Critical Appraisal Skills Programme (CASP) (2024) </w:t>
      </w:r>
      <w:r w:rsidRPr="00C26858">
        <w:rPr>
          <w:i/>
          <w:iCs/>
          <w:lang w:val="en-GB"/>
        </w:rPr>
        <w:t>CASP checklists</w:t>
      </w:r>
      <w:r w:rsidRPr="00C26858">
        <w:rPr>
          <w:lang w:val="en-GB"/>
        </w:rPr>
        <w:t xml:space="preserve">. Available at: </w:t>
      </w:r>
      <w:hyperlink w:tgtFrame="_blank" w:history="1" r:id="rId14">
        <w:r w:rsidRPr="00C26858">
          <w:rPr>
            <w:rStyle w:val="Hyperlink"/>
            <w:lang w:val="en-GB"/>
          </w:rPr>
          <w:t>https://casp-uk.net/casp-tools-checklists/</w:t>
        </w:r>
      </w:hyperlink>
    </w:p>
    <w:p w:rsidRPr="00C26858" w:rsidR="00C26858" w:rsidP="00C26858" w:rsidRDefault="00C26858" w14:paraId="61F2F201" w14:textId="3BE9AB97">
      <w:pPr>
        <w:spacing w:before="120" w:after="240"/>
        <w:rPr>
          <w:lang w:val="en-GB"/>
        </w:rPr>
      </w:pPr>
      <w:r w:rsidRPr="74C9DEA0" w:rsidR="00C26858">
        <w:rPr>
          <w:lang w:val="en-GB"/>
        </w:rPr>
        <w:t xml:space="preserve">Hepburn, J., Williams, </w:t>
      </w:r>
      <w:r w:rsidRPr="74C9DEA0" w:rsidR="00C26858">
        <w:rPr>
          <w:lang w:val="en-GB"/>
        </w:rPr>
        <w:t>L.</w:t>
      </w:r>
      <w:r w:rsidRPr="74C9DEA0" w:rsidR="00C26858">
        <w:rPr>
          <w:lang w:val="en-GB"/>
        </w:rPr>
        <w:t xml:space="preserve"> and McCann, L. (2025) ‘Barriers to and facilitators of digital health technology adoption among older adults with chronic diseases: Updated systematic review’, </w:t>
      </w:r>
      <w:r w:rsidRPr="74C9DEA0" w:rsidR="00C26858">
        <w:rPr>
          <w:i w:val="1"/>
          <w:iCs w:val="1"/>
          <w:lang w:val="en-GB"/>
        </w:rPr>
        <w:t>JMIR Aging</w:t>
      </w:r>
      <w:r w:rsidRPr="74C9DEA0" w:rsidR="00C26858">
        <w:rPr>
          <w:lang w:val="en-GB"/>
        </w:rPr>
        <w:t xml:space="preserve">, 8, Article e80000. </w:t>
      </w:r>
      <w:r w:rsidRPr="74C9DEA0" w:rsidR="2A8B5FC0">
        <w:rPr>
          <w:lang w:val="en-GB"/>
        </w:rPr>
        <w:t>Doi</w:t>
      </w:r>
      <w:r w:rsidRPr="74C9DEA0" w:rsidR="00C26858">
        <w:rPr>
          <w:lang w:val="en-GB"/>
        </w:rPr>
        <w:t>: 10.2196/80000.</w:t>
      </w:r>
    </w:p>
    <w:p w:rsidRPr="00C26858" w:rsidR="00C26858" w:rsidP="00C26858" w:rsidRDefault="00C26858" w14:paraId="403AEF39" w14:textId="46552A92">
      <w:pPr>
        <w:spacing w:before="120" w:after="240"/>
        <w:rPr>
          <w:lang w:val="en-GB"/>
        </w:rPr>
      </w:pPr>
      <w:r w:rsidRPr="74C9DEA0" w:rsidR="208DD7CB">
        <w:rPr>
          <w:lang w:val="en-GB"/>
        </w:rPr>
        <w:t>Ilala</w:t>
      </w:r>
      <w:r w:rsidRPr="74C9DEA0" w:rsidR="00C26858">
        <w:rPr>
          <w:lang w:val="en-GB"/>
        </w:rPr>
        <w:t xml:space="preserve">, M., Le Berre, M., Vedel, I. and Khanassov, V. (2023) ‘Telemedicine in the primary care of older adults: A systematic mixed studies review’, </w:t>
      </w:r>
      <w:r w:rsidRPr="74C9DEA0" w:rsidR="00C26858">
        <w:rPr>
          <w:i w:val="1"/>
          <w:iCs w:val="1"/>
          <w:lang w:val="en-GB"/>
        </w:rPr>
        <w:t>BMC Primary Care</w:t>
      </w:r>
      <w:r w:rsidRPr="74C9DEA0" w:rsidR="00C26858">
        <w:rPr>
          <w:lang w:val="en-GB"/>
        </w:rPr>
        <w:t xml:space="preserve">, 24, Article 152. </w:t>
      </w:r>
      <w:r w:rsidRPr="74C9DEA0" w:rsidR="11AF6077">
        <w:rPr>
          <w:lang w:val="en-GB"/>
        </w:rPr>
        <w:t>Doi</w:t>
      </w:r>
      <w:r w:rsidRPr="74C9DEA0" w:rsidR="00C26858">
        <w:rPr>
          <w:lang w:val="en-GB"/>
        </w:rPr>
        <w:t>: 10.1186/s12875-023-02085-7.</w:t>
      </w:r>
    </w:p>
    <w:p w:rsidRPr="00C26858" w:rsidR="00C26858" w:rsidP="00C26858" w:rsidRDefault="00C26858" w14:paraId="2FF835E6" w14:textId="77777777">
      <w:pPr>
        <w:spacing w:before="120" w:after="240"/>
        <w:rPr>
          <w:lang w:val="en-GB"/>
        </w:rPr>
      </w:pPr>
      <w:r w:rsidRPr="00C26858">
        <w:rPr>
          <w:lang w:val="en-GB"/>
        </w:rPr>
        <w:t xml:space="preserve">National Institute for Health and Care Excellence (NICE) (2022) </w:t>
      </w:r>
      <w:r w:rsidRPr="00C26858">
        <w:rPr>
          <w:i/>
          <w:iCs/>
          <w:lang w:val="en-GB"/>
        </w:rPr>
        <w:t>Evidence standards framework for digital health technologies</w:t>
      </w:r>
      <w:r w:rsidRPr="00C26858">
        <w:rPr>
          <w:lang w:val="en-GB"/>
        </w:rPr>
        <w:t xml:space="preserve">. Available at: </w:t>
      </w:r>
      <w:hyperlink w:tgtFrame="_blank" w:history="1" r:id="rId15">
        <w:r w:rsidRPr="00C26858">
          <w:rPr>
            <w:rStyle w:val="Hyperlink"/>
            <w:lang w:val="en-GB"/>
          </w:rPr>
          <w:t>https://www.nice.org.uk/corporate/ecd7</w:t>
        </w:r>
      </w:hyperlink>
    </w:p>
    <w:p w:rsidRPr="00C26858" w:rsidR="00C26858" w:rsidP="00C26858" w:rsidRDefault="00C26858" w14:paraId="60388A60" w14:textId="77777777">
      <w:pPr>
        <w:spacing w:before="120" w:after="240"/>
        <w:rPr>
          <w:lang w:val="en-GB"/>
        </w:rPr>
      </w:pPr>
      <w:r w:rsidRPr="00C26858">
        <w:rPr>
          <w:lang w:val="en-GB"/>
        </w:rPr>
        <w:t xml:space="preserve">NHS England (2023a) </w:t>
      </w:r>
      <w:r w:rsidRPr="00C26858">
        <w:rPr>
          <w:i/>
          <w:iCs/>
          <w:lang w:val="en-GB"/>
        </w:rPr>
        <w:t>Delivery plan for recovering access to primary care</w:t>
      </w:r>
      <w:r w:rsidRPr="00C26858">
        <w:rPr>
          <w:lang w:val="en-GB"/>
        </w:rPr>
        <w:t xml:space="preserve">. Available at: </w:t>
      </w:r>
      <w:hyperlink w:tgtFrame="_blank" w:history="1" r:id="rId16">
        <w:r w:rsidRPr="00C26858">
          <w:rPr>
            <w:rStyle w:val="Hyperlink"/>
            <w:lang w:val="en-GB"/>
          </w:rPr>
          <w:t>https://www.england.nhs.uk/long-read/delivery-plan-for-recovering-access-to-primary-care-2/</w:t>
        </w:r>
      </w:hyperlink>
    </w:p>
    <w:p w:rsidRPr="00C26858" w:rsidR="00C26858" w:rsidP="00C26858" w:rsidRDefault="00C26858" w14:paraId="74216C33" w14:textId="77777777">
      <w:pPr>
        <w:spacing w:before="120" w:after="240"/>
        <w:rPr>
          <w:lang w:val="en-GB"/>
        </w:rPr>
      </w:pPr>
      <w:r w:rsidRPr="00C26858">
        <w:rPr>
          <w:lang w:val="en-GB"/>
        </w:rPr>
        <w:t xml:space="preserve">NHS England (2023b) </w:t>
      </w:r>
      <w:r w:rsidRPr="00C26858">
        <w:rPr>
          <w:i/>
          <w:iCs/>
          <w:lang w:val="en-GB"/>
        </w:rPr>
        <w:t>Inclusive digital healthcare: A framework for NHS action on digital inclusion</w:t>
      </w:r>
      <w:r w:rsidRPr="00C26858">
        <w:rPr>
          <w:lang w:val="en-GB"/>
        </w:rPr>
        <w:t xml:space="preserve">. Available at: </w:t>
      </w:r>
      <w:hyperlink w:tgtFrame="_blank" w:history="1" r:id="rId17">
        <w:r w:rsidRPr="00C26858">
          <w:rPr>
            <w:rStyle w:val="Hyperlink"/>
            <w:lang w:val="en-GB"/>
          </w:rPr>
          <w:t>https://www.england.nhs.uk/long-read/inclusive-digital-healthcare-a-framework-for-nhs-action-on-digital-inclusion/</w:t>
        </w:r>
      </w:hyperlink>
    </w:p>
    <w:p w:rsidRPr="00C26858" w:rsidR="00C26858" w:rsidP="00C26858" w:rsidRDefault="00C26858" w14:paraId="4140CCE0" w14:textId="77777777">
      <w:pPr>
        <w:spacing w:before="120" w:after="240"/>
        <w:rPr>
          <w:lang w:val="en-GB"/>
        </w:rPr>
      </w:pPr>
      <w:r w:rsidRPr="00C26858">
        <w:rPr>
          <w:lang w:val="en-GB"/>
        </w:rPr>
        <w:t xml:space="preserve">NHS England (2023c) </w:t>
      </w:r>
      <w:r w:rsidRPr="00C26858">
        <w:rPr>
          <w:i/>
          <w:iCs/>
          <w:lang w:val="en-GB"/>
        </w:rPr>
        <w:t>Accessible Information Standard</w:t>
      </w:r>
      <w:r w:rsidRPr="00C26858">
        <w:rPr>
          <w:lang w:val="en-GB"/>
        </w:rPr>
        <w:t xml:space="preserve">. Available at: </w:t>
      </w:r>
      <w:hyperlink w:tgtFrame="_blank" w:history="1" r:id="rId18">
        <w:r w:rsidRPr="00C26858">
          <w:rPr>
            <w:rStyle w:val="Hyperlink"/>
            <w:lang w:val="en-GB"/>
          </w:rPr>
          <w:t>https://www.england.nhs.uk/about/equality/equality-hub/patient-equalities-programme/equality-frameworks-and-information-standards/accessibleinfo/</w:t>
        </w:r>
      </w:hyperlink>
    </w:p>
    <w:p w:rsidRPr="00C26858" w:rsidR="00C26858" w:rsidP="00C26858" w:rsidRDefault="00C26858" w14:paraId="6E007A06" w14:textId="77777777">
      <w:pPr>
        <w:spacing w:before="120" w:after="240"/>
        <w:rPr>
          <w:lang w:val="en-GB"/>
        </w:rPr>
      </w:pPr>
      <w:r w:rsidRPr="00C26858">
        <w:rPr>
          <w:lang w:val="en-GB"/>
        </w:rPr>
        <w:t xml:space="preserve">NHS England (2024a) </w:t>
      </w:r>
      <w:r w:rsidRPr="00C26858">
        <w:rPr>
          <w:i/>
          <w:iCs/>
          <w:lang w:val="en-GB"/>
        </w:rPr>
        <w:t>Delivery plan for recovering access to primary care: update and actions for 2024/25</w:t>
      </w:r>
      <w:r w:rsidRPr="00C26858">
        <w:rPr>
          <w:lang w:val="en-GB"/>
        </w:rPr>
        <w:t xml:space="preserve">. Available at: </w:t>
      </w:r>
      <w:hyperlink w:tgtFrame="_blank" w:history="1" r:id="rId19">
        <w:r w:rsidRPr="00C26858">
          <w:rPr>
            <w:rStyle w:val="Hyperlink"/>
            <w:lang w:val="en-GB"/>
          </w:rPr>
          <w:t>https://www.england.nhs.uk/long-read/delivery-plan-for-recovering-access-to-primary-care-update-and-actions-for-2024-25/</w:t>
        </w:r>
      </w:hyperlink>
    </w:p>
    <w:p w:rsidRPr="00C26858" w:rsidR="00C26858" w:rsidP="00C26858" w:rsidRDefault="00C26858" w14:paraId="2356316A" w14:textId="77777777">
      <w:pPr>
        <w:spacing w:before="120" w:after="240"/>
        <w:rPr>
          <w:lang w:val="en-GB"/>
        </w:rPr>
      </w:pPr>
      <w:r w:rsidRPr="00C26858">
        <w:rPr>
          <w:lang w:val="en-GB"/>
        </w:rPr>
        <w:t xml:space="preserve">NHS England (2024b) </w:t>
      </w:r>
      <w:r w:rsidRPr="00C26858">
        <w:rPr>
          <w:i/>
          <w:iCs/>
          <w:lang w:val="en-GB"/>
        </w:rPr>
        <w:t>Primary care patient safety strategy</w:t>
      </w:r>
      <w:r w:rsidRPr="00C26858">
        <w:rPr>
          <w:lang w:val="en-GB"/>
        </w:rPr>
        <w:t xml:space="preserve">. Available at: </w:t>
      </w:r>
      <w:hyperlink w:tgtFrame="_blank" w:history="1" r:id="rId20">
        <w:r w:rsidRPr="00C26858">
          <w:rPr>
            <w:rStyle w:val="Hyperlink"/>
            <w:lang w:val="en-GB"/>
          </w:rPr>
          <w:t>https://www.england.nhs.uk/long-read/primary-care-patient-safety-strategy/</w:t>
        </w:r>
      </w:hyperlink>
    </w:p>
    <w:p w:rsidRPr="00C26858" w:rsidR="00C26858" w:rsidP="00C26858" w:rsidRDefault="00C26858" w14:paraId="3CB28573" w14:textId="77777777">
      <w:pPr>
        <w:spacing w:before="120" w:after="240"/>
        <w:rPr>
          <w:lang w:val="en-GB"/>
        </w:rPr>
      </w:pPr>
      <w:r w:rsidRPr="00C26858">
        <w:rPr>
          <w:lang w:val="en-GB"/>
        </w:rPr>
        <w:t xml:space="preserve">Ofcom (2024) </w:t>
      </w:r>
      <w:r w:rsidRPr="00C26858">
        <w:rPr>
          <w:i/>
          <w:iCs/>
          <w:lang w:val="en-GB"/>
        </w:rPr>
        <w:t>Adults’ Media Use and Attitudes Report 2024</w:t>
      </w:r>
      <w:r w:rsidRPr="00C26858">
        <w:rPr>
          <w:lang w:val="en-GB"/>
        </w:rPr>
        <w:t xml:space="preserve">. Available at: </w:t>
      </w:r>
      <w:hyperlink w:tgtFrame="_blank" w:history="1" r:id="rId21">
        <w:r w:rsidRPr="00C26858">
          <w:rPr>
            <w:rStyle w:val="Hyperlink"/>
            <w:lang w:val="en-GB"/>
          </w:rPr>
          <w:t>https://www.ofcom.org.uk/siteassets/resources/documents/research-and-data/media-literacy-research/adults/adults-media-use-and-attitudes-2024/adults-media-use-and-attitudes-report-2024.pdf?v=321395</w:t>
        </w:r>
      </w:hyperlink>
    </w:p>
    <w:p w:rsidRPr="00C26858" w:rsidR="00C26858" w:rsidP="00C26858" w:rsidRDefault="00C26858" w14:paraId="27B673BB" w14:textId="41186A31">
      <w:pPr>
        <w:spacing w:before="120" w:after="240"/>
        <w:rPr>
          <w:lang w:val="en-GB"/>
        </w:rPr>
      </w:pPr>
      <w:r w:rsidRPr="74C9DEA0" w:rsidR="00C26858">
        <w:rPr>
          <w:lang w:val="en-GB"/>
        </w:rPr>
        <w:t xml:space="preserve">Peters, M.D.J., Godfrey, C., McInerney, P., Munn, Z., </w:t>
      </w:r>
      <w:r w:rsidRPr="74C9DEA0" w:rsidR="73163FCE">
        <w:rPr>
          <w:lang w:val="en-GB"/>
        </w:rPr>
        <w:t>Trico</w:t>
      </w:r>
      <w:r w:rsidRPr="74C9DEA0" w:rsidR="00C26858">
        <w:rPr>
          <w:lang w:val="en-GB"/>
        </w:rPr>
        <w:t xml:space="preserve">, A.C. and Khalil, H. (2024) ‘Scoping </w:t>
      </w:r>
      <w:r w:rsidRPr="74C9DEA0" w:rsidR="635E9854">
        <w:rPr>
          <w:lang w:val="en-GB"/>
        </w:rPr>
        <w:t>reviews</w:t>
      </w:r>
      <w:r w:rsidRPr="74C9DEA0" w:rsidR="00C26858">
        <w:rPr>
          <w:lang w:val="en-GB"/>
        </w:rPr>
        <w:t xml:space="preserve">. In: </w:t>
      </w:r>
      <w:r w:rsidRPr="74C9DEA0" w:rsidR="600C1E75">
        <w:rPr>
          <w:lang w:val="en-GB"/>
        </w:rPr>
        <w:t>Aromatases</w:t>
      </w:r>
      <w:r w:rsidRPr="74C9DEA0" w:rsidR="00C26858">
        <w:rPr>
          <w:lang w:val="en-GB"/>
        </w:rPr>
        <w:t xml:space="preserve">, E., Lockwood, C., Porritt, K., Pilla, B. and Jordan, Z. (eds.) </w:t>
      </w:r>
      <w:r w:rsidRPr="74C9DEA0" w:rsidR="00C26858">
        <w:rPr>
          <w:i w:val="1"/>
          <w:iCs w:val="1"/>
          <w:lang w:val="en-GB"/>
        </w:rPr>
        <w:t>JBI Manual for Evidence Synthesis</w:t>
      </w:r>
      <w:r w:rsidRPr="74C9DEA0" w:rsidR="00C26858">
        <w:rPr>
          <w:lang w:val="en-GB"/>
        </w:rPr>
        <w:t xml:space="preserve">. Adelaide: JBI. </w:t>
      </w:r>
      <w:r w:rsidRPr="74C9DEA0" w:rsidR="27DFA0E7">
        <w:rPr>
          <w:lang w:val="en-GB"/>
        </w:rPr>
        <w:t>Doi</w:t>
      </w:r>
      <w:r w:rsidRPr="74C9DEA0" w:rsidR="00C26858">
        <w:rPr>
          <w:lang w:val="en-GB"/>
        </w:rPr>
        <w:t>: 10.46658/JBIMES-24-09.</w:t>
      </w:r>
    </w:p>
    <w:p w:rsidRPr="00C26858" w:rsidR="00C26858" w:rsidP="00C26858" w:rsidRDefault="00C26858" w14:paraId="1D829671" w14:textId="280E8DD9">
      <w:pPr>
        <w:spacing w:before="120" w:after="240"/>
        <w:rPr>
          <w:lang w:val="en-GB"/>
        </w:rPr>
      </w:pPr>
      <w:r w:rsidRPr="74C9DEA0" w:rsidR="00C26858">
        <w:rPr>
          <w:lang w:val="en-GB"/>
        </w:rPr>
        <w:t xml:space="preserve">Tian, Y., Wang, S., Zhang, Y., Meng, </w:t>
      </w:r>
      <w:r w:rsidRPr="74C9DEA0" w:rsidR="00C26858">
        <w:rPr>
          <w:lang w:val="en-GB"/>
        </w:rPr>
        <w:t>L.</w:t>
      </w:r>
      <w:r w:rsidRPr="74C9DEA0" w:rsidR="00C26858">
        <w:rPr>
          <w:lang w:val="en-GB"/>
        </w:rPr>
        <w:t xml:space="preserve"> and Li, X. (2024) ‘Effectiveness of information and communication technology-based integrated care for older adults: A systematic review and meta-analysis’, </w:t>
      </w:r>
      <w:r w:rsidRPr="74C9DEA0" w:rsidR="00C26858">
        <w:rPr>
          <w:i w:val="1"/>
          <w:iCs w:val="1"/>
          <w:lang w:val="en-GB"/>
        </w:rPr>
        <w:t>Frontiers in Public Health</w:t>
      </w:r>
      <w:r w:rsidRPr="74C9DEA0" w:rsidR="00C26858">
        <w:rPr>
          <w:lang w:val="en-GB"/>
        </w:rPr>
        <w:t xml:space="preserve">, 11, Article 1276574. </w:t>
      </w:r>
      <w:r w:rsidRPr="74C9DEA0" w:rsidR="4301A1DA">
        <w:rPr>
          <w:lang w:val="en-GB"/>
        </w:rPr>
        <w:t>Doi</w:t>
      </w:r>
      <w:r w:rsidRPr="74C9DEA0" w:rsidR="00C26858">
        <w:rPr>
          <w:lang w:val="en-GB"/>
        </w:rPr>
        <w:t>: 10.3389/fpubh.2023.1276574.</w:t>
      </w:r>
    </w:p>
    <w:p w:rsidRPr="00C26858" w:rsidR="00C26858" w:rsidP="00C26858" w:rsidRDefault="00C26858" w14:paraId="35D227CC" w14:textId="4803127A">
      <w:pPr>
        <w:spacing w:before="120" w:after="240"/>
        <w:rPr>
          <w:lang w:val="en-GB"/>
        </w:rPr>
      </w:pPr>
      <w:r w:rsidRPr="74C9DEA0" w:rsidR="00C26858">
        <w:rPr>
          <w:lang w:val="en-GB"/>
        </w:rPr>
        <w:t xml:space="preserve">Yi, M., Hui, Y., Hu, L., Zhang, </w:t>
      </w:r>
      <w:r w:rsidRPr="74C9DEA0" w:rsidR="00C26858">
        <w:rPr>
          <w:lang w:val="en-GB"/>
        </w:rPr>
        <w:t>W.</w:t>
      </w:r>
      <w:r w:rsidRPr="74C9DEA0" w:rsidR="00C26858">
        <w:rPr>
          <w:lang w:val="en-GB"/>
        </w:rPr>
        <w:t xml:space="preserve"> and Wang, Z. (2024) ‘The experiences and perceptions of older adults with multimorbidity toward e-health care: A qualitative evidence synthesis’, </w:t>
      </w:r>
      <w:r w:rsidRPr="74C9DEA0" w:rsidR="00C26858">
        <w:rPr>
          <w:i w:val="1"/>
          <w:iCs w:val="1"/>
          <w:lang w:val="en-GB"/>
        </w:rPr>
        <w:t>Telemedicine and e-Health</w:t>
      </w:r>
      <w:r w:rsidRPr="74C9DEA0" w:rsidR="00C26858">
        <w:rPr>
          <w:lang w:val="en-GB"/>
        </w:rPr>
        <w:t xml:space="preserve">, 30(10), pp. 2527–2544. </w:t>
      </w:r>
      <w:r w:rsidRPr="74C9DEA0" w:rsidR="00944970">
        <w:rPr>
          <w:lang w:val="en-GB"/>
        </w:rPr>
        <w:t>Doi</w:t>
      </w:r>
      <w:r w:rsidRPr="74C9DEA0" w:rsidR="00C26858">
        <w:rPr>
          <w:lang w:val="en-GB"/>
        </w:rPr>
        <w:t>: 10.1089/tmj.2024.0211.</w:t>
      </w:r>
    </w:p>
    <w:p w:rsidRPr="00C26858" w:rsidR="00EB7820" w:rsidP="00C26858" w:rsidRDefault="00C26858" w14:paraId="0321DA7E" w14:textId="7AA537CE">
      <w:pPr>
        <w:spacing w:before="120" w:after="240"/>
        <w:rPr>
          <w:lang w:val="en-GB"/>
        </w:rPr>
      </w:pPr>
      <w:r w:rsidRPr="74C9DEA0" w:rsidR="00C26858">
        <w:rPr>
          <w:lang w:val="en-GB"/>
        </w:rPr>
        <w:t xml:space="preserve">Zhang, Y., Leuk, J.S. and Teo, W.P. (2023) ‘Domains, feasibility, effectiveness, cost, and acceptability of telehealth in aging care: Scoping review of systematic reviews’, </w:t>
      </w:r>
      <w:r w:rsidRPr="74C9DEA0" w:rsidR="00C26858">
        <w:rPr>
          <w:i w:val="1"/>
          <w:iCs w:val="1"/>
          <w:lang w:val="en-GB"/>
        </w:rPr>
        <w:t>JMIR Aging</w:t>
      </w:r>
      <w:r w:rsidRPr="74C9DEA0" w:rsidR="00C26858">
        <w:rPr>
          <w:lang w:val="en-GB"/>
        </w:rPr>
        <w:t xml:space="preserve">, 6, Article e40460. </w:t>
      </w:r>
      <w:r w:rsidRPr="74C9DEA0" w:rsidR="05E9CFE1">
        <w:rPr>
          <w:lang w:val="en-GB"/>
        </w:rPr>
        <w:t>Doi</w:t>
      </w:r>
      <w:r w:rsidRPr="74C9DEA0" w:rsidR="00C26858">
        <w:rPr>
          <w:lang w:val="en-GB"/>
        </w:rPr>
        <w:t>: 10.2196/40460.</w:t>
      </w:r>
    </w:p>
    <w:sectPr w:rsidRPr="00C26858" w:rsidR="00EB7820" w:rsidSect="00034616">
      <w:pgSz w:w="12240" w:h="15840" w:orient="portrait"/>
      <w:pgMar w:top="1440" w:right="1440" w:bottom="1440" w:left="1440" w:header="680" w:footer="68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862F6" w:rsidRDefault="008862F6" w14:paraId="6B54F6FB" w14:textId="77777777">
      <w:pPr>
        <w:spacing w:after="0" w:line="240" w:lineRule="auto"/>
      </w:pPr>
      <w:r>
        <w:separator/>
      </w:r>
    </w:p>
  </w:endnote>
  <w:endnote w:type="continuationSeparator" w:id="0">
    <w:p w:rsidR="008862F6" w:rsidRDefault="008862F6" w14:paraId="0656F6C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B7820" w:rsidRDefault="00A90C61" w14:paraId="127C1292" w14:textId="534514F0">
    <w:pPr>
      <w:pStyle w:val="Footer"/>
      <w:jc w:val="center"/>
    </w:pPr>
    <w:r>
      <w:rPr>
        <w:sz w:val="18"/>
      </w:rPr>
      <w:fldChar w:fldCharType="begin"/>
    </w:r>
    <w:r>
      <w:rPr>
        <w:sz w:val="18"/>
      </w:rPr>
      <w:instrText xml:space="preserve"> PAGE </w:instrText>
    </w:r>
    <w:r>
      <w:rPr>
        <w:sz w:val="18"/>
      </w:rPr>
      <w:fldChar w:fldCharType="separate"/>
    </w:r>
    <w:r w:rsidR="00C740CB">
      <w:rPr>
        <w:noProof/>
        <w:sz w:val="18"/>
      </w:rPr>
      <w:t>2</w:t>
    </w:r>
    <w:r>
      <w:rPr>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862F6" w:rsidRDefault="008862F6" w14:paraId="3219E4D3" w14:textId="77777777">
      <w:pPr>
        <w:spacing w:after="0" w:line="240" w:lineRule="auto"/>
      </w:pPr>
      <w:r>
        <w:separator/>
      </w:r>
    </w:p>
  </w:footnote>
  <w:footnote w:type="continuationSeparator" w:id="0">
    <w:p w:rsidR="008862F6" w:rsidRDefault="008862F6" w14:paraId="21CE05D2"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5vsGIQ+vwC/XR5" int2:id="QQsfS3hJ">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abstractNum w:abstractNumId="9" w15:restartNumberingAfterBreak="0">
    <w:nsid w:val="13752514"/>
    <w:multiLevelType w:val="hybridMultilevel"/>
    <w:tmpl w:val="61FA26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5067E96"/>
    <w:multiLevelType w:val="multilevel"/>
    <w:tmpl w:val="13B0B3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432100F2"/>
    <w:multiLevelType w:val="hybridMultilevel"/>
    <w:tmpl w:val="047C84F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5DBC41F7"/>
    <w:multiLevelType w:val="hybridMultilevel"/>
    <w:tmpl w:val="B4302DD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3" w15:restartNumberingAfterBreak="0">
    <w:nsid w:val="7751315C"/>
    <w:multiLevelType w:val="multilevel"/>
    <w:tmpl w:val="B5FC13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22882375">
    <w:abstractNumId w:val="8"/>
  </w:num>
  <w:num w:numId="2" w16cid:durableId="186482093">
    <w:abstractNumId w:val="6"/>
  </w:num>
  <w:num w:numId="3" w16cid:durableId="988901905">
    <w:abstractNumId w:val="5"/>
  </w:num>
  <w:num w:numId="4" w16cid:durableId="681394753">
    <w:abstractNumId w:val="4"/>
  </w:num>
  <w:num w:numId="5" w16cid:durableId="1291087273">
    <w:abstractNumId w:val="7"/>
  </w:num>
  <w:num w:numId="6" w16cid:durableId="1896700883">
    <w:abstractNumId w:val="3"/>
  </w:num>
  <w:num w:numId="7" w16cid:durableId="1919052032">
    <w:abstractNumId w:val="2"/>
  </w:num>
  <w:num w:numId="8" w16cid:durableId="166332417">
    <w:abstractNumId w:val="1"/>
  </w:num>
  <w:num w:numId="9" w16cid:durableId="1129782131">
    <w:abstractNumId w:val="0"/>
  </w:num>
  <w:num w:numId="10" w16cid:durableId="395781275">
    <w:abstractNumId w:val="11"/>
  </w:num>
  <w:num w:numId="11" w16cid:durableId="690182216">
    <w:abstractNumId w:val="9"/>
  </w:num>
  <w:num w:numId="12" w16cid:durableId="2011324557">
    <w:abstractNumId w:val="13"/>
  </w:num>
  <w:num w:numId="13" w16cid:durableId="732117436">
    <w:abstractNumId w:val="10"/>
  </w:num>
  <w:num w:numId="14" w16cid:durableId="1668442494">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0000"/>
    <w:rsid w:val="00034616"/>
    <w:rsid w:val="0006063C"/>
    <w:rsid w:val="000E7267"/>
    <w:rsid w:val="0015074B"/>
    <w:rsid w:val="0017240B"/>
    <w:rsid w:val="001A7B5D"/>
    <w:rsid w:val="001C6B71"/>
    <w:rsid w:val="00224933"/>
    <w:rsid w:val="0029639D"/>
    <w:rsid w:val="002C1A8B"/>
    <w:rsid w:val="00326F90"/>
    <w:rsid w:val="003E3C52"/>
    <w:rsid w:val="004819D4"/>
    <w:rsid w:val="004A0829"/>
    <w:rsid w:val="004D6F1D"/>
    <w:rsid w:val="004D7C75"/>
    <w:rsid w:val="00573BD6"/>
    <w:rsid w:val="005E3C3F"/>
    <w:rsid w:val="0064254F"/>
    <w:rsid w:val="007136D5"/>
    <w:rsid w:val="00740B52"/>
    <w:rsid w:val="007A58B2"/>
    <w:rsid w:val="007B58DF"/>
    <w:rsid w:val="00804689"/>
    <w:rsid w:val="008862F6"/>
    <w:rsid w:val="00944970"/>
    <w:rsid w:val="00980E71"/>
    <w:rsid w:val="0098E745"/>
    <w:rsid w:val="009B1DA6"/>
    <w:rsid w:val="009D67CF"/>
    <w:rsid w:val="009E132A"/>
    <w:rsid w:val="00A90C61"/>
    <w:rsid w:val="00AA1D8D"/>
    <w:rsid w:val="00AF25BA"/>
    <w:rsid w:val="00B4041D"/>
    <w:rsid w:val="00B47730"/>
    <w:rsid w:val="00C20FAD"/>
    <w:rsid w:val="00C26858"/>
    <w:rsid w:val="00C27381"/>
    <w:rsid w:val="00C740CB"/>
    <w:rsid w:val="00C86B0F"/>
    <w:rsid w:val="00C87FD6"/>
    <w:rsid w:val="00CB0664"/>
    <w:rsid w:val="00CD753A"/>
    <w:rsid w:val="00D100E0"/>
    <w:rsid w:val="00E30548"/>
    <w:rsid w:val="00E538FD"/>
    <w:rsid w:val="00EB7820"/>
    <w:rsid w:val="00F214C0"/>
    <w:rsid w:val="00FB0514"/>
    <w:rsid w:val="00FC693F"/>
    <w:rsid w:val="01A4A092"/>
    <w:rsid w:val="05035B8B"/>
    <w:rsid w:val="05058EB9"/>
    <w:rsid w:val="0516F4F9"/>
    <w:rsid w:val="05B460E7"/>
    <w:rsid w:val="05DEE21E"/>
    <w:rsid w:val="05E9CFE1"/>
    <w:rsid w:val="06618BB6"/>
    <w:rsid w:val="067C91B7"/>
    <w:rsid w:val="0863E4B2"/>
    <w:rsid w:val="08FAC95C"/>
    <w:rsid w:val="09121A69"/>
    <w:rsid w:val="09908D4F"/>
    <w:rsid w:val="0A394423"/>
    <w:rsid w:val="0BBC0400"/>
    <w:rsid w:val="0BC78D6B"/>
    <w:rsid w:val="0DC12105"/>
    <w:rsid w:val="0F781413"/>
    <w:rsid w:val="0F7CA6FE"/>
    <w:rsid w:val="11915435"/>
    <w:rsid w:val="11AF6077"/>
    <w:rsid w:val="11D58ED4"/>
    <w:rsid w:val="11E7AB11"/>
    <w:rsid w:val="12C48112"/>
    <w:rsid w:val="140BB2E0"/>
    <w:rsid w:val="158B29C8"/>
    <w:rsid w:val="15A8B758"/>
    <w:rsid w:val="15E64EEA"/>
    <w:rsid w:val="1685D2C0"/>
    <w:rsid w:val="16CAE709"/>
    <w:rsid w:val="172B6B33"/>
    <w:rsid w:val="17D5C571"/>
    <w:rsid w:val="1A3F434D"/>
    <w:rsid w:val="1A563110"/>
    <w:rsid w:val="1D77B6F2"/>
    <w:rsid w:val="1E5D59A2"/>
    <w:rsid w:val="201F88BC"/>
    <w:rsid w:val="208751B3"/>
    <w:rsid w:val="208DD7CB"/>
    <w:rsid w:val="2141357C"/>
    <w:rsid w:val="2181E353"/>
    <w:rsid w:val="21C7C0E6"/>
    <w:rsid w:val="22EF8D8E"/>
    <w:rsid w:val="2383F8A7"/>
    <w:rsid w:val="241BD2DB"/>
    <w:rsid w:val="2425A6D6"/>
    <w:rsid w:val="2518B041"/>
    <w:rsid w:val="25921C1E"/>
    <w:rsid w:val="261858BD"/>
    <w:rsid w:val="26A21F6E"/>
    <w:rsid w:val="26C7DD05"/>
    <w:rsid w:val="26DE1FCE"/>
    <w:rsid w:val="274950A7"/>
    <w:rsid w:val="27DFA0E7"/>
    <w:rsid w:val="286108EE"/>
    <w:rsid w:val="2929F290"/>
    <w:rsid w:val="2A6CB16E"/>
    <w:rsid w:val="2A8B5FC0"/>
    <w:rsid w:val="2EEBCA46"/>
    <w:rsid w:val="2F787583"/>
    <w:rsid w:val="303CC132"/>
    <w:rsid w:val="306FAD86"/>
    <w:rsid w:val="31C0786A"/>
    <w:rsid w:val="32582F01"/>
    <w:rsid w:val="32C705C4"/>
    <w:rsid w:val="3319274E"/>
    <w:rsid w:val="331C5586"/>
    <w:rsid w:val="337B770E"/>
    <w:rsid w:val="34397E44"/>
    <w:rsid w:val="3521AA26"/>
    <w:rsid w:val="356A2CDA"/>
    <w:rsid w:val="35F1E88B"/>
    <w:rsid w:val="36823E22"/>
    <w:rsid w:val="384789E7"/>
    <w:rsid w:val="3AC1B44C"/>
    <w:rsid w:val="3B29D3A5"/>
    <w:rsid w:val="3D1C727F"/>
    <w:rsid w:val="3E26C778"/>
    <w:rsid w:val="3F231AFD"/>
    <w:rsid w:val="3FA57CD0"/>
    <w:rsid w:val="40EDB439"/>
    <w:rsid w:val="42612AD0"/>
    <w:rsid w:val="4301A1DA"/>
    <w:rsid w:val="447FB96A"/>
    <w:rsid w:val="450F28D0"/>
    <w:rsid w:val="4591E198"/>
    <w:rsid w:val="491FE0F7"/>
    <w:rsid w:val="49541192"/>
    <w:rsid w:val="4A47F8DB"/>
    <w:rsid w:val="4A4B2AE5"/>
    <w:rsid w:val="4F30E525"/>
    <w:rsid w:val="4F86DD1E"/>
    <w:rsid w:val="5024F14D"/>
    <w:rsid w:val="50726805"/>
    <w:rsid w:val="508AADBB"/>
    <w:rsid w:val="514F8DD5"/>
    <w:rsid w:val="5197B18D"/>
    <w:rsid w:val="51CEEB4E"/>
    <w:rsid w:val="51DBDA42"/>
    <w:rsid w:val="524F91CF"/>
    <w:rsid w:val="5358EC2D"/>
    <w:rsid w:val="543488A4"/>
    <w:rsid w:val="54A4097F"/>
    <w:rsid w:val="54CFA257"/>
    <w:rsid w:val="5631DC49"/>
    <w:rsid w:val="5667D357"/>
    <w:rsid w:val="567EE8EF"/>
    <w:rsid w:val="5821E37B"/>
    <w:rsid w:val="5855F2B8"/>
    <w:rsid w:val="585ED61E"/>
    <w:rsid w:val="59207253"/>
    <w:rsid w:val="5940EDDD"/>
    <w:rsid w:val="59C2B5C9"/>
    <w:rsid w:val="5A5F4799"/>
    <w:rsid w:val="5A928DCA"/>
    <w:rsid w:val="5AF327EF"/>
    <w:rsid w:val="5B1026DB"/>
    <w:rsid w:val="5B746EDC"/>
    <w:rsid w:val="5BBCAB81"/>
    <w:rsid w:val="5CFC85FC"/>
    <w:rsid w:val="5EA9A458"/>
    <w:rsid w:val="5EF0AFDE"/>
    <w:rsid w:val="5F1FFD87"/>
    <w:rsid w:val="60027540"/>
    <w:rsid w:val="600C1E75"/>
    <w:rsid w:val="6059DB68"/>
    <w:rsid w:val="6095D286"/>
    <w:rsid w:val="620E3A9A"/>
    <w:rsid w:val="6353FF2C"/>
    <w:rsid w:val="635E9854"/>
    <w:rsid w:val="636162F3"/>
    <w:rsid w:val="644C0A9F"/>
    <w:rsid w:val="64A6CFD0"/>
    <w:rsid w:val="6595B726"/>
    <w:rsid w:val="6778AE24"/>
    <w:rsid w:val="678337A3"/>
    <w:rsid w:val="678CC8B0"/>
    <w:rsid w:val="681FE748"/>
    <w:rsid w:val="68DC6A86"/>
    <w:rsid w:val="695AEED1"/>
    <w:rsid w:val="69CF60B2"/>
    <w:rsid w:val="6AFCB9CB"/>
    <w:rsid w:val="6B84D8A1"/>
    <w:rsid w:val="6B8ECBE7"/>
    <w:rsid w:val="6BD45E81"/>
    <w:rsid w:val="6D8E5C9B"/>
    <w:rsid w:val="6DDCF7AC"/>
    <w:rsid w:val="6FD4D41E"/>
    <w:rsid w:val="7020020F"/>
    <w:rsid w:val="71AAB2CA"/>
    <w:rsid w:val="721016F0"/>
    <w:rsid w:val="72875DEE"/>
    <w:rsid w:val="73163FCE"/>
    <w:rsid w:val="7355509C"/>
    <w:rsid w:val="7379D35A"/>
    <w:rsid w:val="739BAF21"/>
    <w:rsid w:val="73ED0316"/>
    <w:rsid w:val="74C9DEA0"/>
    <w:rsid w:val="756DE8F1"/>
    <w:rsid w:val="756DF590"/>
    <w:rsid w:val="7788DFEB"/>
    <w:rsid w:val="77C76643"/>
    <w:rsid w:val="77D08255"/>
    <w:rsid w:val="799FCAF6"/>
    <w:rsid w:val="7A2902EA"/>
    <w:rsid w:val="7A4F43EA"/>
    <w:rsid w:val="7B14CC76"/>
    <w:rsid w:val="7B4B2C20"/>
    <w:rsid w:val="7BD28F8A"/>
    <w:rsid w:val="7D264D21"/>
    <w:rsid w:val="7D42AF24"/>
    <w:rsid w:val="7DA61B2D"/>
    <w:rsid w:val="7EA7534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92CF1682-E79D-491D-8012-97940A1EC2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pPr>
      <w:spacing w:after="120" w:line="360" w:lineRule="auto"/>
      <w:jc w:val="both"/>
    </w:pPr>
    <w:rPr>
      <w:rFonts w:ascii="Arial" w:hAnsi="Arial" w:eastAsia="Arial"/>
    </w:rPr>
  </w:style>
  <w:style w:type="paragraph" w:styleId="Heading1">
    <w:name w:val="heading 1"/>
    <w:basedOn w:val="Normal"/>
    <w:next w:val="Normal"/>
    <w:link w:val="Heading1Char"/>
    <w:uiPriority w:val="9"/>
    <w:qFormat/>
    <w:rsid w:val="0064254F"/>
    <w:pPr>
      <w:keepNext/>
      <w:keepLines/>
      <w:spacing w:before="120" w:after="240" w:line="240" w:lineRule="auto"/>
      <w:outlineLvl w:val="0"/>
    </w:pPr>
    <w:rPr>
      <w:rFonts w:eastAsiaTheme="majorEastAsia" w:cstheme="majorBidi"/>
      <w:b/>
      <w:bCs/>
      <w:color w:val="000000" w:themeColor="text1"/>
      <w:sz w:val="24"/>
      <w:szCs w:val="28"/>
    </w:rPr>
  </w:style>
  <w:style w:type="paragraph" w:styleId="Heading2">
    <w:name w:val="heading 2"/>
    <w:basedOn w:val="Normal"/>
    <w:next w:val="Normal"/>
    <w:link w:val="Heading2Char"/>
    <w:uiPriority w:val="9"/>
    <w:unhideWhenUsed/>
    <w:qFormat/>
    <w:rsid w:val="0064254F"/>
    <w:pPr>
      <w:keepNext/>
      <w:keepLines/>
      <w:spacing w:before="120" w:after="240" w:line="240" w:lineRule="auto"/>
      <w:outlineLvl w:val="1"/>
    </w:pPr>
    <w:rPr>
      <w:rFonts w:eastAsiaTheme="majorEastAsia" w:cstheme="majorBidi"/>
      <w:b/>
      <w:bCs/>
      <w:i/>
      <w:color w:val="000000" w:themeColor="text1"/>
      <w:szCs w:val="26"/>
    </w:rPr>
  </w:style>
  <w:style w:type="paragraph" w:styleId="Heading3">
    <w:name w:val="heading 3"/>
    <w:basedOn w:val="Normal"/>
    <w:next w:val="Normal"/>
    <w:link w:val="Heading3Char"/>
    <w:uiPriority w:val="9"/>
    <w:unhideWhenUsed/>
    <w:qFormat/>
    <w:rsid w:val="00FC693F"/>
    <w:pPr>
      <w:keepNext/>
      <w:keepLines/>
      <w:spacing w:before="160" w:after="80"/>
      <w:outlineLvl w:val="2"/>
    </w:pPr>
    <w:rPr>
      <w:rFonts w:asciiTheme="majorHAnsi" w:hAnsiTheme="majorHAnsi" w:eastAsiaTheme="majorEastAsia" w:cstheme="majorBidi"/>
      <w:b/>
      <w:bCs/>
      <w:color w:val="2F5597"/>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64254F"/>
    <w:rPr>
      <w:rFonts w:ascii="Arial" w:hAnsi="Arial" w:eastAsiaTheme="majorEastAsia" w:cstheme="majorBidi"/>
      <w:b/>
      <w:bCs/>
      <w:color w:val="000000" w:themeColor="text1"/>
      <w:sz w:val="24"/>
      <w:szCs w:val="28"/>
    </w:rPr>
  </w:style>
  <w:style w:type="character" w:styleId="Heading2Char" w:customStyle="1">
    <w:name w:val="Heading 2 Char"/>
    <w:basedOn w:val="DefaultParagraphFont"/>
    <w:link w:val="Heading2"/>
    <w:uiPriority w:val="9"/>
    <w:rsid w:val="0064254F"/>
    <w:rPr>
      <w:rFonts w:ascii="Arial" w:hAnsi="Arial" w:eastAsiaTheme="majorEastAsia" w:cstheme="majorBidi"/>
      <w:b/>
      <w:bCs/>
      <w:i/>
      <w:color w:val="000000" w:themeColor="text1"/>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b/>
      <w:color w:val="17365D"/>
      <w:spacing w:val="5"/>
      <w:kern w:val="28"/>
      <w:sz w:val="36"/>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spacing w:after="60"/>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spacing w:after="60"/>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ableText" w:customStyle="1">
    <w:name w:val="Table Text"/>
    <w:pPr>
      <w:spacing w:after="0" w:line="228" w:lineRule="auto"/>
    </w:pPr>
    <w:rPr>
      <w:rFonts w:ascii="Arial" w:hAnsi="Arial" w:eastAsia="Arial"/>
      <w:sz w:val="16"/>
    </w:rPr>
  </w:style>
  <w:style w:type="paragraph" w:styleId="Reference" w:customStyle="1">
    <w:name w:val="Reference"/>
    <w:pPr>
      <w:spacing w:after="100"/>
      <w:ind w:left="425" w:hanging="425"/>
    </w:pPr>
    <w:rPr>
      <w:rFonts w:ascii="Arial" w:hAnsi="Arial" w:eastAsia="Arial"/>
      <w:sz w:val="20"/>
    </w:rPr>
  </w:style>
  <w:style w:type="character" w:styleId="cursor-pointer" w:customStyle="1">
    <w:name w:val="cursor-pointer"/>
    <w:basedOn w:val="DefaultParagraphFont"/>
    <w:rsid w:val="00C27381"/>
  </w:style>
  <w:style w:type="character" w:styleId="Hyperlink">
    <w:name w:val="Hyperlink"/>
    <w:basedOn w:val="DefaultParagraphFont"/>
    <w:uiPriority w:val="99"/>
    <w:unhideWhenUsed/>
    <w:rsid w:val="00C26858"/>
    <w:rPr>
      <w:color w:val="0000FF" w:themeColor="hyperlink"/>
      <w:u w:val="single"/>
    </w:rPr>
  </w:style>
  <w:style w:type="character" w:styleId="UnresolvedMention">
    <w:name w:val="Unresolved Mention"/>
    <w:basedOn w:val="DefaultParagraphFont"/>
    <w:uiPriority w:val="99"/>
    <w:semiHidden/>
    <w:unhideWhenUsed/>
    <w:rsid w:val="00C26858"/>
    <w:rPr>
      <w:color w:val="605E5C"/>
      <w:shd w:val="clear" w:color="auto" w:fill="E1DFDD"/>
    </w:rPr>
  </w:style>
  <w:style w:type="paragraph" w:styleId="TOC1">
    <w:name w:val="toc 1"/>
    <w:basedOn w:val="Normal"/>
    <w:next w:val="Normal"/>
    <w:autoRedefine/>
    <w:uiPriority w:val="39"/>
    <w:unhideWhenUsed/>
    <w:rsid w:val="00C26858"/>
    <w:pPr>
      <w:spacing w:after="100"/>
    </w:pPr>
  </w:style>
  <w:style w:type="paragraph" w:styleId="TOC2">
    <w:name w:val="toc 2"/>
    <w:basedOn w:val="Normal"/>
    <w:next w:val="Normal"/>
    <w:autoRedefine/>
    <w:uiPriority w:val="39"/>
    <w:unhideWhenUsed/>
    <w:rsid w:val="00C2685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www.cqc.org.uk/publications/major-report/state-care/2023-2024" TargetMode="External" Id="rId13" /><Relationship Type="http://schemas.openxmlformats.org/officeDocument/2006/relationships/hyperlink" Target="https://www.england.nhs.uk/about/equality/equality-hub/patient-equalities-programme/equality-frameworks-and-information-standards/accessibleinfo/" TargetMode="External" Id="rId18" /><Relationship Type="http://schemas.openxmlformats.org/officeDocument/2006/relationships/styles" Target="styles.xml" Id="rId3" /><Relationship Type="http://schemas.openxmlformats.org/officeDocument/2006/relationships/hyperlink" Target="https://www.ofcom.org.uk/siteassets/resources/documents/research-and-data/media-literacy-research/adults/adults-media-use-and-attitudes-2024/adults-media-use-and-attitudes-report-2024.pdf?v=321395" TargetMode="External" Id="rId21" /><Relationship Type="http://schemas.openxmlformats.org/officeDocument/2006/relationships/endnotes" Target="endnotes.xml" Id="rId7" /><Relationship Type="http://schemas.openxmlformats.org/officeDocument/2006/relationships/hyperlink" Target="https://www.ageuk.org.uk/siteassets/documents/reports-and-publications/reports-and-briefings/offline-and-overlooked-report.pdf" TargetMode="External" Id="rId12" /><Relationship Type="http://schemas.openxmlformats.org/officeDocument/2006/relationships/hyperlink" Target="https://www.england.nhs.uk/long-read/inclusive-digital-healthcare-a-framework-for-nhs-action-on-digital-inclusion/" TargetMode="External" Id="rId17" /><Relationship Type="http://schemas.openxmlformats.org/officeDocument/2006/relationships/numbering" Target="numbering.xml" Id="rId2" /><Relationship Type="http://schemas.openxmlformats.org/officeDocument/2006/relationships/hyperlink" Target="https://www.england.nhs.uk/long-read/delivery-plan-for-recovering-access-to-primary-care-2/" TargetMode="External" Id="rId16" /><Relationship Type="http://schemas.openxmlformats.org/officeDocument/2006/relationships/hyperlink" Target="https://www.england.nhs.uk/long-read/primary-care-patient-safety-strategy/" TargetMode="Externa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hyperlink" Target="https://www.nice.org.uk/corporate/ecd7" TargetMode="External" Id="rId15" /><Relationship Type="http://schemas.openxmlformats.org/officeDocument/2006/relationships/theme" Target="theme/theme1.xml" Id="rId23" /><Relationship Type="http://schemas.openxmlformats.org/officeDocument/2006/relationships/image" Target="media/image3.png" Id="rId10" /><Relationship Type="http://schemas.openxmlformats.org/officeDocument/2006/relationships/hyperlink" Target="https://www.england.nhs.uk/long-read/delivery-plan-for-recovering-access-to-primary-care-update-and-actions-for-2024-25/" TargetMode="Externa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casp-uk.net/casp-tools-checklists/" TargetMode="External" Id="rId14" /><Relationship Type="http://schemas.openxmlformats.org/officeDocument/2006/relationships/fontTable" Target="fontTable.xml" Id="rId22" /><Relationship Type="http://schemas.microsoft.com/office/2020/10/relationships/intelligence" Target="intelligence2.xml" Id="Rdffe54fddf19456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Patricia Chidimma Anucha (2412552)</lastModifiedBy>
  <revision>7</revision>
  <dcterms:created xsi:type="dcterms:W3CDTF">2013-12-23T23:15:00.0000000Z</dcterms:created>
  <dcterms:modified xsi:type="dcterms:W3CDTF">2026-08-13T09:40:29.9523542Z</dcterms:modified>
  <category/>
</coreProperties>
</file>