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E9BCB" w14:textId="77777777" w:rsidR="00F600F4" w:rsidRDefault="00F600F4" w:rsidP="00E34695">
      <w:pPr>
        <w:spacing w:before="120"/>
        <w:jc w:val="center"/>
        <w:rPr>
          <w:rFonts w:cs="Arial"/>
          <w:b/>
          <w:color w:val="000000" w:themeColor="text1"/>
        </w:rPr>
      </w:pPr>
      <w:r>
        <w:rPr>
          <w:rFonts w:cs="Arial"/>
          <w:b/>
          <w:noProof/>
          <w:color w:val="000000" w:themeColor="text1"/>
        </w:rPr>
        <w:drawing>
          <wp:anchor distT="0" distB="0" distL="114300" distR="114300" simplePos="0" relativeHeight="251658240" behindDoc="0" locked="0" layoutInCell="1" allowOverlap="1" wp14:anchorId="0B42D387" wp14:editId="7AFFA267">
            <wp:simplePos x="0" y="0"/>
            <wp:positionH relativeFrom="column">
              <wp:posOffset>329565</wp:posOffset>
            </wp:positionH>
            <wp:positionV relativeFrom="paragraph">
              <wp:posOffset>-99060</wp:posOffset>
            </wp:positionV>
            <wp:extent cx="5181600" cy="2711704"/>
            <wp:effectExtent l="190500" t="190500" r="171450" b="165100"/>
            <wp:wrapNone/>
            <wp:docPr id="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pic:cNvPicPr>
                      <a:picLocks noChangeAspect="1" noChangeArrowheads="1"/>
                    </pic:cNvPicPr>
                  </pic:nvPicPr>
                  <pic:blipFill>
                    <a:blip r:embed="rId8"/>
                    <a:stretch>
                      <a:fillRect/>
                    </a:stretch>
                  </pic:blipFill>
                  <pic:spPr bwMode="auto">
                    <a:xfrm>
                      <a:off x="0" y="0"/>
                      <a:ext cx="5181600" cy="2711704"/>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546B7E68" w14:textId="77777777" w:rsidR="00F600F4" w:rsidRDefault="00F600F4" w:rsidP="00E34695">
      <w:pPr>
        <w:spacing w:before="120"/>
        <w:jc w:val="center"/>
        <w:rPr>
          <w:rFonts w:cs="Arial"/>
          <w:b/>
          <w:color w:val="000000" w:themeColor="text1"/>
        </w:rPr>
      </w:pPr>
    </w:p>
    <w:p w14:paraId="3ADD3672" w14:textId="77777777" w:rsidR="00F600F4" w:rsidRDefault="00F600F4" w:rsidP="00E34695">
      <w:pPr>
        <w:spacing w:before="120"/>
        <w:jc w:val="center"/>
        <w:rPr>
          <w:rFonts w:cs="Arial"/>
          <w:b/>
          <w:color w:val="000000" w:themeColor="text1"/>
        </w:rPr>
      </w:pPr>
    </w:p>
    <w:p w14:paraId="537E8503" w14:textId="77777777" w:rsidR="00F600F4" w:rsidRDefault="00F600F4" w:rsidP="00E34695">
      <w:pPr>
        <w:spacing w:before="120"/>
        <w:jc w:val="center"/>
        <w:rPr>
          <w:rFonts w:cs="Arial"/>
          <w:b/>
          <w:color w:val="000000" w:themeColor="text1"/>
        </w:rPr>
      </w:pPr>
    </w:p>
    <w:p w14:paraId="37C19683" w14:textId="77777777" w:rsidR="00F600F4" w:rsidRDefault="00F600F4" w:rsidP="00E34695">
      <w:pPr>
        <w:spacing w:before="120"/>
        <w:jc w:val="center"/>
        <w:rPr>
          <w:rFonts w:cs="Arial"/>
          <w:b/>
          <w:color w:val="000000" w:themeColor="text1"/>
        </w:rPr>
      </w:pPr>
    </w:p>
    <w:p w14:paraId="607CE597" w14:textId="77777777" w:rsidR="006F7ED3" w:rsidRDefault="006F7ED3" w:rsidP="00E34695">
      <w:pPr>
        <w:spacing w:before="120"/>
        <w:jc w:val="center"/>
        <w:rPr>
          <w:rFonts w:cs="Arial"/>
          <w:b/>
          <w:color w:val="000000" w:themeColor="text1"/>
          <w:sz w:val="32"/>
          <w:szCs w:val="32"/>
        </w:rPr>
      </w:pPr>
    </w:p>
    <w:p w14:paraId="12386470" w14:textId="0E0FD53C" w:rsidR="006F7ED3" w:rsidRDefault="006F7ED3" w:rsidP="00E34695">
      <w:pPr>
        <w:spacing w:before="120"/>
        <w:jc w:val="center"/>
        <w:rPr>
          <w:rFonts w:cs="Arial"/>
          <w:b/>
          <w:color w:val="000000" w:themeColor="text1"/>
          <w:sz w:val="32"/>
          <w:szCs w:val="32"/>
        </w:rPr>
      </w:pPr>
    </w:p>
    <w:p w14:paraId="71509FA0" w14:textId="74714AF5" w:rsidR="006F7ED3" w:rsidRDefault="006F7ED3" w:rsidP="0053644D">
      <w:pPr>
        <w:spacing w:before="120"/>
        <w:rPr>
          <w:rFonts w:cs="Arial"/>
          <w:b/>
          <w:color w:val="000000" w:themeColor="text1"/>
          <w:sz w:val="32"/>
          <w:szCs w:val="32"/>
        </w:rPr>
      </w:pPr>
    </w:p>
    <w:p w14:paraId="63C94F90" w14:textId="65B98000" w:rsidR="00BC7DFE" w:rsidRPr="0053644D" w:rsidRDefault="00EC1748" w:rsidP="00E34695">
      <w:pPr>
        <w:spacing w:before="120"/>
        <w:jc w:val="center"/>
        <w:rPr>
          <w:rFonts w:asciiTheme="minorBidi" w:hAnsiTheme="minorBidi"/>
          <w:color w:val="000000" w:themeColor="text1"/>
          <w:sz w:val="32"/>
          <w:szCs w:val="32"/>
        </w:rPr>
      </w:pPr>
      <w:r w:rsidRPr="0053644D">
        <w:rPr>
          <w:rFonts w:asciiTheme="minorBidi" w:hAnsiTheme="minorBidi"/>
          <w:b/>
          <w:color w:val="000000" w:themeColor="text1"/>
          <w:sz w:val="32"/>
          <w:szCs w:val="32"/>
        </w:rPr>
        <w:t>Introduction to Independent Research Skills</w:t>
      </w:r>
    </w:p>
    <w:p w14:paraId="3CFE3D2D" w14:textId="5286003E" w:rsidR="00BC7DFE" w:rsidRPr="0053644D" w:rsidRDefault="0053644D" w:rsidP="00E34695">
      <w:pPr>
        <w:spacing w:before="120"/>
        <w:jc w:val="center"/>
        <w:rPr>
          <w:rFonts w:asciiTheme="minorBidi" w:hAnsiTheme="minorBidi"/>
          <w:b/>
          <w:color w:val="000000" w:themeColor="text1"/>
          <w:sz w:val="32"/>
          <w:szCs w:val="32"/>
        </w:rPr>
      </w:pPr>
      <w:r w:rsidRPr="0053644D">
        <w:rPr>
          <w:rFonts w:asciiTheme="minorBidi" w:hAnsiTheme="minorBidi"/>
          <w:noProof/>
          <w:color w:val="000000" w:themeColor="text1"/>
        </w:rPr>
        <w:drawing>
          <wp:anchor distT="0" distB="0" distL="114300" distR="114300" simplePos="0" relativeHeight="251659264" behindDoc="0" locked="0" layoutInCell="1" allowOverlap="1" wp14:anchorId="67773384" wp14:editId="7C87B7BE">
            <wp:simplePos x="0" y="0"/>
            <wp:positionH relativeFrom="margin">
              <wp:align>center</wp:align>
            </wp:positionH>
            <wp:positionV relativeFrom="paragraph">
              <wp:posOffset>337185</wp:posOffset>
            </wp:positionV>
            <wp:extent cx="4870450" cy="1936115"/>
            <wp:effectExtent l="0" t="0" r="6350" b="6985"/>
            <wp:wrapSquare wrapText="bothSides"/>
            <wp:docPr id="13613276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327638" name="Picture 1361327638"/>
                    <pic:cNvPicPr/>
                  </pic:nvPicPr>
                  <pic:blipFill rotWithShape="1">
                    <a:blip r:embed="rId9"/>
                    <a:srcRect t="9860" b="11832"/>
                    <a:stretch>
                      <a:fillRect/>
                    </a:stretch>
                  </pic:blipFill>
                  <pic:spPr bwMode="auto">
                    <a:xfrm>
                      <a:off x="0" y="0"/>
                      <a:ext cx="4870450" cy="1936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C1748" w:rsidRPr="0053644D">
        <w:rPr>
          <w:rFonts w:asciiTheme="minorBidi" w:hAnsiTheme="minorBidi"/>
          <w:b/>
          <w:color w:val="000000" w:themeColor="text1"/>
          <w:sz w:val="32"/>
          <w:szCs w:val="32"/>
        </w:rPr>
        <w:t>Component 2 - Research Report</w:t>
      </w:r>
    </w:p>
    <w:p w14:paraId="3A7EC015" w14:textId="11C66EF4" w:rsidR="00F600F4" w:rsidRDefault="00F600F4" w:rsidP="00E34695">
      <w:pPr>
        <w:spacing w:before="120"/>
        <w:rPr>
          <w:rFonts w:cs="Arial"/>
          <w:color w:val="000000" w:themeColor="text1"/>
        </w:rPr>
      </w:pPr>
    </w:p>
    <w:p w14:paraId="315E4EA1" w14:textId="77777777" w:rsidR="0053644D" w:rsidRDefault="0053644D" w:rsidP="00E34695">
      <w:pPr>
        <w:spacing w:before="120"/>
        <w:rPr>
          <w:rFonts w:cs="Arial"/>
          <w:color w:val="000000" w:themeColor="text1"/>
        </w:rPr>
      </w:pPr>
    </w:p>
    <w:p w14:paraId="25488CD9" w14:textId="77777777" w:rsidR="0053644D" w:rsidRDefault="0053644D" w:rsidP="00E34695">
      <w:pPr>
        <w:spacing w:before="120"/>
        <w:rPr>
          <w:rFonts w:cs="Arial"/>
          <w:color w:val="000000" w:themeColor="text1"/>
        </w:rPr>
      </w:pPr>
    </w:p>
    <w:p w14:paraId="7D6F469B" w14:textId="77777777" w:rsidR="0053644D" w:rsidRDefault="0053644D" w:rsidP="00E34695">
      <w:pPr>
        <w:spacing w:before="120"/>
        <w:rPr>
          <w:rFonts w:cs="Arial"/>
          <w:color w:val="000000" w:themeColor="text1"/>
        </w:rPr>
      </w:pPr>
    </w:p>
    <w:p w14:paraId="32C9942B" w14:textId="77777777" w:rsidR="0053644D" w:rsidRDefault="0053644D" w:rsidP="00E34695">
      <w:pPr>
        <w:spacing w:before="120"/>
        <w:rPr>
          <w:rFonts w:cs="Arial"/>
          <w:color w:val="000000" w:themeColor="text1"/>
        </w:rPr>
      </w:pPr>
    </w:p>
    <w:p w14:paraId="6B9E211E" w14:textId="77777777" w:rsidR="0053644D" w:rsidRDefault="0053644D" w:rsidP="00E34695">
      <w:pPr>
        <w:spacing w:before="120"/>
        <w:rPr>
          <w:rFonts w:cs="Arial"/>
          <w:color w:val="000000" w:themeColor="text1"/>
        </w:rPr>
      </w:pPr>
    </w:p>
    <w:p w14:paraId="4A483807" w14:textId="77777777" w:rsidR="0053644D" w:rsidRPr="00E34695" w:rsidRDefault="0053644D" w:rsidP="00E34695">
      <w:pPr>
        <w:spacing w:before="120"/>
        <w:rPr>
          <w:rFonts w:cs="Arial"/>
          <w:color w:val="000000" w:themeColor="text1"/>
        </w:rPr>
      </w:pPr>
    </w:p>
    <w:tbl>
      <w:tblPr>
        <w:tblStyle w:val="TableGrid"/>
        <w:tblW w:w="9806" w:type="dxa"/>
        <w:jc w:val="center"/>
        <w:tblLook w:val="04A0" w:firstRow="1" w:lastRow="0" w:firstColumn="1" w:lastColumn="0" w:noHBand="0" w:noVBand="1"/>
      </w:tblPr>
      <w:tblGrid>
        <w:gridCol w:w="3191"/>
        <w:gridCol w:w="6615"/>
      </w:tblGrid>
      <w:tr w:rsidR="00EC1748" w:rsidRPr="00E34695" w14:paraId="3E52CF12" w14:textId="77777777" w:rsidTr="003F143B">
        <w:trPr>
          <w:jc w:val="center"/>
        </w:trPr>
        <w:tc>
          <w:tcPr>
            <w:tcW w:w="3191" w:type="dxa"/>
            <w:shd w:val="clear" w:color="auto" w:fill="D9EAF7"/>
            <w:tcMar>
              <w:top w:w="100" w:type="dxa"/>
              <w:left w:w="120" w:type="dxa"/>
              <w:bottom w:w="100" w:type="dxa"/>
              <w:right w:w="120" w:type="dxa"/>
            </w:tcMar>
            <w:vAlign w:val="center"/>
          </w:tcPr>
          <w:p w14:paraId="2B9BB534" w14:textId="248A196C" w:rsidR="00BC7DFE" w:rsidRPr="00E34695" w:rsidRDefault="00F600F4" w:rsidP="003F143B">
            <w:pPr>
              <w:spacing w:before="120" w:after="0" w:line="240" w:lineRule="auto"/>
              <w:rPr>
                <w:rFonts w:cs="Arial"/>
                <w:color w:val="000000" w:themeColor="text1"/>
              </w:rPr>
            </w:pPr>
            <w:r>
              <w:rPr>
                <w:rFonts w:cs="Arial"/>
                <w:b/>
                <w:color w:val="000000" w:themeColor="text1"/>
              </w:rPr>
              <w:t xml:space="preserve">Program </w:t>
            </w:r>
          </w:p>
        </w:tc>
        <w:tc>
          <w:tcPr>
            <w:tcW w:w="6615" w:type="dxa"/>
            <w:tcMar>
              <w:top w:w="100" w:type="dxa"/>
              <w:left w:w="120" w:type="dxa"/>
              <w:bottom w:w="100" w:type="dxa"/>
              <w:right w:w="120" w:type="dxa"/>
            </w:tcMar>
            <w:vAlign w:val="center"/>
          </w:tcPr>
          <w:p w14:paraId="0F8361FD" w14:textId="77777777" w:rsidR="00BC7DFE" w:rsidRPr="00D609D5" w:rsidRDefault="00F600F4"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 xml:space="preserve">BSc Health Social Care </w:t>
            </w:r>
          </w:p>
        </w:tc>
      </w:tr>
      <w:tr w:rsidR="00EC1748" w:rsidRPr="00E34695" w14:paraId="79FE88EA" w14:textId="77777777" w:rsidTr="003F143B">
        <w:trPr>
          <w:jc w:val="center"/>
        </w:trPr>
        <w:tc>
          <w:tcPr>
            <w:tcW w:w="3191" w:type="dxa"/>
            <w:shd w:val="clear" w:color="auto" w:fill="D9EAF7"/>
            <w:tcMar>
              <w:top w:w="100" w:type="dxa"/>
              <w:left w:w="120" w:type="dxa"/>
              <w:bottom w:w="100" w:type="dxa"/>
              <w:right w:w="120" w:type="dxa"/>
            </w:tcMar>
            <w:vAlign w:val="center"/>
          </w:tcPr>
          <w:p w14:paraId="09DECD2B" w14:textId="77777777" w:rsidR="00BC7DFE" w:rsidRPr="00E34695" w:rsidRDefault="00F600F4" w:rsidP="003F143B">
            <w:pPr>
              <w:spacing w:before="120" w:after="0" w:line="240" w:lineRule="auto"/>
              <w:rPr>
                <w:rFonts w:cs="Arial"/>
                <w:color w:val="000000" w:themeColor="text1"/>
              </w:rPr>
            </w:pPr>
            <w:r>
              <w:rPr>
                <w:rFonts w:cs="Arial"/>
                <w:b/>
                <w:color w:val="000000" w:themeColor="text1"/>
              </w:rPr>
              <w:t xml:space="preserve">Module </w:t>
            </w:r>
          </w:p>
        </w:tc>
        <w:tc>
          <w:tcPr>
            <w:tcW w:w="6615" w:type="dxa"/>
            <w:tcMar>
              <w:top w:w="100" w:type="dxa"/>
              <w:left w:w="120" w:type="dxa"/>
              <w:bottom w:w="100" w:type="dxa"/>
              <w:right w:w="120" w:type="dxa"/>
            </w:tcMar>
            <w:vAlign w:val="center"/>
          </w:tcPr>
          <w:p w14:paraId="4371A61D" w14:textId="0258309E" w:rsidR="00BC7DFE" w:rsidRPr="00D609D5" w:rsidRDefault="006F7ED3"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Introduction to</w:t>
            </w:r>
            <w:r w:rsidR="0054693A" w:rsidRPr="00D609D5">
              <w:rPr>
                <w:rFonts w:ascii="Lucida Fax" w:hAnsi="Lucida Fax" w:cs="Arial"/>
                <w:b/>
                <w:bCs/>
                <w:color w:val="000000" w:themeColor="text1"/>
              </w:rPr>
              <w:t xml:space="preserve"> Independent Research Skills </w:t>
            </w:r>
          </w:p>
        </w:tc>
      </w:tr>
      <w:tr w:rsidR="00F600F4" w:rsidRPr="00E34695" w14:paraId="538C7497" w14:textId="77777777" w:rsidTr="003F143B">
        <w:trPr>
          <w:jc w:val="center"/>
        </w:trPr>
        <w:tc>
          <w:tcPr>
            <w:tcW w:w="3191" w:type="dxa"/>
            <w:shd w:val="clear" w:color="auto" w:fill="D9EAF7"/>
            <w:tcMar>
              <w:top w:w="100" w:type="dxa"/>
              <w:left w:w="120" w:type="dxa"/>
              <w:bottom w:w="100" w:type="dxa"/>
              <w:right w:w="120" w:type="dxa"/>
            </w:tcMar>
            <w:vAlign w:val="center"/>
          </w:tcPr>
          <w:p w14:paraId="34D765CE" w14:textId="77777777" w:rsidR="00F600F4" w:rsidRPr="00E34695" w:rsidRDefault="00F600F4" w:rsidP="003F143B">
            <w:pPr>
              <w:spacing w:before="120" w:after="0" w:line="240" w:lineRule="auto"/>
              <w:rPr>
                <w:rFonts w:cs="Arial"/>
                <w:b/>
                <w:color w:val="000000" w:themeColor="text1"/>
              </w:rPr>
            </w:pPr>
            <w:r>
              <w:rPr>
                <w:rFonts w:cs="Arial"/>
                <w:b/>
                <w:color w:val="000000" w:themeColor="text1"/>
              </w:rPr>
              <w:t xml:space="preserve">Module Code </w:t>
            </w:r>
          </w:p>
        </w:tc>
        <w:tc>
          <w:tcPr>
            <w:tcW w:w="6615" w:type="dxa"/>
            <w:tcMar>
              <w:top w:w="100" w:type="dxa"/>
              <w:left w:w="120" w:type="dxa"/>
              <w:bottom w:w="100" w:type="dxa"/>
              <w:right w:w="120" w:type="dxa"/>
            </w:tcMar>
            <w:vAlign w:val="center"/>
          </w:tcPr>
          <w:p w14:paraId="46695FC9" w14:textId="77777777" w:rsidR="00F600F4" w:rsidRPr="00D609D5" w:rsidRDefault="0054693A"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BMHP5019</w:t>
            </w:r>
          </w:p>
        </w:tc>
      </w:tr>
      <w:tr w:rsidR="00F600F4" w:rsidRPr="00E34695" w14:paraId="5F19233A" w14:textId="77777777" w:rsidTr="003F143B">
        <w:trPr>
          <w:jc w:val="center"/>
        </w:trPr>
        <w:tc>
          <w:tcPr>
            <w:tcW w:w="3191" w:type="dxa"/>
            <w:shd w:val="clear" w:color="auto" w:fill="D9EAF7"/>
            <w:tcMar>
              <w:top w:w="100" w:type="dxa"/>
              <w:left w:w="120" w:type="dxa"/>
              <w:bottom w:w="100" w:type="dxa"/>
              <w:right w:w="120" w:type="dxa"/>
            </w:tcMar>
            <w:vAlign w:val="center"/>
          </w:tcPr>
          <w:p w14:paraId="4E61A523" w14:textId="77777777" w:rsidR="00F600F4" w:rsidRPr="00E34695" w:rsidRDefault="00F600F4" w:rsidP="003F143B">
            <w:pPr>
              <w:spacing w:before="120" w:after="0" w:line="240" w:lineRule="auto"/>
              <w:rPr>
                <w:rFonts w:cs="Arial"/>
                <w:b/>
                <w:color w:val="000000" w:themeColor="text1"/>
              </w:rPr>
            </w:pPr>
            <w:r>
              <w:rPr>
                <w:rFonts w:cs="Arial"/>
                <w:b/>
                <w:color w:val="000000" w:themeColor="text1"/>
              </w:rPr>
              <w:t xml:space="preserve">Assignment Title </w:t>
            </w:r>
          </w:p>
        </w:tc>
        <w:tc>
          <w:tcPr>
            <w:tcW w:w="6615" w:type="dxa"/>
            <w:tcMar>
              <w:top w:w="100" w:type="dxa"/>
              <w:left w:w="120" w:type="dxa"/>
              <w:bottom w:w="100" w:type="dxa"/>
              <w:right w:w="120" w:type="dxa"/>
            </w:tcMar>
            <w:vAlign w:val="center"/>
          </w:tcPr>
          <w:p w14:paraId="13091938" w14:textId="1202E182" w:rsidR="00F600F4" w:rsidRPr="00D609D5" w:rsidRDefault="006F7ED3" w:rsidP="00695BE3">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Component 2</w:t>
            </w:r>
            <w:r w:rsidR="003F143B" w:rsidRPr="00D609D5">
              <w:rPr>
                <w:rFonts w:ascii="Lucida Fax" w:hAnsi="Lucida Fax" w:cs="Arial"/>
                <w:b/>
                <w:bCs/>
                <w:color w:val="000000" w:themeColor="text1"/>
              </w:rPr>
              <w:t xml:space="preserve">: Written </w:t>
            </w:r>
            <w:r w:rsidRPr="00D609D5">
              <w:rPr>
                <w:rFonts w:ascii="Lucida Fax" w:hAnsi="Lucida Fax" w:cs="Arial"/>
                <w:b/>
                <w:bCs/>
                <w:color w:val="000000" w:themeColor="text1"/>
              </w:rPr>
              <w:t>Assignment (</w:t>
            </w:r>
            <w:r w:rsidR="0054693A" w:rsidRPr="00D609D5">
              <w:rPr>
                <w:rFonts w:ascii="Lucida Fax" w:hAnsi="Lucida Fax" w:cs="Arial"/>
                <w:b/>
                <w:bCs/>
                <w:color w:val="000000" w:themeColor="text1"/>
              </w:rPr>
              <w:t>Research Report</w:t>
            </w:r>
            <w:r w:rsidR="003F143B" w:rsidRPr="00D609D5">
              <w:rPr>
                <w:rFonts w:ascii="Lucida Fax" w:hAnsi="Lucida Fax" w:cs="Arial"/>
                <w:b/>
                <w:bCs/>
                <w:color w:val="000000" w:themeColor="text1"/>
              </w:rPr>
              <w:t>)</w:t>
            </w:r>
            <w:r w:rsidR="0054693A" w:rsidRPr="00D609D5">
              <w:rPr>
                <w:rFonts w:ascii="Lucida Fax" w:hAnsi="Lucida Fax" w:cs="Arial"/>
                <w:b/>
                <w:bCs/>
                <w:color w:val="000000" w:themeColor="text1"/>
              </w:rPr>
              <w:t xml:space="preserve"> </w:t>
            </w:r>
          </w:p>
        </w:tc>
      </w:tr>
      <w:tr w:rsidR="00F600F4" w:rsidRPr="00E34695" w14:paraId="7F9D11BE" w14:textId="77777777" w:rsidTr="003F143B">
        <w:trPr>
          <w:jc w:val="center"/>
        </w:trPr>
        <w:tc>
          <w:tcPr>
            <w:tcW w:w="3191" w:type="dxa"/>
            <w:shd w:val="clear" w:color="auto" w:fill="D9EAF7"/>
            <w:tcMar>
              <w:top w:w="100" w:type="dxa"/>
              <w:left w:w="120" w:type="dxa"/>
              <w:bottom w:w="100" w:type="dxa"/>
              <w:right w:w="120" w:type="dxa"/>
            </w:tcMar>
            <w:vAlign w:val="center"/>
          </w:tcPr>
          <w:p w14:paraId="62695683" w14:textId="77777777" w:rsidR="00F600F4" w:rsidRPr="00E34695" w:rsidRDefault="00F600F4" w:rsidP="003F143B">
            <w:pPr>
              <w:spacing w:before="120" w:after="0" w:line="240" w:lineRule="auto"/>
              <w:rPr>
                <w:rFonts w:cs="Arial"/>
                <w:b/>
                <w:color w:val="000000" w:themeColor="text1"/>
              </w:rPr>
            </w:pPr>
            <w:r>
              <w:rPr>
                <w:rFonts w:cs="Arial"/>
                <w:b/>
                <w:color w:val="000000" w:themeColor="text1"/>
              </w:rPr>
              <w:t xml:space="preserve">Student Name </w:t>
            </w:r>
          </w:p>
        </w:tc>
        <w:tc>
          <w:tcPr>
            <w:tcW w:w="6615" w:type="dxa"/>
            <w:tcMar>
              <w:top w:w="100" w:type="dxa"/>
              <w:left w:w="120" w:type="dxa"/>
              <w:bottom w:w="100" w:type="dxa"/>
              <w:right w:w="120" w:type="dxa"/>
            </w:tcMar>
            <w:vAlign w:val="center"/>
          </w:tcPr>
          <w:p w14:paraId="7E28D5C0" w14:textId="77777777" w:rsidR="00F600F4" w:rsidRPr="00D609D5" w:rsidRDefault="003F143B"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 xml:space="preserve">Rabia Ahmed </w:t>
            </w:r>
          </w:p>
        </w:tc>
      </w:tr>
      <w:tr w:rsidR="00F600F4" w:rsidRPr="00E34695" w14:paraId="006FD4DC" w14:textId="77777777" w:rsidTr="003F143B">
        <w:trPr>
          <w:jc w:val="center"/>
        </w:trPr>
        <w:tc>
          <w:tcPr>
            <w:tcW w:w="3191" w:type="dxa"/>
            <w:shd w:val="clear" w:color="auto" w:fill="D9EAF7"/>
            <w:tcMar>
              <w:top w:w="100" w:type="dxa"/>
              <w:left w:w="120" w:type="dxa"/>
              <w:bottom w:w="100" w:type="dxa"/>
              <w:right w:w="120" w:type="dxa"/>
            </w:tcMar>
            <w:vAlign w:val="center"/>
          </w:tcPr>
          <w:p w14:paraId="47BEB4E9" w14:textId="77777777" w:rsidR="00F600F4" w:rsidRPr="00E34695" w:rsidRDefault="00F600F4" w:rsidP="003F143B">
            <w:pPr>
              <w:spacing w:before="120" w:after="0" w:line="240" w:lineRule="auto"/>
              <w:rPr>
                <w:rFonts w:cs="Arial"/>
                <w:b/>
                <w:color w:val="000000" w:themeColor="text1"/>
              </w:rPr>
            </w:pPr>
            <w:r>
              <w:rPr>
                <w:rFonts w:cs="Arial"/>
                <w:b/>
                <w:color w:val="000000" w:themeColor="text1"/>
              </w:rPr>
              <w:t>Student No.</w:t>
            </w:r>
          </w:p>
        </w:tc>
        <w:tc>
          <w:tcPr>
            <w:tcW w:w="6615" w:type="dxa"/>
            <w:tcMar>
              <w:top w:w="100" w:type="dxa"/>
              <w:left w:w="120" w:type="dxa"/>
              <w:bottom w:w="100" w:type="dxa"/>
              <w:right w:w="120" w:type="dxa"/>
            </w:tcMar>
            <w:vAlign w:val="center"/>
          </w:tcPr>
          <w:p w14:paraId="7A2F3777" w14:textId="77777777" w:rsidR="00F600F4" w:rsidRPr="00D609D5" w:rsidRDefault="003F143B"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23211</w:t>
            </w:r>
            <w:r w:rsidR="007D0D32" w:rsidRPr="00D609D5">
              <w:rPr>
                <w:rFonts w:ascii="Lucida Fax" w:hAnsi="Lucida Fax" w:cs="Arial"/>
                <w:b/>
                <w:bCs/>
                <w:color w:val="000000" w:themeColor="text1"/>
              </w:rPr>
              <w:t>1</w:t>
            </w:r>
            <w:r w:rsidRPr="00D609D5">
              <w:rPr>
                <w:rFonts w:ascii="Lucida Fax" w:hAnsi="Lucida Fax" w:cs="Arial"/>
                <w:b/>
                <w:bCs/>
                <w:color w:val="000000" w:themeColor="text1"/>
              </w:rPr>
              <w:t>4</w:t>
            </w:r>
          </w:p>
        </w:tc>
      </w:tr>
      <w:tr w:rsidR="00F600F4" w:rsidRPr="00E34695" w14:paraId="51D360FA" w14:textId="77777777" w:rsidTr="003F143B">
        <w:trPr>
          <w:jc w:val="center"/>
        </w:trPr>
        <w:tc>
          <w:tcPr>
            <w:tcW w:w="3191" w:type="dxa"/>
            <w:shd w:val="clear" w:color="auto" w:fill="D9EAF7"/>
            <w:tcMar>
              <w:top w:w="100" w:type="dxa"/>
              <w:left w:w="120" w:type="dxa"/>
              <w:bottom w:w="100" w:type="dxa"/>
              <w:right w:w="120" w:type="dxa"/>
            </w:tcMar>
            <w:vAlign w:val="center"/>
          </w:tcPr>
          <w:p w14:paraId="5D459C84" w14:textId="77777777" w:rsidR="00F600F4" w:rsidRDefault="00F600F4" w:rsidP="003F143B">
            <w:pPr>
              <w:spacing w:before="120" w:after="0" w:line="240" w:lineRule="auto"/>
              <w:rPr>
                <w:rFonts w:cs="Arial"/>
                <w:b/>
                <w:color w:val="000000" w:themeColor="text1"/>
              </w:rPr>
            </w:pPr>
            <w:r>
              <w:rPr>
                <w:rFonts w:cs="Arial"/>
                <w:b/>
                <w:color w:val="000000" w:themeColor="text1"/>
              </w:rPr>
              <w:t>Lecturer’s Name</w:t>
            </w:r>
          </w:p>
        </w:tc>
        <w:tc>
          <w:tcPr>
            <w:tcW w:w="6615" w:type="dxa"/>
            <w:tcMar>
              <w:top w:w="100" w:type="dxa"/>
              <w:left w:w="120" w:type="dxa"/>
              <w:bottom w:w="100" w:type="dxa"/>
              <w:right w:w="120" w:type="dxa"/>
            </w:tcMar>
            <w:vAlign w:val="center"/>
          </w:tcPr>
          <w:p w14:paraId="52924E51" w14:textId="77777777" w:rsidR="00F600F4" w:rsidRPr="00D609D5" w:rsidRDefault="003F143B" w:rsidP="003F143B">
            <w:pPr>
              <w:spacing w:before="120" w:after="0" w:line="240" w:lineRule="auto"/>
              <w:rPr>
                <w:rFonts w:ascii="Lucida Fax" w:hAnsi="Lucida Fax" w:cs="Arial"/>
                <w:b/>
                <w:bCs/>
                <w:color w:val="000000" w:themeColor="text1"/>
              </w:rPr>
            </w:pPr>
            <w:r w:rsidRPr="00D609D5">
              <w:rPr>
                <w:rFonts w:ascii="Lucida Fax" w:hAnsi="Lucida Fax" w:cs="Arial"/>
                <w:b/>
                <w:bCs/>
                <w:color w:val="000000" w:themeColor="text1"/>
              </w:rPr>
              <w:t>Raheela Shaikh</w:t>
            </w:r>
          </w:p>
        </w:tc>
      </w:tr>
    </w:tbl>
    <w:p w14:paraId="353C31B6" w14:textId="77777777" w:rsidR="00027E69" w:rsidRDefault="00027E69" w:rsidP="00027E69">
      <w:pPr>
        <w:spacing w:before="120"/>
        <w:jc w:val="center"/>
        <w:rPr>
          <w:noProof/>
        </w:rPr>
      </w:pPr>
    </w:p>
    <w:p w14:paraId="614BD341" w14:textId="77777777" w:rsidR="00BC7DFE" w:rsidRPr="00E34695" w:rsidRDefault="00BC7DFE" w:rsidP="003F143B">
      <w:pPr>
        <w:spacing w:before="120"/>
        <w:rPr>
          <w:rFonts w:cs="Arial"/>
          <w:color w:val="000000" w:themeColor="text1"/>
        </w:rPr>
      </w:pPr>
    </w:p>
    <w:p w14:paraId="752C9AE9" w14:textId="77777777" w:rsidR="00BC7DFE" w:rsidRPr="00E34695" w:rsidRDefault="00EC1748" w:rsidP="00066EB0">
      <w:pPr>
        <w:pStyle w:val="Heading1"/>
      </w:pPr>
      <w:bookmarkStart w:id="0" w:name="_Toc235220737"/>
      <w:r w:rsidRPr="00E34695">
        <w:t>Table of Contents</w:t>
      </w:r>
      <w:bookmarkEnd w:id="0"/>
    </w:p>
    <w:p w14:paraId="4B3FC731" w14:textId="77777777" w:rsidR="00F87FCB" w:rsidRDefault="00AD5414">
      <w:pPr>
        <w:pStyle w:val="TOC1"/>
        <w:tabs>
          <w:tab w:val="right" w:leader="dot" w:pos="9174"/>
        </w:tabs>
        <w:rPr>
          <w:rFonts w:asciiTheme="minorHAnsi" w:eastAsiaTheme="minorEastAsia" w:hAnsiTheme="minorHAnsi"/>
          <w:noProof/>
        </w:rPr>
      </w:pPr>
      <w:r w:rsidRPr="00E34695">
        <w:rPr>
          <w:rFonts w:cs="Arial"/>
          <w:color w:val="000000" w:themeColor="text1"/>
        </w:rPr>
        <w:fldChar w:fldCharType="begin"/>
      </w:r>
      <w:r w:rsidR="0020572F" w:rsidRPr="00E34695">
        <w:rPr>
          <w:rFonts w:cs="Arial"/>
          <w:color w:val="000000" w:themeColor="text1"/>
        </w:rPr>
        <w:instrText xml:space="preserve"> TOC \o "1-3" \h \z \u </w:instrText>
      </w:r>
      <w:r w:rsidRPr="00E34695">
        <w:rPr>
          <w:rFonts w:cs="Arial"/>
          <w:color w:val="000000" w:themeColor="text1"/>
        </w:rPr>
        <w:fldChar w:fldCharType="separate"/>
      </w:r>
      <w:hyperlink w:anchor="_Toc235220737" w:history="1">
        <w:r w:rsidR="00F87FCB" w:rsidRPr="00B36793">
          <w:rPr>
            <w:rStyle w:val="Hyperlink"/>
            <w:noProof/>
          </w:rPr>
          <w:t>Table of Contents</w:t>
        </w:r>
        <w:r w:rsidR="00F87FCB">
          <w:rPr>
            <w:noProof/>
            <w:webHidden/>
          </w:rPr>
          <w:tab/>
        </w:r>
        <w:r>
          <w:rPr>
            <w:noProof/>
            <w:webHidden/>
          </w:rPr>
          <w:fldChar w:fldCharType="begin"/>
        </w:r>
        <w:r w:rsidR="00F87FCB">
          <w:rPr>
            <w:noProof/>
            <w:webHidden/>
          </w:rPr>
          <w:instrText xml:space="preserve"> PAGEREF _Toc235220737 \h </w:instrText>
        </w:r>
        <w:r>
          <w:rPr>
            <w:noProof/>
            <w:webHidden/>
          </w:rPr>
        </w:r>
        <w:r>
          <w:rPr>
            <w:noProof/>
            <w:webHidden/>
          </w:rPr>
          <w:fldChar w:fldCharType="separate"/>
        </w:r>
        <w:r w:rsidR="00F87FCB">
          <w:rPr>
            <w:noProof/>
            <w:webHidden/>
          </w:rPr>
          <w:t>2</w:t>
        </w:r>
        <w:r>
          <w:rPr>
            <w:noProof/>
            <w:webHidden/>
          </w:rPr>
          <w:fldChar w:fldCharType="end"/>
        </w:r>
      </w:hyperlink>
    </w:p>
    <w:p w14:paraId="68C98807" w14:textId="77777777" w:rsidR="00F87FCB" w:rsidRDefault="00F87FCB">
      <w:pPr>
        <w:pStyle w:val="TOC1"/>
        <w:tabs>
          <w:tab w:val="right" w:leader="dot" w:pos="9174"/>
        </w:tabs>
        <w:rPr>
          <w:rFonts w:asciiTheme="minorHAnsi" w:eastAsiaTheme="minorEastAsia" w:hAnsiTheme="minorHAnsi"/>
          <w:noProof/>
        </w:rPr>
      </w:pPr>
      <w:hyperlink w:anchor="_Toc235220738" w:history="1">
        <w:r w:rsidRPr="00B36793">
          <w:rPr>
            <w:rStyle w:val="Hyperlink"/>
            <w:noProof/>
          </w:rPr>
          <w:t>1. Introduction</w:t>
        </w:r>
        <w:r>
          <w:rPr>
            <w:noProof/>
            <w:webHidden/>
          </w:rPr>
          <w:tab/>
        </w:r>
        <w:r w:rsidR="00AD5414">
          <w:rPr>
            <w:noProof/>
            <w:webHidden/>
          </w:rPr>
          <w:fldChar w:fldCharType="begin"/>
        </w:r>
        <w:r>
          <w:rPr>
            <w:noProof/>
            <w:webHidden/>
          </w:rPr>
          <w:instrText xml:space="preserve"> PAGEREF _Toc235220738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16745D98" w14:textId="77777777" w:rsidR="00F87FCB" w:rsidRDefault="00F87FCB">
      <w:pPr>
        <w:pStyle w:val="TOC2"/>
        <w:tabs>
          <w:tab w:val="right" w:leader="dot" w:pos="9174"/>
        </w:tabs>
        <w:rPr>
          <w:rFonts w:asciiTheme="minorHAnsi" w:eastAsiaTheme="minorEastAsia" w:hAnsiTheme="minorHAnsi"/>
          <w:noProof/>
        </w:rPr>
      </w:pPr>
      <w:hyperlink w:anchor="_Toc235220739" w:history="1">
        <w:r w:rsidRPr="00B36793">
          <w:rPr>
            <w:rStyle w:val="Hyperlink"/>
            <w:noProof/>
          </w:rPr>
          <w:t>1.1 Background and rationale</w:t>
        </w:r>
        <w:r>
          <w:rPr>
            <w:noProof/>
            <w:webHidden/>
          </w:rPr>
          <w:tab/>
        </w:r>
        <w:r w:rsidR="00AD5414">
          <w:rPr>
            <w:noProof/>
            <w:webHidden/>
          </w:rPr>
          <w:fldChar w:fldCharType="begin"/>
        </w:r>
        <w:r>
          <w:rPr>
            <w:noProof/>
            <w:webHidden/>
          </w:rPr>
          <w:instrText xml:space="preserve"> PAGEREF _Toc235220739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09375D06" w14:textId="77777777" w:rsidR="00F87FCB" w:rsidRDefault="00F87FCB">
      <w:pPr>
        <w:pStyle w:val="TOC2"/>
        <w:tabs>
          <w:tab w:val="right" w:leader="dot" w:pos="9174"/>
        </w:tabs>
        <w:rPr>
          <w:rFonts w:asciiTheme="minorHAnsi" w:eastAsiaTheme="minorEastAsia" w:hAnsiTheme="minorHAnsi"/>
          <w:noProof/>
        </w:rPr>
      </w:pPr>
      <w:hyperlink w:anchor="_Toc235220740" w:history="1">
        <w:r w:rsidRPr="00B36793">
          <w:rPr>
            <w:rStyle w:val="Hyperlink"/>
            <w:noProof/>
          </w:rPr>
          <w:t>1.2 Research aim and objectives</w:t>
        </w:r>
        <w:r>
          <w:rPr>
            <w:noProof/>
            <w:webHidden/>
          </w:rPr>
          <w:tab/>
        </w:r>
        <w:r w:rsidR="00AD5414">
          <w:rPr>
            <w:noProof/>
            <w:webHidden/>
          </w:rPr>
          <w:fldChar w:fldCharType="begin"/>
        </w:r>
        <w:r>
          <w:rPr>
            <w:noProof/>
            <w:webHidden/>
          </w:rPr>
          <w:instrText xml:space="preserve"> PAGEREF _Toc235220740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2BF869A0" w14:textId="77777777" w:rsidR="00F87FCB" w:rsidRDefault="00F87FCB">
      <w:pPr>
        <w:pStyle w:val="TOC2"/>
        <w:tabs>
          <w:tab w:val="right" w:leader="dot" w:pos="9174"/>
        </w:tabs>
        <w:rPr>
          <w:rFonts w:asciiTheme="minorHAnsi" w:eastAsiaTheme="minorEastAsia" w:hAnsiTheme="minorHAnsi"/>
          <w:noProof/>
        </w:rPr>
      </w:pPr>
      <w:hyperlink w:anchor="_Toc235220741" w:history="1">
        <w:r w:rsidRPr="00B36793">
          <w:rPr>
            <w:rStyle w:val="Hyperlink"/>
            <w:noProof/>
          </w:rPr>
          <w:t>1.3 Research qu</w:t>
        </w:r>
        <w:r w:rsidRPr="00B36793">
          <w:rPr>
            <w:rStyle w:val="Hyperlink"/>
            <w:noProof/>
          </w:rPr>
          <w:t>estion</w:t>
        </w:r>
        <w:r>
          <w:rPr>
            <w:noProof/>
            <w:webHidden/>
          </w:rPr>
          <w:tab/>
        </w:r>
        <w:r w:rsidR="00AD5414">
          <w:rPr>
            <w:noProof/>
            <w:webHidden/>
          </w:rPr>
          <w:fldChar w:fldCharType="begin"/>
        </w:r>
        <w:r>
          <w:rPr>
            <w:noProof/>
            <w:webHidden/>
          </w:rPr>
          <w:instrText xml:space="preserve"> PAGEREF _Toc235220741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73F8ECAC" w14:textId="77777777" w:rsidR="00F87FCB" w:rsidRDefault="00F87FCB">
      <w:pPr>
        <w:pStyle w:val="TOC1"/>
        <w:tabs>
          <w:tab w:val="right" w:leader="dot" w:pos="9174"/>
        </w:tabs>
        <w:rPr>
          <w:rFonts w:asciiTheme="minorHAnsi" w:eastAsiaTheme="minorEastAsia" w:hAnsiTheme="minorHAnsi"/>
          <w:noProof/>
        </w:rPr>
      </w:pPr>
      <w:hyperlink w:anchor="_Toc235220742" w:history="1">
        <w:r w:rsidRPr="00B36793">
          <w:rPr>
            <w:rStyle w:val="Hyperlink"/>
            <w:noProof/>
          </w:rPr>
          <w:t>2. Methodology</w:t>
        </w:r>
        <w:r>
          <w:rPr>
            <w:noProof/>
            <w:webHidden/>
          </w:rPr>
          <w:tab/>
        </w:r>
        <w:r w:rsidR="00AD5414">
          <w:rPr>
            <w:noProof/>
            <w:webHidden/>
          </w:rPr>
          <w:fldChar w:fldCharType="begin"/>
        </w:r>
        <w:r>
          <w:rPr>
            <w:noProof/>
            <w:webHidden/>
          </w:rPr>
          <w:instrText xml:space="preserve"> PAGEREF _Toc235220742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2F9C829D" w14:textId="77777777" w:rsidR="00F87FCB" w:rsidRDefault="00F87FCB">
      <w:pPr>
        <w:pStyle w:val="TOC2"/>
        <w:tabs>
          <w:tab w:val="right" w:leader="dot" w:pos="9174"/>
        </w:tabs>
        <w:rPr>
          <w:rFonts w:asciiTheme="minorHAnsi" w:eastAsiaTheme="minorEastAsia" w:hAnsiTheme="minorHAnsi"/>
          <w:noProof/>
        </w:rPr>
      </w:pPr>
      <w:hyperlink w:anchor="_Toc235220743" w:history="1">
        <w:r w:rsidRPr="00B36793">
          <w:rPr>
            <w:rStyle w:val="Hyperlink"/>
            <w:noProof/>
          </w:rPr>
          <w:t>2.1 Review design and justification</w:t>
        </w:r>
        <w:r>
          <w:rPr>
            <w:noProof/>
            <w:webHidden/>
          </w:rPr>
          <w:tab/>
        </w:r>
        <w:r w:rsidR="00AD5414">
          <w:rPr>
            <w:noProof/>
            <w:webHidden/>
          </w:rPr>
          <w:fldChar w:fldCharType="begin"/>
        </w:r>
        <w:r>
          <w:rPr>
            <w:noProof/>
            <w:webHidden/>
          </w:rPr>
          <w:instrText xml:space="preserve"> PAGEREF _Toc235220743 \h </w:instrText>
        </w:r>
        <w:r w:rsidR="00AD5414">
          <w:rPr>
            <w:noProof/>
            <w:webHidden/>
          </w:rPr>
        </w:r>
        <w:r w:rsidR="00AD5414">
          <w:rPr>
            <w:noProof/>
            <w:webHidden/>
          </w:rPr>
          <w:fldChar w:fldCharType="separate"/>
        </w:r>
        <w:r>
          <w:rPr>
            <w:noProof/>
            <w:webHidden/>
          </w:rPr>
          <w:t>4</w:t>
        </w:r>
        <w:r w:rsidR="00AD5414">
          <w:rPr>
            <w:noProof/>
            <w:webHidden/>
          </w:rPr>
          <w:fldChar w:fldCharType="end"/>
        </w:r>
      </w:hyperlink>
    </w:p>
    <w:p w14:paraId="224B8BE4" w14:textId="77777777" w:rsidR="00F87FCB" w:rsidRDefault="00F87FCB">
      <w:pPr>
        <w:pStyle w:val="TOC2"/>
        <w:tabs>
          <w:tab w:val="right" w:leader="dot" w:pos="9174"/>
        </w:tabs>
        <w:rPr>
          <w:rFonts w:asciiTheme="minorHAnsi" w:eastAsiaTheme="minorEastAsia" w:hAnsiTheme="minorHAnsi"/>
          <w:noProof/>
        </w:rPr>
      </w:pPr>
      <w:hyperlink w:anchor="_Toc235220744" w:history="1">
        <w:r w:rsidRPr="00B36793">
          <w:rPr>
            <w:rStyle w:val="Hyperlink"/>
            <w:noProof/>
          </w:rPr>
          <w:t>2.2 Framework used</w:t>
        </w:r>
        <w:r>
          <w:rPr>
            <w:noProof/>
            <w:webHidden/>
          </w:rPr>
          <w:tab/>
        </w:r>
        <w:r w:rsidR="00AD5414">
          <w:rPr>
            <w:noProof/>
            <w:webHidden/>
          </w:rPr>
          <w:fldChar w:fldCharType="begin"/>
        </w:r>
        <w:r>
          <w:rPr>
            <w:noProof/>
            <w:webHidden/>
          </w:rPr>
          <w:instrText xml:space="preserve"> PAGEREF _Toc235220744 \h </w:instrText>
        </w:r>
        <w:r w:rsidR="00AD5414">
          <w:rPr>
            <w:noProof/>
            <w:webHidden/>
          </w:rPr>
        </w:r>
        <w:r w:rsidR="00AD5414">
          <w:rPr>
            <w:noProof/>
            <w:webHidden/>
          </w:rPr>
          <w:fldChar w:fldCharType="separate"/>
        </w:r>
        <w:r>
          <w:rPr>
            <w:noProof/>
            <w:webHidden/>
          </w:rPr>
          <w:t>5</w:t>
        </w:r>
        <w:r w:rsidR="00AD5414">
          <w:rPr>
            <w:noProof/>
            <w:webHidden/>
          </w:rPr>
          <w:fldChar w:fldCharType="end"/>
        </w:r>
      </w:hyperlink>
    </w:p>
    <w:p w14:paraId="47426EE9" w14:textId="77777777" w:rsidR="00F87FCB" w:rsidRDefault="00F87FCB">
      <w:pPr>
        <w:pStyle w:val="TOC2"/>
        <w:tabs>
          <w:tab w:val="right" w:leader="dot" w:pos="9174"/>
        </w:tabs>
        <w:rPr>
          <w:rFonts w:asciiTheme="minorHAnsi" w:eastAsiaTheme="minorEastAsia" w:hAnsiTheme="minorHAnsi"/>
          <w:noProof/>
        </w:rPr>
      </w:pPr>
      <w:hyperlink w:anchor="_Toc235220745" w:history="1">
        <w:r w:rsidRPr="00B36793">
          <w:rPr>
            <w:rStyle w:val="Hyperlink"/>
            <w:noProof/>
          </w:rPr>
          <w:t>2.3 PCC framework</w:t>
        </w:r>
        <w:r>
          <w:rPr>
            <w:noProof/>
            <w:webHidden/>
          </w:rPr>
          <w:tab/>
        </w:r>
        <w:r w:rsidR="00AD5414">
          <w:rPr>
            <w:noProof/>
            <w:webHidden/>
          </w:rPr>
          <w:fldChar w:fldCharType="begin"/>
        </w:r>
        <w:r>
          <w:rPr>
            <w:noProof/>
            <w:webHidden/>
          </w:rPr>
          <w:instrText xml:space="preserve"> PAGEREF _Toc235220745 \h </w:instrText>
        </w:r>
        <w:r w:rsidR="00AD5414">
          <w:rPr>
            <w:noProof/>
            <w:webHidden/>
          </w:rPr>
        </w:r>
        <w:r w:rsidR="00AD5414">
          <w:rPr>
            <w:noProof/>
            <w:webHidden/>
          </w:rPr>
          <w:fldChar w:fldCharType="separate"/>
        </w:r>
        <w:r>
          <w:rPr>
            <w:noProof/>
            <w:webHidden/>
          </w:rPr>
          <w:t>5</w:t>
        </w:r>
        <w:r w:rsidR="00AD5414">
          <w:rPr>
            <w:noProof/>
            <w:webHidden/>
          </w:rPr>
          <w:fldChar w:fldCharType="end"/>
        </w:r>
      </w:hyperlink>
    </w:p>
    <w:p w14:paraId="5AA5CC9D" w14:textId="77777777" w:rsidR="00F87FCB" w:rsidRDefault="00F87FCB">
      <w:pPr>
        <w:pStyle w:val="TOC2"/>
        <w:tabs>
          <w:tab w:val="right" w:leader="dot" w:pos="9174"/>
        </w:tabs>
        <w:rPr>
          <w:rFonts w:asciiTheme="minorHAnsi" w:eastAsiaTheme="minorEastAsia" w:hAnsiTheme="minorHAnsi"/>
          <w:noProof/>
        </w:rPr>
      </w:pPr>
      <w:hyperlink w:anchor="_Toc235220746" w:history="1">
        <w:r w:rsidRPr="00B36793">
          <w:rPr>
            <w:rStyle w:val="Hyperlink"/>
            <w:noProof/>
          </w:rPr>
          <w:t>2.4 Search strategy and information sources</w:t>
        </w:r>
        <w:r>
          <w:rPr>
            <w:noProof/>
            <w:webHidden/>
          </w:rPr>
          <w:tab/>
        </w:r>
        <w:r w:rsidR="00AD5414">
          <w:rPr>
            <w:noProof/>
            <w:webHidden/>
          </w:rPr>
          <w:fldChar w:fldCharType="begin"/>
        </w:r>
        <w:r>
          <w:rPr>
            <w:noProof/>
            <w:webHidden/>
          </w:rPr>
          <w:instrText xml:space="preserve"> PAGEREF _Toc235220746 \h </w:instrText>
        </w:r>
        <w:r w:rsidR="00AD5414">
          <w:rPr>
            <w:noProof/>
            <w:webHidden/>
          </w:rPr>
        </w:r>
        <w:r w:rsidR="00AD5414">
          <w:rPr>
            <w:noProof/>
            <w:webHidden/>
          </w:rPr>
          <w:fldChar w:fldCharType="separate"/>
        </w:r>
        <w:r>
          <w:rPr>
            <w:noProof/>
            <w:webHidden/>
          </w:rPr>
          <w:t>5</w:t>
        </w:r>
        <w:r w:rsidR="00AD5414">
          <w:rPr>
            <w:noProof/>
            <w:webHidden/>
          </w:rPr>
          <w:fldChar w:fldCharType="end"/>
        </w:r>
      </w:hyperlink>
    </w:p>
    <w:p w14:paraId="25A7996C" w14:textId="77777777" w:rsidR="00F87FCB" w:rsidRDefault="00F87FCB">
      <w:pPr>
        <w:pStyle w:val="TOC2"/>
        <w:tabs>
          <w:tab w:val="right" w:leader="dot" w:pos="9174"/>
        </w:tabs>
        <w:rPr>
          <w:rFonts w:asciiTheme="minorHAnsi" w:eastAsiaTheme="minorEastAsia" w:hAnsiTheme="minorHAnsi"/>
          <w:noProof/>
        </w:rPr>
      </w:pPr>
      <w:hyperlink w:anchor="_Toc235220747" w:history="1">
        <w:r w:rsidRPr="00B36793">
          <w:rPr>
            <w:rStyle w:val="Hyperlink"/>
            <w:noProof/>
          </w:rPr>
          <w:t>2.5 Inclusion and exclusion criteria</w:t>
        </w:r>
        <w:r>
          <w:rPr>
            <w:noProof/>
            <w:webHidden/>
          </w:rPr>
          <w:tab/>
        </w:r>
        <w:r w:rsidR="00AD5414">
          <w:rPr>
            <w:noProof/>
            <w:webHidden/>
          </w:rPr>
          <w:fldChar w:fldCharType="begin"/>
        </w:r>
        <w:r>
          <w:rPr>
            <w:noProof/>
            <w:webHidden/>
          </w:rPr>
          <w:instrText xml:space="preserve"> PAGEREF _Toc235220747 \h </w:instrText>
        </w:r>
        <w:r w:rsidR="00AD5414">
          <w:rPr>
            <w:noProof/>
            <w:webHidden/>
          </w:rPr>
        </w:r>
        <w:r w:rsidR="00AD5414">
          <w:rPr>
            <w:noProof/>
            <w:webHidden/>
          </w:rPr>
          <w:fldChar w:fldCharType="separate"/>
        </w:r>
        <w:r>
          <w:rPr>
            <w:noProof/>
            <w:webHidden/>
          </w:rPr>
          <w:t>6</w:t>
        </w:r>
        <w:r w:rsidR="00AD5414">
          <w:rPr>
            <w:noProof/>
            <w:webHidden/>
          </w:rPr>
          <w:fldChar w:fldCharType="end"/>
        </w:r>
      </w:hyperlink>
    </w:p>
    <w:p w14:paraId="29B59DC6" w14:textId="77777777" w:rsidR="00F87FCB" w:rsidRDefault="00F87FCB">
      <w:pPr>
        <w:pStyle w:val="TOC2"/>
        <w:tabs>
          <w:tab w:val="right" w:leader="dot" w:pos="9174"/>
        </w:tabs>
        <w:rPr>
          <w:rFonts w:asciiTheme="minorHAnsi" w:eastAsiaTheme="minorEastAsia" w:hAnsiTheme="minorHAnsi"/>
          <w:noProof/>
        </w:rPr>
      </w:pPr>
      <w:hyperlink w:anchor="_Toc235220748" w:history="1">
        <w:r w:rsidRPr="00B36793">
          <w:rPr>
            <w:rStyle w:val="Hyperlink"/>
            <w:noProof/>
          </w:rPr>
          <w:t>2.6 Study selection</w:t>
        </w:r>
        <w:r>
          <w:rPr>
            <w:noProof/>
            <w:webHidden/>
          </w:rPr>
          <w:tab/>
        </w:r>
        <w:r w:rsidR="00AD5414">
          <w:rPr>
            <w:noProof/>
            <w:webHidden/>
          </w:rPr>
          <w:fldChar w:fldCharType="begin"/>
        </w:r>
        <w:r>
          <w:rPr>
            <w:noProof/>
            <w:webHidden/>
          </w:rPr>
          <w:instrText xml:space="preserve"> PAGEREF _Toc235220748 \h </w:instrText>
        </w:r>
        <w:r w:rsidR="00AD5414">
          <w:rPr>
            <w:noProof/>
            <w:webHidden/>
          </w:rPr>
        </w:r>
        <w:r w:rsidR="00AD5414">
          <w:rPr>
            <w:noProof/>
            <w:webHidden/>
          </w:rPr>
          <w:fldChar w:fldCharType="separate"/>
        </w:r>
        <w:r>
          <w:rPr>
            <w:noProof/>
            <w:webHidden/>
          </w:rPr>
          <w:t>6</w:t>
        </w:r>
        <w:r w:rsidR="00AD5414">
          <w:rPr>
            <w:noProof/>
            <w:webHidden/>
          </w:rPr>
          <w:fldChar w:fldCharType="end"/>
        </w:r>
      </w:hyperlink>
    </w:p>
    <w:p w14:paraId="37729118" w14:textId="77777777" w:rsidR="00F87FCB" w:rsidRDefault="00F87FCB">
      <w:pPr>
        <w:pStyle w:val="TOC2"/>
        <w:tabs>
          <w:tab w:val="right" w:leader="dot" w:pos="9174"/>
        </w:tabs>
        <w:rPr>
          <w:rFonts w:asciiTheme="minorHAnsi" w:eastAsiaTheme="minorEastAsia" w:hAnsiTheme="minorHAnsi"/>
          <w:noProof/>
        </w:rPr>
      </w:pPr>
      <w:hyperlink w:anchor="_Toc235220749" w:history="1">
        <w:r w:rsidRPr="00B36793">
          <w:rPr>
            <w:rStyle w:val="Hyperlink"/>
            <w:noProof/>
          </w:rPr>
          <w:t>2.7 Data extraction</w:t>
        </w:r>
        <w:r>
          <w:rPr>
            <w:noProof/>
            <w:webHidden/>
          </w:rPr>
          <w:tab/>
        </w:r>
        <w:r w:rsidR="00AD5414">
          <w:rPr>
            <w:noProof/>
            <w:webHidden/>
          </w:rPr>
          <w:fldChar w:fldCharType="begin"/>
        </w:r>
        <w:r>
          <w:rPr>
            <w:noProof/>
            <w:webHidden/>
          </w:rPr>
          <w:instrText xml:space="preserve"> PAGEREF _Toc235220749 \h </w:instrText>
        </w:r>
        <w:r w:rsidR="00AD5414">
          <w:rPr>
            <w:noProof/>
            <w:webHidden/>
          </w:rPr>
        </w:r>
        <w:r w:rsidR="00AD5414">
          <w:rPr>
            <w:noProof/>
            <w:webHidden/>
          </w:rPr>
          <w:fldChar w:fldCharType="separate"/>
        </w:r>
        <w:r>
          <w:rPr>
            <w:noProof/>
            <w:webHidden/>
          </w:rPr>
          <w:t>7</w:t>
        </w:r>
        <w:r w:rsidR="00AD5414">
          <w:rPr>
            <w:noProof/>
            <w:webHidden/>
          </w:rPr>
          <w:fldChar w:fldCharType="end"/>
        </w:r>
      </w:hyperlink>
    </w:p>
    <w:p w14:paraId="4135093B" w14:textId="77777777" w:rsidR="00F87FCB" w:rsidRDefault="00F87FCB">
      <w:pPr>
        <w:pStyle w:val="TOC2"/>
        <w:tabs>
          <w:tab w:val="right" w:leader="dot" w:pos="9174"/>
        </w:tabs>
        <w:rPr>
          <w:rFonts w:asciiTheme="minorHAnsi" w:eastAsiaTheme="minorEastAsia" w:hAnsiTheme="minorHAnsi"/>
          <w:noProof/>
        </w:rPr>
      </w:pPr>
      <w:hyperlink w:anchor="_Toc235220750" w:history="1">
        <w:r w:rsidRPr="00B36793">
          <w:rPr>
            <w:rStyle w:val="Hyperlink"/>
            <w:noProof/>
          </w:rPr>
          <w:t>2.8 Thematic analysis</w:t>
        </w:r>
        <w:r>
          <w:rPr>
            <w:noProof/>
            <w:webHidden/>
          </w:rPr>
          <w:tab/>
        </w:r>
        <w:r w:rsidR="00AD5414">
          <w:rPr>
            <w:noProof/>
            <w:webHidden/>
          </w:rPr>
          <w:fldChar w:fldCharType="begin"/>
        </w:r>
        <w:r>
          <w:rPr>
            <w:noProof/>
            <w:webHidden/>
          </w:rPr>
          <w:instrText xml:space="preserve"> PAGEREF _Toc235220750 \h </w:instrText>
        </w:r>
        <w:r w:rsidR="00AD5414">
          <w:rPr>
            <w:noProof/>
            <w:webHidden/>
          </w:rPr>
        </w:r>
        <w:r w:rsidR="00AD5414">
          <w:rPr>
            <w:noProof/>
            <w:webHidden/>
          </w:rPr>
          <w:fldChar w:fldCharType="separate"/>
        </w:r>
        <w:r>
          <w:rPr>
            <w:noProof/>
            <w:webHidden/>
          </w:rPr>
          <w:t>7</w:t>
        </w:r>
        <w:r w:rsidR="00AD5414">
          <w:rPr>
            <w:noProof/>
            <w:webHidden/>
          </w:rPr>
          <w:fldChar w:fldCharType="end"/>
        </w:r>
      </w:hyperlink>
    </w:p>
    <w:p w14:paraId="2AAFE929" w14:textId="77777777" w:rsidR="00F87FCB" w:rsidRDefault="00F87FCB">
      <w:pPr>
        <w:pStyle w:val="TOC2"/>
        <w:tabs>
          <w:tab w:val="right" w:leader="dot" w:pos="9174"/>
        </w:tabs>
        <w:rPr>
          <w:rFonts w:asciiTheme="minorHAnsi" w:eastAsiaTheme="minorEastAsia" w:hAnsiTheme="minorHAnsi"/>
          <w:noProof/>
        </w:rPr>
      </w:pPr>
      <w:hyperlink w:anchor="_Toc235220751" w:history="1">
        <w:r w:rsidRPr="00B36793">
          <w:rPr>
            <w:rStyle w:val="Hyperlink"/>
            <w:noProof/>
          </w:rPr>
          <w:t>2.9 Quality and relevance</w:t>
        </w:r>
        <w:r>
          <w:rPr>
            <w:noProof/>
            <w:webHidden/>
          </w:rPr>
          <w:tab/>
        </w:r>
        <w:r w:rsidR="00AD5414">
          <w:rPr>
            <w:noProof/>
            <w:webHidden/>
          </w:rPr>
          <w:fldChar w:fldCharType="begin"/>
        </w:r>
        <w:r>
          <w:rPr>
            <w:noProof/>
            <w:webHidden/>
          </w:rPr>
          <w:instrText xml:space="preserve"> PAGEREF _Toc235220751 \h </w:instrText>
        </w:r>
        <w:r w:rsidR="00AD5414">
          <w:rPr>
            <w:noProof/>
            <w:webHidden/>
          </w:rPr>
        </w:r>
        <w:r w:rsidR="00AD5414">
          <w:rPr>
            <w:noProof/>
            <w:webHidden/>
          </w:rPr>
          <w:fldChar w:fldCharType="separate"/>
        </w:r>
        <w:r>
          <w:rPr>
            <w:noProof/>
            <w:webHidden/>
          </w:rPr>
          <w:t>7</w:t>
        </w:r>
        <w:r w:rsidR="00AD5414">
          <w:rPr>
            <w:noProof/>
            <w:webHidden/>
          </w:rPr>
          <w:fldChar w:fldCharType="end"/>
        </w:r>
      </w:hyperlink>
    </w:p>
    <w:p w14:paraId="3990A3BC" w14:textId="77777777" w:rsidR="00F87FCB" w:rsidRDefault="00F87FCB">
      <w:pPr>
        <w:pStyle w:val="TOC2"/>
        <w:tabs>
          <w:tab w:val="right" w:leader="dot" w:pos="9174"/>
        </w:tabs>
        <w:rPr>
          <w:rFonts w:asciiTheme="minorHAnsi" w:eastAsiaTheme="minorEastAsia" w:hAnsiTheme="minorHAnsi"/>
          <w:noProof/>
        </w:rPr>
      </w:pPr>
      <w:hyperlink w:anchor="_Toc235220752" w:history="1">
        <w:r w:rsidRPr="00B36793">
          <w:rPr>
            <w:rStyle w:val="Hyperlink"/>
            <w:noProof/>
          </w:rPr>
          <w:t>2.10 Ethical considerations</w:t>
        </w:r>
        <w:r>
          <w:rPr>
            <w:noProof/>
            <w:webHidden/>
          </w:rPr>
          <w:tab/>
        </w:r>
        <w:r w:rsidR="00AD5414">
          <w:rPr>
            <w:noProof/>
            <w:webHidden/>
          </w:rPr>
          <w:fldChar w:fldCharType="begin"/>
        </w:r>
        <w:r>
          <w:rPr>
            <w:noProof/>
            <w:webHidden/>
          </w:rPr>
          <w:instrText xml:space="preserve"> PAGEREF _Toc235220752 \h </w:instrText>
        </w:r>
        <w:r w:rsidR="00AD5414">
          <w:rPr>
            <w:noProof/>
            <w:webHidden/>
          </w:rPr>
        </w:r>
        <w:r w:rsidR="00AD5414">
          <w:rPr>
            <w:noProof/>
            <w:webHidden/>
          </w:rPr>
          <w:fldChar w:fldCharType="separate"/>
        </w:r>
        <w:r>
          <w:rPr>
            <w:noProof/>
            <w:webHidden/>
          </w:rPr>
          <w:t>7</w:t>
        </w:r>
        <w:r w:rsidR="00AD5414">
          <w:rPr>
            <w:noProof/>
            <w:webHidden/>
          </w:rPr>
          <w:fldChar w:fldCharType="end"/>
        </w:r>
      </w:hyperlink>
    </w:p>
    <w:p w14:paraId="7CE634F7" w14:textId="77777777" w:rsidR="00F87FCB" w:rsidRDefault="00F87FCB">
      <w:pPr>
        <w:pStyle w:val="TOC1"/>
        <w:tabs>
          <w:tab w:val="right" w:leader="dot" w:pos="9174"/>
        </w:tabs>
        <w:rPr>
          <w:rFonts w:asciiTheme="minorHAnsi" w:eastAsiaTheme="minorEastAsia" w:hAnsiTheme="minorHAnsi"/>
          <w:noProof/>
        </w:rPr>
      </w:pPr>
      <w:hyperlink w:anchor="_Toc235220753" w:history="1">
        <w:r w:rsidRPr="00B36793">
          <w:rPr>
            <w:rStyle w:val="Hyperlink"/>
            <w:noProof/>
          </w:rPr>
          <w:t>3. Results</w:t>
        </w:r>
        <w:r>
          <w:rPr>
            <w:noProof/>
            <w:webHidden/>
          </w:rPr>
          <w:tab/>
        </w:r>
        <w:r w:rsidR="00AD5414">
          <w:rPr>
            <w:noProof/>
            <w:webHidden/>
          </w:rPr>
          <w:fldChar w:fldCharType="begin"/>
        </w:r>
        <w:r>
          <w:rPr>
            <w:noProof/>
            <w:webHidden/>
          </w:rPr>
          <w:instrText xml:space="preserve"> PAGEREF _Toc235220753 \h </w:instrText>
        </w:r>
        <w:r w:rsidR="00AD5414">
          <w:rPr>
            <w:noProof/>
            <w:webHidden/>
          </w:rPr>
        </w:r>
        <w:r w:rsidR="00AD5414">
          <w:rPr>
            <w:noProof/>
            <w:webHidden/>
          </w:rPr>
          <w:fldChar w:fldCharType="separate"/>
        </w:r>
        <w:r>
          <w:rPr>
            <w:noProof/>
            <w:webHidden/>
          </w:rPr>
          <w:t>8</w:t>
        </w:r>
        <w:r w:rsidR="00AD5414">
          <w:rPr>
            <w:noProof/>
            <w:webHidden/>
          </w:rPr>
          <w:fldChar w:fldCharType="end"/>
        </w:r>
      </w:hyperlink>
    </w:p>
    <w:p w14:paraId="268AE77C" w14:textId="77777777" w:rsidR="00F87FCB" w:rsidRDefault="00F87FCB">
      <w:pPr>
        <w:pStyle w:val="TOC2"/>
        <w:tabs>
          <w:tab w:val="right" w:leader="dot" w:pos="9174"/>
        </w:tabs>
        <w:rPr>
          <w:rFonts w:asciiTheme="minorHAnsi" w:eastAsiaTheme="minorEastAsia" w:hAnsiTheme="minorHAnsi"/>
          <w:noProof/>
        </w:rPr>
      </w:pPr>
      <w:hyperlink w:anchor="_Toc235220754" w:history="1">
        <w:r w:rsidRPr="00B36793">
          <w:rPr>
            <w:rStyle w:val="Hyperlink"/>
            <w:noProof/>
          </w:rPr>
          <w:t>3.1 Overview of included evidence</w:t>
        </w:r>
        <w:r>
          <w:rPr>
            <w:noProof/>
            <w:webHidden/>
          </w:rPr>
          <w:tab/>
        </w:r>
        <w:r w:rsidR="00AD5414">
          <w:rPr>
            <w:noProof/>
            <w:webHidden/>
          </w:rPr>
          <w:fldChar w:fldCharType="begin"/>
        </w:r>
        <w:r>
          <w:rPr>
            <w:noProof/>
            <w:webHidden/>
          </w:rPr>
          <w:instrText xml:space="preserve"> PAGEREF _Toc235220754 \h </w:instrText>
        </w:r>
        <w:r w:rsidR="00AD5414">
          <w:rPr>
            <w:noProof/>
            <w:webHidden/>
          </w:rPr>
        </w:r>
        <w:r w:rsidR="00AD5414">
          <w:rPr>
            <w:noProof/>
            <w:webHidden/>
          </w:rPr>
          <w:fldChar w:fldCharType="separate"/>
        </w:r>
        <w:r>
          <w:rPr>
            <w:noProof/>
            <w:webHidden/>
          </w:rPr>
          <w:t>8</w:t>
        </w:r>
        <w:r w:rsidR="00AD5414">
          <w:rPr>
            <w:noProof/>
            <w:webHidden/>
          </w:rPr>
          <w:fldChar w:fldCharType="end"/>
        </w:r>
      </w:hyperlink>
    </w:p>
    <w:p w14:paraId="39DF4E59" w14:textId="77777777" w:rsidR="00F87FCB" w:rsidRDefault="00F87FCB">
      <w:pPr>
        <w:pStyle w:val="TOC2"/>
        <w:tabs>
          <w:tab w:val="right" w:leader="dot" w:pos="9174"/>
        </w:tabs>
        <w:rPr>
          <w:rFonts w:asciiTheme="minorHAnsi" w:eastAsiaTheme="minorEastAsia" w:hAnsiTheme="minorHAnsi"/>
          <w:noProof/>
        </w:rPr>
      </w:pPr>
      <w:hyperlink w:anchor="_Toc235220755" w:history="1">
        <w:r w:rsidRPr="00B36793">
          <w:rPr>
            <w:rStyle w:val="Hyperlink"/>
            <w:noProof/>
          </w:rPr>
          <w:t>3.2 Code generation</w:t>
        </w:r>
        <w:r>
          <w:rPr>
            <w:noProof/>
            <w:webHidden/>
          </w:rPr>
          <w:tab/>
        </w:r>
        <w:r w:rsidR="00AD5414">
          <w:rPr>
            <w:noProof/>
            <w:webHidden/>
          </w:rPr>
          <w:fldChar w:fldCharType="begin"/>
        </w:r>
        <w:r>
          <w:rPr>
            <w:noProof/>
            <w:webHidden/>
          </w:rPr>
          <w:instrText xml:space="preserve"> PAGEREF _Toc235220755 \h </w:instrText>
        </w:r>
        <w:r w:rsidR="00AD5414">
          <w:rPr>
            <w:noProof/>
            <w:webHidden/>
          </w:rPr>
        </w:r>
        <w:r w:rsidR="00AD5414">
          <w:rPr>
            <w:noProof/>
            <w:webHidden/>
          </w:rPr>
          <w:fldChar w:fldCharType="separate"/>
        </w:r>
        <w:r>
          <w:rPr>
            <w:noProof/>
            <w:webHidden/>
          </w:rPr>
          <w:t>9</w:t>
        </w:r>
        <w:r w:rsidR="00AD5414">
          <w:rPr>
            <w:noProof/>
            <w:webHidden/>
          </w:rPr>
          <w:fldChar w:fldCharType="end"/>
        </w:r>
      </w:hyperlink>
    </w:p>
    <w:p w14:paraId="46CD7F0E" w14:textId="77777777" w:rsidR="00F87FCB" w:rsidRDefault="00F87FCB">
      <w:pPr>
        <w:pStyle w:val="TOC2"/>
        <w:tabs>
          <w:tab w:val="right" w:leader="dot" w:pos="9174"/>
        </w:tabs>
        <w:rPr>
          <w:rFonts w:asciiTheme="minorHAnsi" w:eastAsiaTheme="minorEastAsia" w:hAnsiTheme="minorHAnsi"/>
          <w:noProof/>
        </w:rPr>
      </w:pPr>
      <w:hyperlink w:anchor="_Toc235220756" w:history="1">
        <w:r w:rsidRPr="00B36793">
          <w:rPr>
            <w:rStyle w:val="Hyperlink"/>
            <w:noProof/>
          </w:rPr>
          <w:t>3.3 Theme 1: HPV vaccination and reduced cervical disease</w:t>
        </w:r>
        <w:r>
          <w:rPr>
            <w:noProof/>
            <w:webHidden/>
          </w:rPr>
          <w:tab/>
        </w:r>
        <w:r w:rsidR="00AD5414">
          <w:rPr>
            <w:noProof/>
            <w:webHidden/>
          </w:rPr>
          <w:fldChar w:fldCharType="begin"/>
        </w:r>
        <w:r>
          <w:rPr>
            <w:noProof/>
            <w:webHidden/>
          </w:rPr>
          <w:instrText xml:space="preserve"> PAGEREF _Toc235220756 \h </w:instrText>
        </w:r>
        <w:r w:rsidR="00AD5414">
          <w:rPr>
            <w:noProof/>
            <w:webHidden/>
          </w:rPr>
        </w:r>
        <w:r w:rsidR="00AD5414">
          <w:rPr>
            <w:noProof/>
            <w:webHidden/>
          </w:rPr>
          <w:fldChar w:fldCharType="separate"/>
        </w:r>
        <w:r>
          <w:rPr>
            <w:noProof/>
            <w:webHidden/>
          </w:rPr>
          <w:t>9</w:t>
        </w:r>
        <w:r w:rsidR="00AD5414">
          <w:rPr>
            <w:noProof/>
            <w:webHidden/>
          </w:rPr>
          <w:fldChar w:fldCharType="end"/>
        </w:r>
      </w:hyperlink>
    </w:p>
    <w:p w14:paraId="549003F1" w14:textId="77777777" w:rsidR="00F87FCB" w:rsidRDefault="00F87FCB">
      <w:pPr>
        <w:pStyle w:val="TOC2"/>
        <w:tabs>
          <w:tab w:val="right" w:leader="dot" w:pos="9174"/>
        </w:tabs>
        <w:rPr>
          <w:rFonts w:asciiTheme="minorHAnsi" w:eastAsiaTheme="minorEastAsia" w:hAnsiTheme="minorHAnsi"/>
          <w:noProof/>
        </w:rPr>
      </w:pPr>
      <w:hyperlink w:anchor="_Toc235220757" w:history="1">
        <w:r w:rsidRPr="00B36793">
          <w:rPr>
            <w:rStyle w:val="Hyperlink"/>
            <w:noProof/>
          </w:rPr>
          <w:t>3.4 Theme 2: HPV-based screening, triage and follow-up</w:t>
        </w:r>
        <w:r>
          <w:rPr>
            <w:noProof/>
            <w:webHidden/>
          </w:rPr>
          <w:tab/>
        </w:r>
        <w:r w:rsidR="00AD5414">
          <w:rPr>
            <w:noProof/>
            <w:webHidden/>
          </w:rPr>
          <w:fldChar w:fldCharType="begin"/>
        </w:r>
        <w:r>
          <w:rPr>
            <w:noProof/>
            <w:webHidden/>
          </w:rPr>
          <w:instrText xml:space="preserve"> PAGEREF _Toc235220757 \h </w:instrText>
        </w:r>
        <w:r w:rsidR="00AD5414">
          <w:rPr>
            <w:noProof/>
            <w:webHidden/>
          </w:rPr>
        </w:r>
        <w:r w:rsidR="00AD5414">
          <w:rPr>
            <w:noProof/>
            <w:webHidden/>
          </w:rPr>
          <w:fldChar w:fldCharType="separate"/>
        </w:r>
        <w:r>
          <w:rPr>
            <w:noProof/>
            <w:webHidden/>
          </w:rPr>
          <w:t>10</w:t>
        </w:r>
        <w:r w:rsidR="00AD5414">
          <w:rPr>
            <w:noProof/>
            <w:webHidden/>
          </w:rPr>
          <w:fldChar w:fldCharType="end"/>
        </w:r>
      </w:hyperlink>
    </w:p>
    <w:p w14:paraId="33F415CF" w14:textId="77777777" w:rsidR="00F87FCB" w:rsidRDefault="00F87FCB">
      <w:pPr>
        <w:pStyle w:val="TOC2"/>
        <w:tabs>
          <w:tab w:val="right" w:leader="dot" w:pos="9174"/>
        </w:tabs>
        <w:rPr>
          <w:rFonts w:asciiTheme="minorHAnsi" w:eastAsiaTheme="minorEastAsia" w:hAnsiTheme="minorHAnsi"/>
          <w:noProof/>
        </w:rPr>
      </w:pPr>
      <w:hyperlink w:anchor="_Toc235220758" w:history="1">
        <w:r w:rsidRPr="00B36793">
          <w:rPr>
            <w:rStyle w:val="Hyperlink"/>
            <w:noProof/>
          </w:rPr>
          <w:t>3.5 Theme 3: Barriers, knowledge and inequalities</w:t>
        </w:r>
        <w:r>
          <w:rPr>
            <w:noProof/>
            <w:webHidden/>
          </w:rPr>
          <w:tab/>
        </w:r>
        <w:r w:rsidR="00AD5414">
          <w:rPr>
            <w:noProof/>
            <w:webHidden/>
          </w:rPr>
          <w:fldChar w:fldCharType="begin"/>
        </w:r>
        <w:r>
          <w:rPr>
            <w:noProof/>
            <w:webHidden/>
          </w:rPr>
          <w:instrText xml:space="preserve"> PAGEREF _Toc235220758 \h </w:instrText>
        </w:r>
        <w:r w:rsidR="00AD5414">
          <w:rPr>
            <w:noProof/>
            <w:webHidden/>
          </w:rPr>
        </w:r>
        <w:r w:rsidR="00AD5414">
          <w:rPr>
            <w:noProof/>
            <w:webHidden/>
          </w:rPr>
          <w:fldChar w:fldCharType="separate"/>
        </w:r>
        <w:r>
          <w:rPr>
            <w:noProof/>
            <w:webHidden/>
          </w:rPr>
          <w:t>11</w:t>
        </w:r>
        <w:r w:rsidR="00AD5414">
          <w:rPr>
            <w:noProof/>
            <w:webHidden/>
          </w:rPr>
          <w:fldChar w:fldCharType="end"/>
        </w:r>
      </w:hyperlink>
    </w:p>
    <w:p w14:paraId="35F57733" w14:textId="77777777" w:rsidR="00F87FCB" w:rsidRDefault="00F87FCB">
      <w:pPr>
        <w:pStyle w:val="TOC2"/>
        <w:tabs>
          <w:tab w:val="right" w:leader="dot" w:pos="9174"/>
        </w:tabs>
        <w:rPr>
          <w:rFonts w:asciiTheme="minorHAnsi" w:eastAsiaTheme="minorEastAsia" w:hAnsiTheme="minorHAnsi"/>
          <w:noProof/>
        </w:rPr>
      </w:pPr>
      <w:hyperlink w:anchor="_Toc235220759" w:history="1">
        <w:r w:rsidRPr="00B36793">
          <w:rPr>
            <w:rStyle w:val="Hyperlink"/>
            <w:noProof/>
          </w:rPr>
          <w:t>3.6 Theme 4: Self-sampling and psychosocial experience</w:t>
        </w:r>
        <w:r>
          <w:rPr>
            <w:noProof/>
            <w:webHidden/>
          </w:rPr>
          <w:tab/>
        </w:r>
        <w:r w:rsidR="00AD5414">
          <w:rPr>
            <w:noProof/>
            <w:webHidden/>
          </w:rPr>
          <w:fldChar w:fldCharType="begin"/>
        </w:r>
        <w:r>
          <w:rPr>
            <w:noProof/>
            <w:webHidden/>
          </w:rPr>
          <w:instrText xml:space="preserve"> PAGEREF _Toc235220759 \h </w:instrText>
        </w:r>
        <w:r w:rsidR="00AD5414">
          <w:rPr>
            <w:noProof/>
            <w:webHidden/>
          </w:rPr>
        </w:r>
        <w:r w:rsidR="00AD5414">
          <w:rPr>
            <w:noProof/>
            <w:webHidden/>
          </w:rPr>
          <w:fldChar w:fldCharType="separate"/>
        </w:r>
        <w:r>
          <w:rPr>
            <w:noProof/>
            <w:webHidden/>
          </w:rPr>
          <w:t>11</w:t>
        </w:r>
        <w:r w:rsidR="00AD5414">
          <w:rPr>
            <w:noProof/>
            <w:webHidden/>
          </w:rPr>
          <w:fldChar w:fldCharType="end"/>
        </w:r>
      </w:hyperlink>
    </w:p>
    <w:p w14:paraId="24EAA091" w14:textId="77777777" w:rsidR="00F87FCB" w:rsidRDefault="00F87FCB">
      <w:pPr>
        <w:pStyle w:val="TOC2"/>
        <w:tabs>
          <w:tab w:val="right" w:leader="dot" w:pos="9174"/>
        </w:tabs>
        <w:rPr>
          <w:rFonts w:asciiTheme="minorHAnsi" w:eastAsiaTheme="minorEastAsia" w:hAnsiTheme="minorHAnsi"/>
          <w:noProof/>
        </w:rPr>
      </w:pPr>
      <w:hyperlink w:anchor="_Toc235220760" w:history="1">
        <w:r w:rsidRPr="00B36793">
          <w:rPr>
            <w:rStyle w:val="Hyperlink"/>
            <w:noProof/>
          </w:rPr>
          <w:t>5. Discussion</w:t>
        </w:r>
        <w:r>
          <w:rPr>
            <w:noProof/>
            <w:webHidden/>
          </w:rPr>
          <w:tab/>
        </w:r>
        <w:r w:rsidR="00AD5414">
          <w:rPr>
            <w:noProof/>
            <w:webHidden/>
          </w:rPr>
          <w:fldChar w:fldCharType="begin"/>
        </w:r>
        <w:r>
          <w:rPr>
            <w:noProof/>
            <w:webHidden/>
          </w:rPr>
          <w:instrText xml:space="preserve"> PAGEREF _Toc235220760 \h </w:instrText>
        </w:r>
        <w:r w:rsidR="00AD5414">
          <w:rPr>
            <w:noProof/>
            <w:webHidden/>
          </w:rPr>
        </w:r>
        <w:r w:rsidR="00AD5414">
          <w:rPr>
            <w:noProof/>
            <w:webHidden/>
          </w:rPr>
          <w:fldChar w:fldCharType="separate"/>
        </w:r>
        <w:r>
          <w:rPr>
            <w:noProof/>
            <w:webHidden/>
          </w:rPr>
          <w:t>12</w:t>
        </w:r>
        <w:r w:rsidR="00AD5414">
          <w:rPr>
            <w:noProof/>
            <w:webHidden/>
          </w:rPr>
          <w:fldChar w:fldCharType="end"/>
        </w:r>
      </w:hyperlink>
    </w:p>
    <w:p w14:paraId="581EA7A0" w14:textId="77777777" w:rsidR="00F87FCB" w:rsidRDefault="00F87FCB">
      <w:pPr>
        <w:pStyle w:val="TOC3"/>
        <w:tabs>
          <w:tab w:val="right" w:leader="dot" w:pos="9174"/>
        </w:tabs>
        <w:rPr>
          <w:noProof/>
        </w:rPr>
      </w:pPr>
      <w:hyperlink w:anchor="_Toc235220761" w:history="1">
        <w:r w:rsidRPr="00B36793">
          <w:rPr>
            <w:rStyle w:val="Hyperlink"/>
            <w:rFonts w:cs="Arial"/>
            <w:noProof/>
          </w:rPr>
          <w:t>5.1 Answer to the research question</w:t>
        </w:r>
        <w:r>
          <w:rPr>
            <w:noProof/>
            <w:webHidden/>
          </w:rPr>
          <w:tab/>
        </w:r>
        <w:r w:rsidR="00AD5414">
          <w:rPr>
            <w:noProof/>
            <w:webHidden/>
          </w:rPr>
          <w:fldChar w:fldCharType="begin"/>
        </w:r>
        <w:r>
          <w:rPr>
            <w:noProof/>
            <w:webHidden/>
          </w:rPr>
          <w:instrText xml:space="preserve"> PAGEREF _Toc235220761 \h </w:instrText>
        </w:r>
        <w:r w:rsidR="00AD5414">
          <w:rPr>
            <w:noProof/>
            <w:webHidden/>
          </w:rPr>
        </w:r>
        <w:r w:rsidR="00AD5414">
          <w:rPr>
            <w:noProof/>
            <w:webHidden/>
          </w:rPr>
          <w:fldChar w:fldCharType="separate"/>
        </w:r>
        <w:r>
          <w:rPr>
            <w:noProof/>
            <w:webHidden/>
          </w:rPr>
          <w:t>12</w:t>
        </w:r>
        <w:r w:rsidR="00AD5414">
          <w:rPr>
            <w:noProof/>
            <w:webHidden/>
          </w:rPr>
          <w:fldChar w:fldCharType="end"/>
        </w:r>
      </w:hyperlink>
    </w:p>
    <w:p w14:paraId="2B1193DF" w14:textId="77777777" w:rsidR="00F87FCB" w:rsidRDefault="00F87FCB">
      <w:pPr>
        <w:pStyle w:val="TOC3"/>
        <w:tabs>
          <w:tab w:val="right" w:leader="dot" w:pos="9174"/>
        </w:tabs>
        <w:rPr>
          <w:noProof/>
        </w:rPr>
      </w:pPr>
      <w:hyperlink w:anchor="_Toc235220762" w:history="1">
        <w:r w:rsidRPr="00B36793">
          <w:rPr>
            <w:rStyle w:val="Hyperlink"/>
            <w:rFonts w:cs="Arial"/>
            <w:noProof/>
          </w:rPr>
          <w:t>5.2 Prevention needs a complete pathway</w:t>
        </w:r>
        <w:r>
          <w:rPr>
            <w:noProof/>
            <w:webHidden/>
          </w:rPr>
          <w:tab/>
        </w:r>
        <w:r w:rsidR="00AD5414">
          <w:rPr>
            <w:noProof/>
            <w:webHidden/>
          </w:rPr>
          <w:fldChar w:fldCharType="begin"/>
        </w:r>
        <w:r>
          <w:rPr>
            <w:noProof/>
            <w:webHidden/>
          </w:rPr>
          <w:instrText xml:space="preserve"> PAGEREF _Toc235220762 \h </w:instrText>
        </w:r>
        <w:r w:rsidR="00AD5414">
          <w:rPr>
            <w:noProof/>
            <w:webHidden/>
          </w:rPr>
        </w:r>
        <w:r w:rsidR="00AD5414">
          <w:rPr>
            <w:noProof/>
            <w:webHidden/>
          </w:rPr>
          <w:fldChar w:fldCharType="separate"/>
        </w:r>
        <w:r>
          <w:rPr>
            <w:noProof/>
            <w:webHidden/>
          </w:rPr>
          <w:t>12</w:t>
        </w:r>
        <w:r w:rsidR="00AD5414">
          <w:rPr>
            <w:noProof/>
            <w:webHidden/>
          </w:rPr>
          <w:fldChar w:fldCharType="end"/>
        </w:r>
      </w:hyperlink>
    </w:p>
    <w:p w14:paraId="5C629752" w14:textId="77777777" w:rsidR="00F87FCB" w:rsidRDefault="00F87FCB">
      <w:pPr>
        <w:pStyle w:val="TOC3"/>
        <w:tabs>
          <w:tab w:val="right" w:leader="dot" w:pos="9174"/>
        </w:tabs>
        <w:rPr>
          <w:noProof/>
        </w:rPr>
      </w:pPr>
      <w:hyperlink w:anchor="_Toc235220763" w:history="1">
        <w:r w:rsidRPr="00B36793">
          <w:rPr>
            <w:rStyle w:val="Hyperlink"/>
            <w:rFonts w:cs="Arial"/>
            <w:noProof/>
          </w:rPr>
          <w:t>5.3 Inequality affects the HPV-cancer pathway</w:t>
        </w:r>
        <w:r>
          <w:rPr>
            <w:noProof/>
            <w:webHidden/>
          </w:rPr>
          <w:tab/>
        </w:r>
        <w:r w:rsidR="00AD5414">
          <w:rPr>
            <w:noProof/>
            <w:webHidden/>
          </w:rPr>
          <w:fldChar w:fldCharType="begin"/>
        </w:r>
        <w:r>
          <w:rPr>
            <w:noProof/>
            <w:webHidden/>
          </w:rPr>
          <w:instrText xml:space="preserve"> PAGEREF _Toc235220763 \h </w:instrText>
        </w:r>
        <w:r w:rsidR="00AD5414">
          <w:rPr>
            <w:noProof/>
            <w:webHidden/>
          </w:rPr>
        </w:r>
        <w:r w:rsidR="00AD5414">
          <w:rPr>
            <w:noProof/>
            <w:webHidden/>
          </w:rPr>
          <w:fldChar w:fldCharType="separate"/>
        </w:r>
        <w:r>
          <w:rPr>
            <w:noProof/>
            <w:webHidden/>
          </w:rPr>
          <w:t>13</w:t>
        </w:r>
        <w:r w:rsidR="00AD5414">
          <w:rPr>
            <w:noProof/>
            <w:webHidden/>
          </w:rPr>
          <w:fldChar w:fldCharType="end"/>
        </w:r>
      </w:hyperlink>
    </w:p>
    <w:p w14:paraId="4D53FF4D" w14:textId="77777777" w:rsidR="00F87FCB" w:rsidRDefault="00F87FCB">
      <w:pPr>
        <w:pStyle w:val="TOC3"/>
        <w:tabs>
          <w:tab w:val="right" w:leader="dot" w:pos="9174"/>
        </w:tabs>
        <w:rPr>
          <w:noProof/>
        </w:rPr>
      </w:pPr>
      <w:hyperlink w:anchor="_Toc235220764" w:history="1">
        <w:r w:rsidRPr="00B36793">
          <w:rPr>
            <w:rStyle w:val="Hyperlink"/>
            <w:rFonts w:cs="Arial"/>
            <w:noProof/>
          </w:rPr>
          <w:t>5.4 Self-sampling: benefit and caution</w:t>
        </w:r>
        <w:r>
          <w:rPr>
            <w:noProof/>
            <w:webHidden/>
          </w:rPr>
          <w:tab/>
        </w:r>
        <w:r w:rsidR="00AD5414">
          <w:rPr>
            <w:noProof/>
            <w:webHidden/>
          </w:rPr>
          <w:fldChar w:fldCharType="begin"/>
        </w:r>
        <w:r>
          <w:rPr>
            <w:noProof/>
            <w:webHidden/>
          </w:rPr>
          <w:instrText xml:space="preserve"> PAGEREF _Toc235220764 \h </w:instrText>
        </w:r>
        <w:r w:rsidR="00AD5414">
          <w:rPr>
            <w:noProof/>
            <w:webHidden/>
          </w:rPr>
        </w:r>
        <w:r w:rsidR="00AD5414">
          <w:rPr>
            <w:noProof/>
            <w:webHidden/>
          </w:rPr>
          <w:fldChar w:fldCharType="separate"/>
        </w:r>
        <w:r>
          <w:rPr>
            <w:noProof/>
            <w:webHidden/>
          </w:rPr>
          <w:t>13</w:t>
        </w:r>
        <w:r w:rsidR="00AD5414">
          <w:rPr>
            <w:noProof/>
            <w:webHidden/>
          </w:rPr>
          <w:fldChar w:fldCharType="end"/>
        </w:r>
      </w:hyperlink>
    </w:p>
    <w:p w14:paraId="2A7616FF" w14:textId="77777777" w:rsidR="00F87FCB" w:rsidRDefault="00F87FCB">
      <w:pPr>
        <w:pStyle w:val="TOC3"/>
        <w:tabs>
          <w:tab w:val="right" w:leader="dot" w:pos="9174"/>
        </w:tabs>
        <w:rPr>
          <w:noProof/>
        </w:rPr>
      </w:pPr>
      <w:hyperlink w:anchor="_Toc235220765" w:history="1">
        <w:r w:rsidRPr="00B36793">
          <w:rPr>
            <w:rStyle w:val="Hyperlink"/>
            <w:rFonts w:cs="Arial"/>
            <w:noProof/>
          </w:rPr>
          <w:t>5.5 Communication and psychological safety</w:t>
        </w:r>
        <w:r>
          <w:rPr>
            <w:noProof/>
            <w:webHidden/>
          </w:rPr>
          <w:tab/>
        </w:r>
        <w:r w:rsidR="00AD5414">
          <w:rPr>
            <w:noProof/>
            <w:webHidden/>
          </w:rPr>
          <w:fldChar w:fldCharType="begin"/>
        </w:r>
        <w:r>
          <w:rPr>
            <w:noProof/>
            <w:webHidden/>
          </w:rPr>
          <w:instrText xml:space="preserve"> PAGEREF _Toc235220765 \h </w:instrText>
        </w:r>
        <w:r w:rsidR="00AD5414">
          <w:rPr>
            <w:noProof/>
            <w:webHidden/>
          </w:rPr>
        </w:r>
        <w:r w:rsidR="00AD5414">
          <w:rPr>
            <w:noProof/>
            <w:webHidden/>
          </w:rPr>
          <w:fldChar w:fldCharType="separate"/>
        </w:r>
        <w:r>
          <w:rPr>
            <w:noProof/>
            <w:webHidden/>
          </w:rPr>
          <w:t>13</w:t>
        </w:r>
        <w:r w:rsidR="00AD5414">
          <w:rPr>
            <w:noProof/>
            <w:webHidden/>
          </w:rPr>
          <w:fldChar w:fldCharType="end"/>
        </w:r>
      </w:hyperlink>
    </w:p>
    <w:p w14:paraId="0F5D0F4E" w14:textId="77777777" w:rsidR="00F87FCB" w:rsidRDefault="00F87FCB">
      <w:pPr>
        <w:pStyle w:val="TOC3"/>
        <w:tabs>
          <w:tab w:val="right" w:leader="dot" w:pos="9174"/>
        </w:tabs>
        <w:rPr>
          <w:noProof/>
        </w:rPr>
      </w:pPr>
      <w:hyperlink w:anchor="_Toc235220766" w:history="1">
        <w:r w:rsidRPr="00B36793">
          <w:rPr>
            <w:rStyle w:val="Hyperlink"/>
            <w:rFonts w:cs="Arial"/>
            <w:noProof/>
          </w:rPr>
          <w:t>5.6 Knowledge gaps</w:t>
        </w:r>
        <w:r>
          <w:rPr>
            <w:noProof/>
            <w:webHidden/>
          </w:rPr>
          <w:tab/>
        </w:r>
        <w:r w:rsidR="00AD5414">
          <w:rPr>
            <w:noProof/>
            <w:webHidden/>
          </w:rPr>
          <w:fldChar w:fldCharType="begin"/>
        </w:r>
        <w:r>
          <w:rPr>
            <w:noProof/>
            <w:webHidden/>
          </w:rPr>
          <w:instrText xml:space="preserve"> PAGEREF _Toc235220766 \h </w:instrText>
        </w:r>
        <w:r w:rsidR="00AD5414">
          <w:rPr>
            <w:noProof/>
            <w:webHidden/>
          </w:rPr>
        </w:r>
        <w:r w:rsidR="00AD5414">
          <w:rPr>
            <w:noProof/>
            <w:webHidden/>
          </w:rPr>
          <w:fldChar w:fldCharType="separate"/>
        </w:r>
        <w:r>
          <w:rPr>
            <w:noProof/>
            <w:webHidden/>
          </w:rPr>
          <w:t>14</w:t>
        </w:r>
        <w:r w:rsidR="00AD5414">
          <w:rPr>
            <w:noProof/>
            <w:webHidden/>
          </w:rPr>
          <w:fldChar w:fldCharType="end"/>
        </w:r>
      </w:hyperlink>
    </w:p>
    <w:p w14:paraId="0020CE93" w14:textId="77777777" w:rsidR="00F87FCB" w:rsidRDefault="00F87FCB">
      <w:pPr>
        <w:pStyle w:val="TOC3"/>
        <w:tabs>
          <w:tab w:val="right" w:leader="dot" w:pos="9174"/>
        </w:tabs>
        <w:rPr>
          <w:noProof/>
        </w:rPr>
      </w:pPr>
      <w:hyperlink w:anchor="_Toc235220767" w:history="1">
        <w:r w:rsidRPr="00B36793">
          <w:rPr>
            <w:rStyle w:val="Hyperlink"/>
            <w:rFonts w:cs="Arial"/>
            <w:noProof/>
          </w:rPr>
          <w:t>5.7 Strengths and limitations of the review</w:t>
        </w:r>
        <w:r>
          <w:rPr>
            <w:noProof/>
            <w:webHidden/>
          </w:rPr>
          <w:tab/>
        </w:r>
        <w:r w:rsidR="00AD5414">
          <w:rPr>
            <w:noProof/>
            <w:webHidden/>
          </w:rPr>
          <w:fldChar w:fldCharType="begin"/>
        </w:r>
        <w:r>
          <w:rPr>
            <w:noProof/>
            <w:webHidden/>
          </w:rPr>
          <w:instrText xml:space="preserve"> PAGEREF _Toc235220767 \h </w:instrText>
        </w:r>
        <w:r w:rsidR="00AD5414">
          <w:rPr>
            <w:noProof/>
            <w:webHidden/>
          </w:rPr>
        </w:r>
        <w:r w:rsidR="00AD5414">
          <w:rPr>
            <w:noProof/>
            <w:webHidden/>
          </w:rPr>
          <w:fldChar w:fldCharType="separate"/>
        </w:r>
        <w:r>
          <w:rPr>
            <w:noProof/>
            <w:webHidden/>
          </w:rPr>
          <w:t>14</w:t>
        </w:r>
        <w:r w:rsidR="00AD5414">
          <w:rPr>
            <w:noProof/>
            <w:webHidden/>
          </w:rPr>
          <w:fldChar w:fldCharType="end"/>
        </w:r>
      </w:hyperlink>
    </w:p>
    <w:p w14:paraId="05A18977" w14:textId="77777777" w:rsidR="00F87FCB" w:rsidRDefault="00F87FCB">
      <w:pPr>
        <w:pStyle w:val="TOC1"/>
        <w:tabs>
          <w:tab w:val="right" w:leader="dot" w:pos="9174"/>
        </w:tabs>
        <w:rPr>
          <w:rFonts w:asciiTheme="minorHAnsi" w:eastAsiaTheme="minorEastAsia" w:hAnsiTheme="minorHAnsi"/>
          <w:noProof/>
        </w:rPr>
      </w:pPr>
      <w:hyperlink w:anchor="_Toc235220768" w:history="1">
        <w:r w:rsidRPr="00B36793">
          <w:rPr>
            <w:rStyle w:val="Hyperlink"/>
            <w:noProof/>
          </w:rPr>
          <w:t>6. Conclusion and Recommendations</w:t>
        </w:r>
        <w:r>
          <w:rPr>
            <w:noProof/>
            <w:webHidden/>
          </w:rPr>
          <w:tab/>
        </w:r>
        <w:r w:rsidR="00AD5414">
          <w:rPr>
            <w:noProof/>
            <w:webHidden/>
          </w:rPr>
          <w:fldChar w:fldCharType="begin"/>
        </w:r>
        <w:r>
          <w:rPr>
            <w:noProof/>
            <w:webHidden/>
          </w:rPr>
          <w:instrText xml:space="preserve"> PAGEREF _Toc235220768 \h </w:instrText>
        </w:r>
        <w:r w:rsidR="00AD5414">
          <w:rPr>
            <w:noProof/>
            <w:webHidden/>
          </w:rPr>
        </w:r>
        <w:r w:rsidR="00AD5414">
          <w:rPr>
            <w:noProof/>
            <w:webHidden/>
          </w:rPr>
          <w:fldChar w:fldCharType="separate"/>
        </w:r>
        <w:r>
          <w:rPr>
            <w:noProof/>
            <w:webHidden/>
          </w:rPr>
          <w:t>16</w:t>
        </w:r>
        <w:r w:rsidR="00AD5414">
          <w:rPr>
            <w:noProof/>
            <w:webHidden/>
          </w:rPr>
          <w:fldChar w:fldCharType="end"/>
        </w:r>
      </w:hyperlink>
    </w:p>
    <w:p w14:paraId="21234638" w14:textId="77777777" w:rsidR="00F87FCB" w:rsidRDefault="00F87FCB">
      <w:pPr>
        <w:pStyle w:val="TOC2"/>
        <w:tabs>
          <w:tab w:val="right" w:leader="dot" w:pos="9174"/>
        </w:tabs>
        <w:rPr>
          <w:rFonts w:asciiTheme="minorHAnsi" w:eastAsiaTheme="minorEastAsia" w:hAnsiTheme="minorHAnsi"/>
          <w:noProof/>
        </w:rPr>
      </w:pPr>
      <w:hyperlink w:anchor="_Toc235220769" w:history="1">
        <w:r w:rsidRPr="00B36793">
          <w:rPr>
            <w:rStyle w:val="Hyperlink"/>
            <w:noProof/>
          </w:rPr>
          <w:t>6.1 Conclusion</w:t>
        </w:r>
        <w:r>
          <w:rPr>
            <w:noProof/>
            <w:webHidden/>
          </w:rPr>
          <w:tab/>
        </w:r>
        <w:r w:rsidR="00AD5414">
          <w:rPr>
            <w:noProof/>
            <w:webHidden/>
          </w:rPr>
          <w:fldChar w:fldCharType="begin"/>
        </w:r>
        <w:r>
          <w:rPr>
            <w:noProof/>
            <w:webHidden/>
          </w:rPr>
          <w:instrText xml:space="preserve"> PAGEREF _Toc235220769 \h </w:instrText>
        </w:r>
        <w:r w:rsidR="00AD5414">
          <w:rPr>
            <w:noProof/>
            <w:webHidden/>
          </w:rPr>
        </w:r>
        <w:r w:rsidR="00AD5414">
          <w:rPr>
            <w:noProof/>
            <w:webHidden/>
          </w:rPr>
          <w:fldChar w:fldCharType="separate"/>
        </w:r>
        <w:r>
          <w:rPr>
            <w:noProof/>
            <w:webHidden/>
          </w:rPr>
          <w:t>16</w:t>
        </w:r>
        <w:r w:rsidR="00AD5414">
          <w:rPr>
            <w:noProof/>
            <w:webHidden/>
          </w:rPr>
          <w:fldChar w:fldCharType="end"/>
        </w:r>
      </w:hyperlink>
    </w:p>
    <w:p w14:paraId="614985BB" w14:textId="77777777" w:rsidR="00F87FCB" w:rsidRDefault="00F87FCB">
      <w:pPr>
        <w:pStyle w:val="TOC2"/>
        <w:tabs>
          <w:tab w:val="right" w:leader="dot" w:pos="9174"/>
        </w:tabs>
        <w:rPr>
          <w:rFonts w:asciiTheme="minorHAnsi" w:eastAsiaTheme="minorEastAsia" w:hAnsiTheme="minorHAnsi"/>
          <w:noProof/>
        </w:rPr>
      </w:pPr>
      <w:hyperlink w:anchor="_Toc235220770" w:history="1">
        <w:r w:rsidRPr="00B36793">
          <w:rPr>
            <w:rStyle w:val="Hyperlink"/>
            <w:noProof/>
          </w:rPr>
          <w:t>6.2 Recommendations</w:t>
        </w:r>
        <w:r>
          <w:rPr>
            <w:noProof/>
            <w:webHidden/>
          </w:rPr>
          <w:tab/>
        </w:r>
        <w:r w:rsidR="00AD5414">
          <w:rPr>
            <w:noProof/>
            <w:webHidden/>
          </w:rPr>
          <w:fldChar w:fldCharType="begin"/>
        </w:r>
        <w:r>
          <w:rPr>
            <w:noProof/>
            <w:webHidden/>
          </w:rPr>
          <w:instrText xml:space="preserve"> PAGEREF _Toc235220770 \h </w:instrText>
        </w:r>
        <w:r w:rsidR="00AD5414">
          <w:rPr>
            <w:noProof/>
            <w:webHidden/>
          </w:rPr>
        </w:r>
        <w:r w:rsidR="00AD5414">
          <w:rPr>
            <w:noProof/>
            <w:webHidden/>
          </w:rPr>
          <w:fldChar w:fldCharType="separate"/>
        </w:r>
        <w:r>
          <w:rPr>
            <w:noProof/>
            <w:webHidden/>
          </w:rPr>
          <w:t>16</w:t>
        </w:r>
        <w:r w:rsidR="00AD5414">
          <w:rPr>
            <w:noProof/>
            <w:webHidden/>
          </w:rPr>
          <w:fldChar w:fldCharType="end"/>
        </w:r>
      </w:hyperlink>
    </w:p>
    <w:p w14:paraId="5C9C311C" w14:textId="77777777" w:rsidR="00F87FCB" w:rsidRDefault="00F87FCB">
      <w:pPr>
        <w:pStyle w:val="TOC1"/>
        <w:tabs>
          <w:tab w:val="right" w:leader="dot" w:pos="9174"/>
        </w:tabs>
        <w:rPr>
          <w:rFonts w:asciiTheme="minorHAnsi" w:eastAsiaTheme="minorEastAsia" w:hAnsiTheme="minorHAnsi"/>
          <w:noProof/>
        </w:rPr>
      </w:pPr>
      <w:hyperlink w:anchor="_Toc235220771" w:history="1">
        <w:r w:rsidRPr="00B36793">
          <w:rPr>
            <w:rStyle w:val="Hyperlink"/>
            <w:noProof/>
          </w:rPr>
          <w:t>References</w:t>
        </w:r>
        <w:r>
          <w:rPr>
            <w:noProof/>
            <w:webHidden/>
          </w:rPr>
          <w:tab/>
        </w:r>
        <w:r w:rsidR="00AD5414">
          <w:rPr>
            <w:noProof/>
            <w:webHidden/>
          </w:rPr>
          <w:fldChar w:fldCharType="begin"/>
        </w:r>
        <w:r>
          <w:rPr>
            <w:noProof/>
            <w:webHidden/>
          </w:rPr>
          <w:instrText xml:space="preserve"> PAGEREF _Toc235220771 \h </w:instrText>
        </w:r>
        <w:r w:rsidR="00AD5414">
          <w:rPr>
            <w:noProof/>
            <w:webHidden/>
          </w:rPr>
        </w:r>
        <w:r w:rsidR="00AD5414">
          <w:rPr>
            <w:noProof/>
            <w:webHidden/>
          </w:rPr>
          <w:fldChar w:fldCharType="separate"/>
        </w:r>
        <w:r>
          <w:rPr>
            <w:noProof/>
            <w:webHidden/>
          </w:rPr>
          <w:t>17</w:t>
        </w:r>
        <w:r w:rsidR="00AD5414">
          <w:rPr>
            <w:noProof/>
            <w:webHidden/>
          </w:rPr>
          <w:fldChar w:fldCharType="end"/>
        </w:r>
      </w:hyperlink>
    </w:p>
    <w:p w14:paraId="6F14DCFB" w14:textId="77777777" w:rsidR="0020572F" w:rsidRPr="00E34695" w:rsidRDefault="00AD5414" w:rsidP="00E34695">
      <w:pPr>
        <w:spacing w:before="120"/>
        <w:rPr>
          <w:rFonts w:cs="Arial"/>
          <w:color w:val="000000" w:themeColor="text1"/>
        </w:rPr>
      </w:pPr>
      <w:r w:rsidRPr="00E34695">
        <w:rPr>
          <w:rFonts w:cs="Arial"/>
          <w:color w:val="000000" w:themeColor="text1"/>
        </w:rPr>
        <w:fldChar w:fldCharType="end"/>
      </w:r>
    </w:p>
    <w:p w14:paraId="0E6E72E9" w14:textId="77777777" w:rsidR="0020572F" w:rsidRPr="00E34695" w:rsidRDefault="0020572F" w:rsidP="00E34695">
      <w:pPr>
        <w:spacing w:before="120"/>
        <w:rPr>
          <w:rFonts w:cs="Arial"/>
          <w:color w:val="000000" w:themeColor="text1"/>
        </w:rPr>
      </w:pPr>
      <w:r w:rsidRPr="00E34695">
        <w:rPr>
          <w:rFonts w:cs="Arial"/>
          <w:color w:val="000000" w:themeColor="text1"/>
        </w:rPr>
        <w:br w:type="page"/>
      </w:r>
    </w:p>
    <w:p w14:paraId="3E3B1383" w14:textId="77777777" w:rsidR="0020572F" w:rsidRPr="00E34695" w:rsidRDefault="0020572F" w:rsidP="00E34695">
      <w:pPr>
        <w:spacing w:before="120"/>
        <w:rPr>
          <w:rFonts w:cs="Arial"/>
          <w:color w:val="000000" w:themeColor="text1"/>
        </w:rPr>
      </w:pPr>
    </w:p>
    <w:p w14:paraId="7B684B46" w14:textId="77777777" w:rsidR="00BC7DFE" w:rsidRPr="00E34695" w:rsidRDefault="00EC1748" w:rsidP="00066EB0">
      <w:pPr>
        <w:pStyle w:val="Heading1"/>
      </w:pPr>
      <w:bookmarkStart w:id="1" w:name="_Toc235220738"/>
      <w:r w:rsidRPr="00E34695">
        <w:t>1. Introduction</w:t>
      </w:r>
      <w:bookmarkEnd w:id="1"/>
    </w:p>
    <w:p w14:paraId="6B1CAF98" w14:textId="77777777" w:rsidR="00BC7DFE" w:rsidRPr="00427BF5" w:rsidRDefault="00EC1748" w:rsidP="00795C5A">
      <w:pPr>
        <w:pStyle w:val="Heading2"/>
      </w:pPr>
      <w:bookmarkStart w:id="2" w:name="_Toc235220739"/>
      <w:r w:rsidRPr="00427BF5">
        <w:t>1.1 Background and rationale</w:t>
      </w:r>
      <w:bookmarkEnd w:id="2"/>
    </w:p>
    <w:p w14:paraId="46893B1A" w14:textId="77777777" w:rsidR="00BC7DFE" w:rsidRPr="00E34695" w:rsidRDefault="00EC1748" w:rsidP="00E34695">
      <w:pPr>
        <w:spacing w:before="120"/>
        <w:rPr>
          <w:rFonts w:cs="Arial"/>
          <w:color w:val="000000" w:themeColor="text1"/>
        </w:rPr>
      </w:pPr>
      <w:r w:rsidRPr="00E34695">
        <w:rPr>
          <w:rFonts w:cs="Arial"/>
          <w:color w:val="000000" w:themeColor="text1"/>
        </w:rPr>
        <w:t>Cervical cancer remains an important women's health problem. Bray et al. (2024) estimated about 662,000 new cases and 349,000 deaths worldwide in 2022. It was the fourth most common cancer in women. High-risk HPV infection is the key cause. Many infections clear naturally. The main danger occurs when infection persists and causes abnormal cell changes over several years.</w:t>
      </w:r>
    </w:p>
    <w:p w14:paraId="19AD290B" w14:textId="77777777" w:rsidR="00BC7DFE" w:rsidRPr="00E34695" w:rsidRDefault="00EC1748" w:rsidP="00E34695">
      <w:pPr>
        <w:spacing w:before="120"/>
        <w:rPr>
          <w:rFonts w:cs="Arial"/>
          <w:color w:val="000000" w:themeColor="text1"/>
        </w:rPr>
      </w:pPr>
      <w:r w:rsidRPr="00E34695">
        <w:rPr>
          <w:rFonts w:cs="Arial"/>
          <w:color w:val="000000" w:themeColor="text1"/>
        </w:rPr>
        <w:t xml:space="preserve">Cervical cancer is largely preventable. Mesher et al. (2016) showed that HPV vaccination reduced HPV16 and HPV18 infection in England. Palmer et al. (2019) later found fewer high-grade cervical abnormalities in vaccinated Scottish cohorts. </w:t>
      </w:r>
      <w:proofErr w:type="spellStart"/>
      <w:r w:rsidRPr="00E34695">
        <w:rPr>
          <w:rFonts w:cs="Arial"/>
          <w:color w:val="000000" w:themeColor="text1"/>
        </w:rPr>
        <w:t>Falcaro</w:t>
      </w:r>
      <w:proofErr w:type="spellEnd"/>
      <w:r w:rsidRPr="00E34695">
        <w:rPr>
          <w:rFonts w:cs="Arial"/>
          <w:color w:val="000000" w:themeColor="text1"/>
        </w:rPr>
        <w:t xml:space="preserve"> et al. (2021) then reported a large fall in cervical cancer among women offered vaccination at age 12 or 13. Screening remains important because vaccination does not cover every high-risk HPV type.</w:t>
      </w:r>
    </w:p>
    <w:p w14:paraId="230C413F" w14:textId="77777777" w:rsidR="00BC7DFE" w:rsidRPr="00E34695" w:rsidRDefault="00EC1748" w:rsidP="00E34695">
      <w:pPr>
        <w:spacing w:before="120"/>
        <w:rPr>
          <w:rFonts w:cs="Arial"/>
          <w:color w:val="000000" w:themeColor="text1"/>
        </w:rPr>
      </w:pPr>
      <w:r w:rsidRPr="00E34695">
        <w:rPr>
          <w:rFonts w:cs="Arial"/>
          <w:color w:val="000000" w:themeColor="text1"/>
        </w:rPr>
        <w:t xml:space="preserve">The UK has long-standing HPV vaccination and screening </w:t>
      </w:r>
      <w:proofErr w:type="spellStart"/>
      <w:r w:rsidRPr="00E34695">
        <w:rPr>
          <w:rFonts w:cs="Arial"/>
          <w:color w:val="000000" w:themeColor="text1"/>
        </w:rPr>
        <w:t>programmes</w:t>
      </w:r>
      <w:proofErr w:type="spellEnd"/>
      <w:r w:rsidRPr="00E34695">
        <w:rPr>
          <w:rFonts w:cs="Arial"/>
          <w:color w:val="000000" w:themeColor="text1"/>
        </w:rPr>
        <w:t>. UK research can show both the biological relationship and the effect of access, trust, knowledge, deprivation, mental health and service design. The evidence uses several study designs, so a broad scoping review is suitable.</w:t>
      </w:r>
    </w:p>
    <w:p w14:paraId="282FD4D8" w14:textId="77777777" w:rsidR="00BC7DFE" w:rsidRPr="00E34695" w:rsidRDefault="00EC1748" w:rsidP="00795C5A">
      <w:pPr>
        <w:pStyle w:val="Heading2"/>
      </w:pPr>
      <w:bookmarkStart w:id="3" w:name="_Toc235220740"/>
      <w:r w:rsidRPr="00E34695">
        <w:t>1.2 Research aim and objectives</w:t>
      </w:r>
      <w:bookmarkEnd w:id="3"/>
    </w:p>
    <w:p w14:paraId="4E053CD5" w14:textId="77777777" w:rsidR="00BC7DFE" w:rsidRPr="00E34695" w:rsidRDefault="00EC1748" w:rsidP="00E34695">
      <w:pPr>
        <w:spacing w:before="120"/>
        <w:rPr>
          <w:rFonts w:cs="Arial"/>
          <w:color w:val="000000" w:themeColor="text1"/>
        </w:rPr>
      </w:pPr>
      <w:r w:rsidRPr="00E34695">
        <w:rPr>
          <w:rFonts w:cs="Arial"/>
          <w:color w:val="000000" w:themeColor="text1"/>
        </w:rPr>
        <w:t>The aim of this scoping review is to map existing peer-reviewed research on cervical cancer and identify the main themes in the literature.</w:t>
      </w:r>
    </w:p>
    <w:p w14:paraId="39FB9377" w14:textId="77777777" w:rsidR="00BC7DFE" w:rsidRPr="00E34695" w:rsidRDefault="00EC1748" w:rsidP="00E34695">
      <w:pPr>
        <w:spacing w:before="120"/>
        <w:rPr>
          <w:rFonts w:cs="Arial"/>
          <w:color w:val="000000" w:themeColor="text1"/>
        </w:rPr>
      </w:pPr>
      <w:r w:rsidRPr="00E34695">
        <w:rPr>
          <w:rFonts w:cs="Arial"/>
          <w:color w:val="000000" w:themeColor="text1"/>
        </w:rPr>
        <w:t>This will:</w:t>
      </w:r>
    </w:p>
    <w:p w14:paraId="03551F24" w14:textId="77777777" w:rsidR="00BC7DFE" w:rsidRPr="00E34695" w:rsidRDefault="00EC1748" w:rsidP="00E34695">
      <w:pPr>
        <w:pStyle w:val="ListNumber"/>
        <w:spacing w:before="120"/>
        <w:rPr>
          <w:rFonts w:cs="Arial"/>
          <w:color w:val="000000" w:themeColor="text1"/>
        </w:rPr>
      </w:pPr>
      <w:r w:rsidRPr="00E34695">
        <w:rPr>
          <w:rFonts w:cs="Arial"/>
          <w:color w:val="000000" w:themeColor="text1"/>
        </w:rPr>
        <w:t>To identify relationship between HPV infection and cervical cancer.</w:t>
      </w:r>
    </w:p>
    <w:p w14:paraId="7398528F" w14:textId="77777777" w:rsidR="00BC7DFE" w:rsidRPr="00E34695" w:rsidRDefault="00EC1748" w:rsidP="00E34695">
      <w:pPr>
        <w:pStyle w:val="ListNumber"/>
        <w:spacing w:before="120"/>
        <w:rPr>
          <w:rFonts w:cs="Arial"/>
          <w:color w:val="000000" w:themeColor="text1"/>
        </w:rPr>
      </w:pPr>
      <w:r w:rsidRPr="00E34695">
        <w:rPr>
          <w:rFonts w:cs="Arial"/>
          <w:color w:val="000000" w:themeColor="text1"/>
        </w:rPr>
        <w:t>To explore common barriers to prevention, screening, and treatment.</w:t>
      </w:r>
    </w:p>
    <w:p w14:paraId="35A437C8" w14:textId="77777777" w:rsidR="00BC7DFE" w:rsidRPr="00E34695" w:rsidRDefault="00EC1748" w:rsidP="00E34695">
      <w:pPr>
        <w:pStyle w:val="ListNumber"/>
        <w:spacing w:before="120"/>
        <w:rPr>
          <w:rFonts w:cs="Arial"/>
          <w:color w:val="000000" w:themeColor="text1"/>
        </w:rPr>
      </w:pPr>
      <w:r w:rsidRPr="00E34695">
        <w:rPr>
          <w:rFonts w:cs="Arial"/>
          <w:color w:val="000000" w:themeColor="text1"/>
        </w:rPr>
        <w:t>To highlight gaps in current knowledge for future research.</w:t>
      </w:r>
    </w:p>
    <w:p w14:paraId="77FCB990" w14:textId="77777777" w:rsidR="00BC7DFE" w:rsidRPr="00E34695" w:rsidRDefault="00EC1748" w:rsidP="00795C5A">
      <w:pPr>
        <w:pStyle w:val="Heading2"/>
      </w:pPr>
      <w:bookmarkStart w:id="4" w:name="_Toc235220741"/>
      <w:r w:rsidRPr="00E34695">
        <w:t>1.3 Research question</w:t>
      </w:r>
      <w:bookmarkEnd w:id="4"/>
    </w:p>
    <w:p w14:paraId="3567B536" w14:textId="77777777" w:rsidR="00D07C40" w:rsidRPr="0069762F" w:rsidRDefault="00EC1748" w:rsidP="00E34695">
      <w:pPr>
        <w:spacing w:before="120"/>
        <w:rPr>
          <w:rFonts w:cs="Arial"/>
          <w:color w:val="000000" w:themeColor="text1"/>
        </w:rPr>
      </w:pPr>
      <w:r w:rsidRPr="0069762F">
        <w:rPr>
          <w:rFonts w:cs="Arial"/>
          <w:color w:val="000000" w:themeColor="text1"/>
        </w:rPr>
        <w:t>What is the relationship between HPV infection and cervical cancer?</w:t>
      </w:r>
    </w:p>
    <w:p w14:paraId="669FA1AC" w14:textId="77777777" w:rsidR="00BC7DFE" w:rsidRPr="00D07C40" w:rsidRDefault="00D07C40" w:rsidP="00D07C40">
      <w:pPr>
        <w:spacing w:after="200" w:line="276" w:lineRule="auto"/>
        <w:jc w:val="left"/>
        <w:rPr>
          <w:rFonts w:cs="Arial"/>
          <w:b/>
          <w:color w:val="000000" w:themeColor="text1"/>
        </w:rPr>
      </w:pPr>
      <w:r>
        <w:rPr>
          <w:rFonts w:cs="Arial"/>
          <w:b/>
          <w:color w:val="000000" w:themeColor="text1"/>
        </w:rPr>
        <w:br w:type="page"/>
      </w:r>
    </w:p>
    <w:p w14:paraId="150A2126" w14:textId="77777777" w:rsidR="00BC7DFE" w:rsidRPr="00E34695" w:rsidRDefault="00EC1748" w:rsidP="00066EB0">
      <w:pPr>
        <w:pStyle w:val="Heading1"/>
      </w:pPr>
      <w:bookmarkStart w:id="5" w:name="_Toc235220742"/>
      <w:r w:rsidRPr="00E34695">
        <w:lastRenderedPageBreak/>
        <w:t>2. Methodology</w:t>
      </w:r>
      <w:bookmarkEnd w:id="5"/>
    </w:p>
    <w:p w14:paraId="40A6643B" w14:textId="77777777" w:rsidR="00BC7DFE" w:rsidRPr="00E34695" w:rsidRDefault="00EC1748" w:rsidP="00795C5A">
      <w:pPr>
        <w:pStyle w:val="Heading2"/>
      </w:pPr>
      <w:bookmarkStart w:id="6" w:name="_Toc235220743"/>
      <w:r w:rsidRPr="00E34695">
        <w:t>2.1 Review design and justification</w:t>
      </w:r>
      <w:bookmarkEnd w:id="6"/>
    </w:p>
    <w:p w14:paraId="4A5FF277" w14:textId="77777777" w:rsidR="007E0092" w:rsidRPr="007E0092" w:rsidRDefault="00EC1748" w:rsidP="007E0092">
      <w:pPr>
        <w:spacing w:before="120"/>
        <w:rPr>
          <w:rFonts w:cs="Arial"/>
          <w:color w:val="000000" w:themeColor="text1"/>
        </w:rPr>
      </w:pPr>
      <w:r w:rsidRPr="00E34695">
        <w:rPr>
          <w:rFonts w:cs="Arial"/>
          <w:color w:val="000000" w:themeColor="text1"/>
        </w:rPr>
        <w:t xml:space="preserve">A scoping review was chosen because it maps the range and main ideas in varied evidence. It is useful when the aim is to identify themes and gaps rather than calculate one pooled effect. Arksey and O'Malley (2005) describe five stages: defining the question, finding studies, selecting studies, charting data and reporting findings. </w:t>
      </w:r>
      <w:r w:rsidR="007E0092" w:rsidRPr="007E0092">
        <w:rPr>
          <w:rFonts w:cs="Arial"/>
          <w:color w:val="000000" w:themeColor="text1"/>
        </w:rPr>
        <w:t xml:space="preserve">Levac, Colquhoun and O'Brien (2010) </w:t>
      </w:r>
      <w:proofErr w:type="spellStart"/>
      <w:r w:rsidR="007E0092" w:rsidRPr="007E0092">
        <w:rPr>
          <w:rFonts w:cs="Arial"/>
          <w:color w:val="000000" w:themeColor="text1"/>
        </w:rPr>
        <w:t>emphasise</w:t>
      </w:r>
      <w:proofErr w:type="spellEnd"/>
      <w:r w:rsidR="007E0092" w:rsidRPr="007E0092">
        <w:rPr>
          <w:rFonts w:cs="Arial"/>
          <w:color w:val="000000" w:themeColor="text1"/>
        </w:rPr>
        <w:t xml:space="preserve"> transparency and Peters et al. (2020) suggest a clear population, concept and context.</w:t>
      </w:r>
    </w:p>
    <w:p w14:paraId="5DE5A090" w14:textId="77777777" w:rsidR="007E0092" w:rsidRDefault="007E0092" w:rsidP="007E0092">
      <w:pPr>
        <w:spacing w:before="120"/>
        <w:rPr>
          <w:rFonts w:cs="Arial"/>
          <w:color w:val="000000" w:themeColor="text1"/>
        </w:rPr>
      </w:pPr>
      <w:r w:rsidRPr="007E0092">
        <w:rPr>
          <w:rFonts w:cs="Arial"/>
          <w:color w:val="000000" w:themeColor="text1"/>
        </w:rPr>
        <w:t>A traditional systematic review and meta-analysis were not selected. These are evidence in the form of prevalence of infection, incidence of cancer, performance of screening, attitudes, experience and service implementation. The differences in outcomes are too large to be combined in a single pooled estimate. This scoping approach enables these forms of evidence to be discussed as a group.</w:t>
      </w:r>
    </w:p>
    <w:p w14:paraId="4D4D8C47" w14:textId="77777777" w:rsidR="002E5525" w:rsidRDefault="005D2CDA" w:rsidP="002E5525">
      <w:pPr>
        <w:keepNext/>
        <w:spacing w:before="120"/>
        <w:jc w:val="center"/>
      </w:pPr>
      <w:r>
        <w:rPr>
          <w:noProof/>
        </w:rPr>
        <w:drawing>
          <wp:inline distT="0" distB="0" distL="0" distR="0" wp14:anchorId="72E0AA0A" wp14:editId="2FE82EF4">
            <wp:extent cx="3257550" cy="4886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57739" cy="4886609"/>
                    </a:xfrm>
                    <a:prstGeom prst="rect">
                      <a:avLst/>
                    </a:prstGeom>
                    <a:noFill/>
                    <a:ln>
                      <a:noFill/>
                    </a:ln>
                  </pic:spPr>
                </pic:pic>
              </a:graphicData>
            </a:graphic>
          </wp:inline>
        </w:drawing>
      </w:r>
    </w:p>
    <w:p w14:paraId="330B6313" w14:textId="77777777" w:rsidR="002329D0" w:rsidRPr="002B282C" w:rsidRDefault="002E5525" w:rsidP="002E5525">
      <w:pPr>
        <w:pStyle w:val="Caption"/>
        <w:jc w:val="center"/>
        <w:rPr>
          <w:rFonts w:cs="Arial"/>
          <w:b w:val="0"/>
          <w:color w:val="000000" w:themeColor="text1"/>
        </w:rPr>
      </w:pPr>
      <w:r w:rsidRPr="002B282C">
        <w:rPr>
          <w:b w:val="0"/>
          <w:color w:val="000000" w:themeColor="text1"/>
        </w:rPr>
        <w:t xml:space="preserve">Figure </w:t>
      </w:r>
      <w:r w:rsidR="00AD5414" w:rsidRPr="002B282C">
        <w:rPr>
          <w:b w:val="0"/>
          <w:color w:val="000000" w:themeColor="text1"/>
        </w:rPr>
        <w:fldChar w:fldCharType="begin"/>
      </w:r>
      <w:r w:rsidRPr="002B282C">
        <w:rPr>
          <w:b w:val="0"/>
          <w:color w:val="000000" w:themeColor="text1"/>
        </w:rPr>
        <w:instrText xml:space="preserve"> SEQ Figure \* ARABIC </w:instrText>
      </w:r>
      <w:r w:rsidR="00AD5414" w:rsidRPr="002B282C">
        <w:rPr>
          <w:b w:val="0"/>
          <w:color w:val="000000" w:themeColor="text1"/>
        </w:rPr>
        <w:fldChar w:fldCharType="separate"/>
      </w:r>
      <w:r w:rsidRPr="002B282C">
        <w:rPr>
          <w:b w:val="0"/>
          <w:noProof/>
          <w:color w:val="000000" w:themeColor="text1"/>
        </w:rPr>
        <w:t>1</w:t>
      </w:r>
      <w:r w:rsidR="00AD5414" w:rsidRPr="002B282C">
        <w:rPr>
          <w:b w:val="0"/>
          <w:color w:val="000000" w:themeColor="text1"/>
        </w:rPr>
        <w:fldChar w:fldCharType="end"/>
      </w:r>
      <w:r w:rsidRPr="002B282C">
        <w:rPr>
          <w:b w:val="0"/>
          <w:color w:val="000000" w:themeColor="text1"/>
        </w:rPr>
        <w:t xml:space="preserve">: Methodology </w:t>
      </w:r>
      <w:proofErr w:type="gramStart"/>
      <w:r w:rsidRPr="002B282C">
        <w:rPr>
          <w:b w:val="0"/>
          <w:color w:val="000000" w:themeColor="text1"/>
        </w:rPr>
        <w:t>Flow</w:t>
      </w:r>
      <w:r w:rsidR="00FB4C81" w:rsidRPr="002B282C">
        <w:rPr>
          <w:b w:val="0"/>
          <w:color w:val="000000" w:themeColor="text1"/>
        </w:rPr>
        <w:t>(</w:t>
      </w:r>
      <w:proofErr w:type="gramEnd"/>
      <w:r w:rsidR="00FB4C81" w:rsidRPr="002B282C">
        <w:rPr>
          <w:b w:val="0"/>
          <w:color w:val="000000" w:themeColor="text1"/>
        </w:rPr>
        <w:t>Create by using Canva)</w:t>
      </w:r>
    </w:p>
    <w:p w14:paraId="56E49D3A" w14:textId="77777777" w:rsidR="007E0092" w:rsidRPr="007E0092" w:rsidRDefault="007E0092" w:rsidP="00795C5A">
      <w:pPr>
        <w:pStyle w:val="Heading2"/>
      </w:pPr>
      <w:r w:rsidRPr="007E0092">
        <w:lastRenderedPageBreak/>
        <w:t>2.2 Framework used</w:t>
      </w:r>
    </w:p>
    <w:p w14:paraId="1B70A54C" w14:textId="558DEE4C" w:rsidR="00BC7DFE" w:rsidRPr="00E34695" w:rsidRDefault="007E0092" w:rsidP="007E0092">
      <w:pPr>
        <w:spacing w:before="120"/>
        <w:rPr>
          <w:rFonts w:cs="Arial"/>
          <w:color w:val="000000" w:themeColor="text1"/>
        </w:rPr>
      </w:pPr>
      <w:r w:rsidRPr="007E0092">
        <w:rPr>
          <w:rFonts w:cs="Arial"/>
          <w:color w:val="000000" w:themeColor="text1"/>
        </w:rPr>
        <w:t>The review process used the Arksey and O'Malley framework and subsequent guidance from Levac, Colquhoun and O'Brien (2010). The PRISMA extension for scoping reviews (</w:t>
      </w:r>
      <w:proofErr w:type="spellStart"/>
      <w:r w:rsidRPr="007E0092">
        <w:rPr>
          <w:rFonts w:cs="Arial"/>
          <w:color w:val="000000" w:themeColor="text1"/>
        </w:rPr>
        <w:t>Tricco</w:t>
      </w:r>
      <w:proofErr w:type="spellEnd"/>
      <w:r w:rsidRPr="007E0092">
        <w:rPr>
          <w:rFonts w:cs="Arial"/>
          <w:color w:val="000000" w:themeColor="text1"/>
        </w:rPr>
        <w:t xml:space="preserve"> et al., 2018) was used to inform reporting. Aveyard's simplified thematic analysis was used in conducting the analysis. This method consists of re-reading the results multiple times, picking out recurring ideas, creating short coded phrases, grouping codes together and naming larger </w:t>
      </w:r>
      <w:r w:rsidR="00372151" w:rsidRPr="007E0092">
        <w:rPr>
          <w:rFonts w:cs="Arial"/>
          <w:color w:val="000000" w:themeColor="text1"/>
        </w:rPr>
        <w:t>concepts</w:t>
      </w:r>
      <w:r w:rsidR="00372151" w:rsidRPr="00E34695">
        <w:rPr>
          <w:rFonts w:cs="Arial"/>
          <w:color w:val="000000" w:themeColor="text1"/>
        </w:rPr>
        <w:t xml:space="preserve"> (</w:t>
      </w:r>
      <w:r w:rsidR="00EC1748" w:rsidRPr="00E34695">
        <w:rPr>
          <w:rFonts w:cs="Arial"/>
          <w:color w:val="000000" w:themeColor="text1"/>
        </w:rPr>
        <w:t>Aveyard, 2014).</w:t>
      </w:r>
    </w:p>
    <w:p w14:paraId="4B820550" w14:textId="77777777" w:rsidR="00BC7DFE" w:rsidRPr="00E34695" w:rsidRDefault="00EC1748" w:rsidP="00795C5A">
      <w:pPr>
        <w:pStyle w:val="Heading2"/>
      </w:pPr>
      <w:bookmarkStart w:id="7" w:name="_Toc235220745"/>
      <w:r w:rsidRPr="00E34695">
        <w:t>2.3 PCC framework</w:t>
      </w:r>
      <w:bookmarkEnd w:id="7"/>
    </w:p>
    <w:p w14:paraId="5612AA73" w14:textId="77777777" w:rsidR="00BC7DFE" w:rsidRDefault="00EC1748" w:rsidP="00F94598">
      <w:pPr>
        <w:spacing w:before="120"/>
        <w:jc w:val="center"/>
        <w:rPr>
          <w:rFonts w:cs="Arial"/>
          <w:b/>
          <w:color w:val="000000" w:themeColor="text1"/>
        </w:rPr>
      </w:pPr>
      <w:r w:rsidRPr="00E34695">
        <w:rPr>
          <w:rFonts w:cs="Arial"/>
          <w:b/>
          <w:color w:val="000000" w:themeColor="text1"/>
        </w:rPr>
        <w:t>Table 1. Population, Concept and Context framework</w:t>
      </w:r>
    </w:p>
    <w:p w14:paraId="2521D632" w14:textId="77777777" w:rsidR="00045DFF" w:rsidRPr="00E34695" w:rsidRDefault="00045DFF" w:rsidP="00F94598">
      <w:pPr>
        <w:spacing w:before="120"/>
        <w:jc w:val="center"/>
        <w:rPr>
          <w:rFonts w:cs="Arial"/>
          <w:color w:val="000000" w:themeColor="text1"/>
        </w:rPr>
      </w:pPr>
      <w:r>
        <w:rPr>
          <w:noProof/>
        </w:rPr>
        <w:drawing>
          <wp:inline distT="0" distB="0" distL="0" distR="0" wp14:anchorId="795E2113" wp14:editId="2B27DF53">
            <wp:extent cx="5801624" cy="30480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36249" cy="3066191"/>
                    </a:xfrm>
                    <a:prstGeom prst="rect">
                      <a:avLst/>
                    </a:prstGeom>
                  </pic:spPr>
                </pic:pic>
              </a:graphicData>
            </a:graphic>
          </wp:inline>
        </w:drawing>
      </w:r>
    </w:p>
    <w:p w14:paraId="1E22FC88" w14:textId="77777777" w:rsidR="00BC7DFE" w:rsidRPr="00E34695" w:rsidRDefault="00EC1748" w:rsidP="00795C5A">
      <w:pPr>
        <w:pStyle w:val="Heading2"/>
      </w:pPr>
      <w:bookmarkStart w:id="8" w:name="_Toc235220746"/>
      <w:r w:rsidRPr="00E34695">
        <w:t>2.4 Search strategy and information sources</w:t>
      </w:r>
      <w:bookmarkEnd w:id="8"/>
    </w:p>
    <w:p w14:paraId="3F3EA202" w14:textId="77777777" w:rsidR="00BC7DFE" w:rsidRPr="00E34695" w:rsidRDefault="00EC1748" w:rsidP="00E34695">
      <w:pPr>
        <w:spacing w:before="120"/>
        <w:rPr>
          <w:rFonts w:cs="Arial"/>
          <w:color w:val="000000" w:themeColor="text1"/>
        </w:rPr>
      </w:pPr>
      <w:r w:rsidRPr="00E34695">
        <w:rPr>
          <w:rFonts w:cs="Arial"/>
          <w:color w:val="000000" w:themeColor="text1"/>
        </w:rPr>
        <w:t>PubMed, CINAHL, Scopus and Google Scholar were selected. Booth, Sutton and Papaioannou (2016) advise using more than one database because no single database contains all relevant evidence.</w:t>
      </w:r>
    </w:p>
    <w:p w14:paraId="60D9EDD5" w14:textId="77777777" w:rsidR="00BC7DFE" w:rsidRPr="00E34695" w:rsidRDefault="00EC1748" w:rsidP="00E34695">
      <w:pPr>
        <w:spacing w:before="120"/>
        <w:rPr>
          <w:rFonts w:cs="Arial"/>
          <w:color w:val="000000" w:themeColor="text1"/>
        </w:rPr>
      </w:pPr>
      <w:r w:rsidRPr="00E34695">
        <w:rPr>
          <w:rFonts w:cs="Arial"/>
          <w:color w:val="000000" w:themeColor="text1"/>
        </w:rPr>
        <w:t>The planned search period was January 2016 to June 2026. A model search string was:</w:t>
      </w:r>
    </w:p>
    <w:p w14:paraId="2385ECAE" w14:textId="77777777" w:rsidR="00BC7DFE" w:rsidRPr="00E34695" w:rsidRDefault="00EC1748" w:rsidP="00E34695">
      <w:pPr>
        <w:pStyle w:val="SmallNote"/>
        <w:spacing w:before="120" w:after="120" w:line="360" w:lineRule="auto"/>
        <w:jc w:val="both"/>
        <w:rPr>
          <w:rFonts w:cs="Arial"/>
          <w:color w:val="000000" w:themeColor="text1"/>
          <w:sz w:val="22"/>
        </w:rPr>
      </w:pPr>
      <w:r w:rsidRPr="00E34695">
        <w:rPr>
          <w:rFonts w:cs="Arial"/>
          <w:color w:val="000000" w:themeColor="text1"/>
          <w:sz w:val="22"/>
        </w:rPr>
        <w:t xml:space="preserve">(“cervical cancer” OR “cervical neoplasia” OR CIN) AND (HPV OR “human papillomavirus”) AND (screen* OR </w:t>
      </w:r>
      <w:proofErr w:type="spellStart"/>
      <w:r w:rsidRPr="00E34695">
        <w:rPr>
          <w:rFonts w:cs="Arial"/>
          <w:color w:val="000000" w:themeColor="text1"/>
          <w:sz w:val="22"/>
        </w:rPr>
        <w:t>vaccin</w:t>
      </w:r>
      <w:proofErr w:type="spellEnd"/>
      <w:r w:rsidRPr="00E34695">
        <w:rPr>
          <w:rFonts w:cs="Arial"/>
          <w:color w:val="000000" w:themeColor="text1"/>
          <w:sz w:val="22"/>
        </w:rPr>
        <w:t>* OR prevent* OR treatment OR awareness OR experience OR barrier* OR “self-sampling”) AND (“United Kingdom” OR UK OR England OR Scotland OR Wales OR “Northern Ireland” OR NHS)</w:t>
      </w:r>
    </w:p>
    <w:p w14:paraId="63D5A30E" w14:textId="77777777" w:rsidR="00BC7DFE" w:rsidRPr="00E34695" w:rsidRDefault="00EC1748" w:rsidP="00E34695">
      <w:pPr>
        <w:spacing w:before="120"/>
        <w:rPr>
          <w:rFonts w:cs="Arial"/>
          <w:color w:val="000000" w:themeColor="text1"/>
        </w:rPr>
      </w:pPr>
      <w:r w:rsidRPr="00E34695">
        <w:rPr>
          <w:rFonts w:cs="Arial"/>
          <w:color w:val="000000" w:themeColor="text1"/>
        </w:rPr>
        <w:t>Reference lists of relevant papers were checked to find further UK research. Forward citation searching was also used where possible. Search terms were adapted to each database.</w:t>
      </w:r>
    </w:p>
    <w:p w14:paraId="15DD33BE" w14:textId="77777777" w:rsidR="00BC7DFE" w:rsidRPr="00E34695" w:rsidRDefault="00EC1748" w:rsidP="00795C5A">
      <w:pPr>
        <w:pStyle w:val="Heading2"/>
      </w:pPr>
      <w:bookmarkStart w:id="9" w:name="_Toc235220747"/>
      <w:r w:rsidRPr="00E34695">
        <w:lastRenderedPageBreak/>
        <w:t>2.5 Inclusion and exclusion criteria</w:t>
      </w:r>
      <w:bookmarkEnd w:id="9"/>
    </w:p>
    <w:p w14:paraId="6216C9D3" w14:textId="77777777" w:rsidR="00BC7DFE" w:rsidRDefault="00EC1748" w:rsidP="008A7865">
      <w:pPr>
        <w:spacing w:before="120"/>
        <w:jc w:val="center"/>
        <w:rPr>
          <w:rFonts w:cs="Arial"/>
          <w:b/>
          <w:color w:val="000000" w:themeColor="text1"/>
        </w:rPr>
      </w:pPr>
      <w:r w:rsidRPr="00E34695">
        <w:rPr>
          <w:rFonts w:cs="Arial"/>
          <w:b/>
          <w:color w:val="000000" w:themeColor="text1"/>
        </w:rPr>
        <w:t>Table 2. Eligibility criteria</w:t>
      </w:r>
    </w:p>
    <w:p w14:paraId="1F49A0A3" w14:textId="77777777" w:rsidR="00AD583E" w:rsidRPr="00E34695" w:rsidRDefault="00AD583E" w:rsidP="008A7865">
      <w:pPr>
        <w:spacing w:before="120"/>
        <w:jc w:val="center"/>
        <w:rPr>
          <w:rFonts w:cs="Arial"/>
          <w:color w:val="000000" w:themeColor="text1"/>
        </w:rPr>
      </w:pPr>
      <w:r>
        <w:rPr>
          <w:noProof/>
        </w:rPr>
        <w:drawing>
          <wp:inline distT="0" distB="0" distL="0" distR="0" wp14:anchorId="33AF2BB9" wp14:editId="622D375D">
            <wp:extent cx="5831840" cy="3705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31840" cy="3705225"/>
                    </a:xfrm>
                    <a:prstGeom prst="rect">
                      <a:avLst/>
                    </a:prstGeom>
                  </pic:spPr>
                </pic:pic>
              </a:graphicData>
            </a:graphic>
          </wp:inline>
        </w:drawing>
      </w:r>
    </w:p>
    <w:p w14:paraId="66A43FCA" w14:textId="77777777" w:rsidR="00BC7DFE" w:rsidRPr="00E34695" w:rsidRDefault="00EC1748" w:rsidP="00795C5A">
      <w:pPr>
        <w:pStyle w:val="Heading2"/>
      </w:pPr>
      <w:bookmarkStart w:id="10" w:name="_Toc235220748"/>
      <w:r w:rsidRPr="00E34695">
        <w:t>2.6 Study selection</w:t>
      </w:r>
      <w:bookmarkEnd w:id="10"/>
    </w:p>
    <w:p w14:paraId="46301986" w14:textId="30C5AF8F" w:rsidR="00BC7DFE" w:rsidRPr="00E34695" w:rsidRDefault="00EC1748" w:rsidP="00E34695">
      <w:pPr>
        <w:spacing w:before="120"/>
        <w:rPr>
          <w:rFonts w:cs="Arial"/>
          <w:color w:val="000000" w:themeColor="text1"/>
        </w:rPr>
      </w:pPr>
      <w:r w:rsidRPr="00E34695">
        <w:rPr>
          <w:rFonts w:cs="Arial"/>
          <w:color w:val="000000" w:themeColor="text1"/>
        </w:rPr>
        <w:t xml:space="preserve">Study selection used two stages. Titles and abstracts were first checked against the criteria. Full texts were then reviewed for studies that appeared relevant. Duplicates were removed. Papers were excluded at full-text stage when they did not provide UK evidence, did not report research findings, or did not address the review question or </w:t>
      </w:r>
      <w:r w:rsidR="00372151" w:rsidRPr="00E34695">
        <w:rPr>
          <w:rFonts w:cs="Arial"/>
          <w:color w:val="000000" w:themeColor="text1"/>
        </w:rPr>
        <w:t>objectives.</w:t>
      </w:r>
      <w:r w:rsidR="00372151">
        <w:rPr>
          <w:rFonts w:cs="Arial"/>
          <w:color w:val="000000" w:themeColor="text1"/>
        </w:rPr>
        <w:t xml:space="preserve"> Five</w:t>
      </w:r>
      <w:r w:rsidRPr="00E34695">
        <w:rPr>
          <w:rFonts w:cs="Arial"/>
          <w:color w:val="000000" w:themeColor="text1"/>
        </w:rPr>
        <w:t xml:space="preserve"> UK-related peer-reviewed research papers met the eligibility criteria and were entered into one evidence chart.</w:t>
      </w:r>
    </w:p>
    <w:p w14:paraId="3E500E29" w14:textId="77777777" w:rsidR="00BC7DFE" w:rsidRPr="00E34695" w:rsidRDefault="00EC1748" w:rsidP="00795C5A">
      <w:pPr>
        <w:pStyle w:val="Heading2"/>
      </w:pPr>
      <w:bookmarkStart w:id="11" w:name="_Toc235220749"/>
      <w:r w:rsidRPr="00E34695">
        <w:t>2.7 Data extraction</w:t>
      </w:r>
      <w:bookmarkEnd w:id="11"/>
    </w:p>
    <w:p w14:paraId="203C04A0" w14:textId="77777777" w:rsidR="00B503DF" w:rsidRPr="00B503DF" w:rsidRDefault="00EC1748" w:rsidP="00B503DF">
      <w:pPr>
        <w:spacing w:before="120"/>
        <w:rPr>
          <w:rFonts w:cs="Arial"/>
          <w:color w:val="000000" w:themeColor="text1"/>
        </w:rPr>
      </w:pPr>
      <w:r w:rsidRPr="00E34695">
        <w:rPr>
          <w:rFonts w:cs="Arial"/>
          <w:color w:val="000000" w:themeColor="text1"/>
        </w:rPr>
        <w:t xml:space="preserve">A data-charting table was used. The extracted fields were author and year, research objective, methods, key findings and relevance to the review question. These fields were selected because they allow comparison between different study designs while keeping the chart linked to the research question. </w:t>
      </w:r>
      <w:r w:rsidR="00B503DF" w:rsidRPr="00B503DF">
        <w:rPr>
          <w:rFonts w:cs="Arial"/>
          <w:color w:val="000000" w:themeColor="text1"/>
        </w:rPr>
        <w:t>Data charting is an integral part of the scoping review process and is used throughout to create a map of the evidence instead of a limited analysis of effect size (Arksey and O'Malley, 2005; Peters et al., 2020).</w:t>
      </w:r>
    </w:p>
    <w:p w14:paraId="398A3DC6" w14:textId="77777777" w:rsidR="00B503DF" w:rsidRPr="00B503DF" w:rsidRDefault="00B503DF" w:rsidP="00795C5A">
      <w:pPr>
        <w:pStyle w:val="Heading2"/>
      </w:pPr>
      <w:r w:rsidRPr="00B503DF">
        <w:t>2.8 Thematic analysis</w:t>
      </w:r>
    </w:p>
    <w:p w14:paraId="0770B1FF" w14:textId="77777777" w:rsidR="00B503DF" w:rsidRPr="00B503DF" w:rsidRDefault="00B503DF" w:rsidP="00B503DF">
      <w:pPr>
        <w:spacing w:before="120"/>
        <w:rPr>
          <w:rFonts w:cs="Arial"/>
          <w:color w:val="000000" w:themeColor="text1"/>
        </w:rPr>
      </w:pPr>
      <w:r w:rsidRPr="00B503DF">
        <w:rPr>
          <w:rFonts w:cs="Arial"/>
          <w:color w:val="000000" w:themeColor="text1"/>
        </w:rPr>
        <w:t xml:space="preserve">The results parts of the papers were read multiple times. Short labels were assigned to important findings. These labels were turned into first code words. Similar codes were placed </w:t>
      </w:r>
      <w:r w:rsidRPr="00B503DF">
        <w:rPr>
          <w:rFonts w:cs="Arial"/>
          <w:color w:val="000000" w:themeColor="text1"/>
        </w:rPr>
        <w:lastRenderedPageBreak/>
        <w:t>into categories. The categories were then compared and grouped into four themes. The process used was Aveyard's simplified process as it is understandable, usable and appropriate for use by a student review. Careful movement from codes to named themes was also supported using Braun and Clarke (2006).</w:t>
      </w:r>
    </w:p>
    <w:p w14:paraId="096927AE" w14:textId="77777777" w:rsidR="00B503DF" w:rsidRPr="00B503DF" w:rsidRDefault="00B503DF" w:rsidP="00B503DF">
      <w:pPr>
        <w:spacing w:before="120"/>
        <w:rPr>
          <w:rFonts w:cs="Arial"/>
          <w:color w:val="000000" w:themeColor="text1"/>
        </w:rPr>
      </w:pPr>
      <w:r w:rsidRPr="00B503DF">
        <w:rPr>
          <w:rFonts w:cs="Arial"/>
          <w:color w:val="000000" w:themeColor="text1"/>
        </w:rPr>
        <w:t>Some papers had more than one topic. The frequency table was coded with 1 dominant theme for each of the 5 Studies. This ensured that there would be no re-counting. Narrative discussion is still aware of connections between themes.</w:t>
      </w:r>
    </w:p>
    <w:p w14:paraId="2223FFDA" w14:textId="77777777" w:rsidR="00B503DF" w:rsidRPr="00B503DF" w:rsidRDefault="00B503DF" w:rsidP="00795C5A">
      <w:pPr>
        <w:pStyle w:val="Heading2"/>
      </w:pPr>
      <w:r w:rsidRPr="00B503DF">
        <w:t>2.9 Quality and relevance</w:t>
      </w:r>
    </w:p>
    <w:p w14:paraId="5A1B062A" w14:textId="77777777" w:rsidR="00BC7DFE" w:rsidRPr="00E34695" w:rsidRDefault="00B503DF" w:rsidP="00B503DF">
      <w:pPr>
        <w:spacing w:before="120"/>
        <w:rPr>
          <w:rFonts w:cs="Arial"/>
          <w:color w:val="000000" w:themeColor="text1"/>
        </w:rPr>
      </w:pPr>
      <w:r w:rsidRPr="00B503DF">
        <w:rPr>
          <w:rFonts w:cs="Arial"/>
          <w:color w:val="000000" w:themeColor="text1"/>
        </w:rPr>
        <w:t>Typically, the criteria to exclude studies for scoping reviews are not simply based on the quality of one design versus another. They are primarily used for mapping evidence. Study design, sample, national coverage and limitations, however, were paid attention to</w:t>
      </w:r>
      <w:r w:rsidR="00EC1748" w:rsidRPr="00E34695">
        <w:rPr>
          <w:rFonts w:cs="Arial"/>
          <w:color w:val="000000" w:themeColor="text1"/>
        </w:rPr>
        <w:t>. This approach is consistent with scoping review guidance, which recommends transparent interpretation rather than treating all evidence as equal (Levac, Colquhoun and O'Brien, 2010; Peters et al., 2020).</w:t>
      </w:r>
    </w:p>
    <w:p w14:paraId="59C86D65" w14:textId="77777777" w:rsidR="00BC7DFE" w:rsidRPr="00E34695" w:rsidRDefault="00EC1748" w:rsidP="00795C5A">
      <w:pPr>
        <w:pStyle w:val="Heading2"/>
      </w:pPr>
      <w:bookmarkStart w:id="12" w:name="_Toc235220752"/>
      <w:r w:rsidRPr="00E34695">
        <w:t>2.10 Ethical considerations</w:t>
      </w:r>
      <w:bookmarkEnd w:id="12"/>
    </w:p>
    <w:p w14:paraId="7919AA5B" w14:textId="77777777" w:rsidR="00F25DFB" w:rsidRDefault="00EC1748" w:rsidP="00E34695">
      <w:pPr>
        <w:spacing w:before="120"/>
        <w:rPr>
          <w:rFonts w:cs="Arial"/>
          <w:color w:val="000000" w:themeColor="text1"/>
        </w:rPr>
      </w:pPr>
      <w:r w:rsidRPr="00E34695">
        <w:rPr>
          <w:rFonts w:cs="Arial"/>
          <w:color w:val="000000" w:themeColor="text1"/>
        </w:rPr>
        <w:t>This review uses published secondary sources. No participants were contacted and no personal data were collected. Formal research ethics approval is therefore not normally required. Ethical standards were maintained by accurate reporting, balanced interpretation, full acknowledgement of sources, Harvard referencing and avoidance of plagiarism. Findings were not changed to support a preferred conclusion.</w:t>
      </w:r>
    </w:p>
    <w:p w14:paraId="68A97020" w14:textId="77777777" w:rsidR="00BC7DFE" w:rsidRPr="00E34695" w:rsidRDefault="00F25DFB" w:rsidP="004E776A">
      <w:pPr>
        <w:spacing w:after="200" w:line="276" w:lineRule="auto"/>
        <w:jc w:val="left"/>
        <w:rPr>
          <w:rFonts w:cs="Arial"/>
          <w:color w:val="000000" w:themeColor="text1"/>
        </w:rPr>
      </w:pPr>
      <w:r>
        <w:rPr>
          <w:rFonts w:cs="Arial"/>
          <w:color w:val="000000" w:themeColor="text1"/>
        </w:rPr>
        <w:br w:type="page"/>
      </w:r>
    </w:p>
    <w:p w14:paraId="473F5A42" w14:textId="77777777" w:rsidR="00BC7DFE" w:rsidRPr="00E34695" w:rsidRDefault="00EC1748" w:rsidP="00066EB0">
      <w:pPr>
        <w:pStyle w:val="Heading1"/>
      </w:pPr>
      <w:bookmarkStart w:id="13" w:name="_Toc235220753"/>
      <w:r w:rsidRPr="00E34695">
        <w:lastRenderedPageBreak/>
        <w:t>3. Results</w:t>
      </w:r>
      <w:bookmarkEnd w:id="13"/>
    </w:p>
    <w:p w14:paraId="64767FA0" w14:textId="77777777" w:rsidR="00BC7DFE" w:rsidRPr="00E34695" w:rsidRDefault="00EC1748" w:rsidP="00795C5A">
      <w:pPr>
        <w:pStyle w:val="Heading2"/>
      </w:pPr>
      <w:bookmarkStart w:id="14" w:name="_Toc235220754"/>
      <w:r w:rsidRPr="00E34695">
        <w:t>3.1 Overview of included evidence</w:t>
      </w:r>
      <w:bookmarkEnd w:id="14"/>
    </w:p>
    <w:p w14:paraId="310AFB50" w14:textId="77777777" w:rsidR="0033752A" w:rsidRPr="00E34695" w:rsidRDefault="0033752A" w:rsidP="0033752A">
      <w:pPr>
        <w:pStyle w:val="SmallNote"/>
        <w:spacing w:before="120" w:after="120" w:line="360" w:lineRule="auto"/>
        <w:jc w:val="both"/>
        <w:rPr>
          <w:rFonts w:cs="Arial"/>
          <w:i w:val="0"/>
          <w:color w:val="000000" w:themeColor="text1"/>
          <w:sz w:val="22"/>
        </w:rPr>
      </w:pPr>
      <w:r w:rsidRPr="00E34695">
        <w:rPr>
          <w:rFonts w:cs="Arial"/>
          <w:i w:val="0"/>
          <w:color w:val="000000" w:themeColor="text1"/>
          <w:sz w:val="22"/>
        </w:rPr>
        <w:t xml:space="preserve">Table </w:t>
      </w:r>
      <w:r w:rsidR="00D702BE">
        <w:rPr>
          <w:rFonts w:cs="Arial"/>
          <w:i w:val="0"/>
          <w:color w:val="000000" w:themeColor="text1"/>
          <w:sz w:val="22"/>
        </w:rPr>
        <w:t>3</w:t>
      </w:r>
      <w:r w:rsidRPr="00E34695">
        <w:rPr>
          <w:rFonts w:cs="Arial"/>
          <w:i w:val="0"/>
          <w:color w:val="000000" w:themeColor="text1"/>
          <w:sz w:val="22"/>
        </w:rPr>
        <w:t xml:space="preserve">summarises all </w:t>
      </w:r>
      <w:r>
        <w:rPr>
          <w:rFonts w:cs="Arial"/>
          <w:i w:val="0"/>
          <w:color w:val="000000" w:themeColor="text1"/>
          <w:sz w:val="22"/>
        </w:rPr>
        <w:t>5</w:t>
      </w:r>
      <w:r w:rsidRPr="00E34695">
        <w:rPr>
          <w:rFonts w:cs="Arial"/>
          <w:i w:val="0"/>
          <w:color w:val="000000" w:themeColor="text1"/>
          <w:sz w:val="22"/>
        </w:rPr>
        <w:t xml:space="preserve"> included papers. It records the author and year, research objective, methods, key findings and relevance to the review question.</w:t>
      </w:r>
    </w:p>
    <w:p w14:paraId="0D57EBE8" w14:textId="77777777" w:rsidR="0033752A" w:rsidRPr="00E34695" w:rsidRDefault="0033752A" w:rsidP="0033752A">
      <w:pPr>
        <w:spacing w:before="120"/>
        <w:jc w:val="center"/>
        <w:rPr>
          <w:rFonts w:cs="Arial"/>
          <w:color w:val="000000" w:themeColor="text1"/>
        </w:rPr>
      </w:pPr>
      <w:r w:rsidRPr="00E34695">
        <w:rPr>
          <w:rFonts w:cs="Arial"/>
          <w:b/>
          <w:color w:val="000000" w:themeColor="text1"/>
        </w:rPr>
        <w:t xml:space="preserve">Table </w:t>
      </w:r>
      <w:r w:rsidR="00D702BE">
        <w:rPr>
          <w:rFonts w:cs="Arial"/>
          <w:b/>
          <w:color w:val="000000" w:themeColor="text1"/>
        </w:rPr>
        <w:t>3</w:t>
      </w:r>
      <w:r w:rsidRPr="00E34695">
        <w:rPr>
          <w:rFonts w:cs="Arial"/>
          <w:b/>
          <w:color w:val="000000" w:themeColor="text1"/>
        </w:rPr>
        <w:t xml:space="preserve">. Characteristics </w:t>
      </w:r>
      <w:r w:rsidR="008B24AF">
        <w:rPr>
          <w:rFonts w:cs="Arial"/>
          <w:b/>
          <w:color w:val="000000" w:themeColor="text1"/>
        </w:rPr>
        <w:t>of</w:t>
      </w:r>
      <w:r>
        <w:rPr>
          <w:rFonts w:cs="Arial"/>
          <w:b/>
          <w:color w:val="000000" w:themeColor="text1"/>
        </w:rPr>
        <w:t>5</w:t>
      </w:r>
      <w:r w:rsidRPr="00E34695">
        <w:rPr>
          <w:rFonts w:cs="Arial"/>
          <w:b/>
          <w:color w:val="000000" w:themeColor="text1"/>
        </w:rPr>
        <w:t xml:space="preserve"> included UK studies</w:t>
      </w:r>
    </w:p>
    <w:tbl>
      <w:tblPr>
        <w:tblStyle w:val="TableGrid"/>
        <w:tblW w:w="0" w:type="auto"/>
        <w:jc w:val="center"/>
        <w:tblLook w:val="04A0" w:firstRow="1" w:lastRow="0" w:firstColumn="1" w:lastColumn="0" w:noHBand="0" w:noVBand="1"/>
      </w:tblPr>
      <w:tblGrid>
        <w:gridCol w:w="494"/>
        <w:gridCol w:w="1288"/>
        <w:gridCol w:w="1734"/>
        <w:gridCol w:w="1810"/>
        <w:gridCol w:w="1885"/>
        <w:gridCol w:w="1963"/>
      </w:tblGrid>
      <w:tr w:rsidR="0033752A" w:rsidRPr="00DC114B" w14:paraId="48D77D10" w14:textId="77777777" w:rsidTr="0063134C">
        <w:trPr>
          <w:cantSplit/>
          <w:tblHeader/>
          <w:jc w:val="center"/>
        </w:trPr>
        <w:tc>
          <w:tcPr>
            <w:tcW w:w="567" w:type="dxa"/>
            <w:shd w:val="clear" w:color="auto" w:fill="D9EAF7"/>
            <w:tcMar>
              <w:top w:w="70" w:type="dxa"/>
              <w:left w:w="70" w:type="dxa"/>
              <w:bottom w:w="70" w:type="dxa"/>
              <w:right w:w="70" w:type="dxa"/>
            </w:tcMar>
          </w:tcPr>
          <w:p w14:paraId="0101CD78"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No.</w:t>
            </w:r>
          </w:p>
        </w:tc>
        <w:tc>
          <w:tcPr>
            <w:tcW w:w="1871" w:type="dxa"/>
            <w:shd w:val="clear" w:color="auto" w:fill="D9EAF7"/>
            <w:tcMar>
              <w:top w:w="70" w:type="dxa"/>
              <w:left w:w="70" w:type="dxa"/>
              <w:bottom w:w="70" w:type="dxa"/>
              <w:right w:w="70" w:type="dxa"/>
            </w:tcMar>
          </w:tcPr>
          <w:p w14:paraId="3D34322F"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Author(s) and year</w:t>
            </w:r>
          </w:p>
        </w:tc>
        <w:tc>
          <w:tcPr>
            <w:tcW w:w="2948" w:type="dxa"/>
            <w:shd w:val="clear" w:color="auto" w:fill="D9EAF7"/>
            <w:tcMar>
              <w:top w:w="70" w:type="dxa"/>
              <w:left w:w="70" w:type="dxa"/>
              <w:bottom w:w="70" w:type="dxa"/>
              <w:right w:w="70" w:type="dxa"/>
            </w:tcMar>
          </w:tcPr>
          <w:p w14:paraId="16761AC2"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Research objective</w:t>
            </w:r>
          </w:p>
        </w:tc>
        <w:tc>
          <w:tcPr>
            <w:tcW w:w="2835" w:type="dxa"/>
            <w:shd w:val="clear" w:color="auto" w:fill="D9EAF7"/>
            <w:tcMar>
              <w:top w:w="70" w:type="dxa"/>
              <w:left w:w="70" w:type="dxa"/>
              <w:bottom w:w="70" w:type="dxa"/>
              <w:right w:w="70" w:type="dxa"/>
            </w:tcMar>
          </w:tcPr>
          <w:p w14:paraId="4BED2FB6"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Methods</w:t>
            </w:r>
          </w:p>
        </w:tc>
        <w:tc>
          <w:tcPr>
            <w:tcW w:w="3402" w:type="dxa"/>
            <w:shd w:val="clear" w:color="auto" w:fill="D9EAF7"/>
            <w:tcMar>
              <w:top w:w="70" w:type="dxa"/>
              <w:left w:w="70" w:type="dxa"/>
              <w:bottom w:w="70" w:type="dxa"/>
              <w:right w:w="70" w:type="dxa"/>
            </w:tcMar>
          </w:tcPr>
          <w:p w14:paraId="654C2B89"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Key findings</w:t>
            </w:r>
          </w:p>
        </w:tc>
        <w:tc>
          <w:tcPr>
            <w:tcW w:w="3402" w:type="dxa"/>
            <w:shd w:val="clear" w:color="auto" w:fill="D9EAF7"/>
            <w:tcMar>
              <w:top w:w="70" w:type="dxa"/>
              <w:left w:w="70" w:type="dxa"/>
              <w:bottom w:w="70" w:type="dxa"/>
              <w:right w:w="70" w:type="dxa"/>
            </w:tcMar>
          </w:tcPr>
          <w:p w14:paraId="362F1F7B" w14:textId="77777777" w:rsidR="0033752A" w:rsidRPr="00DC114B" w:rsidRDefault="0033752A" w:rsidP="0063134C">
            <w:pPr>
              <w:pStyle w:val="TableText"/>
              <w:spacing w:after="0"/>
              <w:jc w:val="both"/>
              <w:rPr>
                <w:rFonts w:cs="Arial"/>
                <w:color w:val="000000" w:themeColor="text1"/>
                <w:sz w:val="20"/>
                <w:szCs w:val="20"/>
              </w:rPr>
            </w:pPr>
            <w:r w:rsidRPr="00DC114B">
              <w:rPr>
                <w:rFonts w:cs="Arial"/>
                <w:b/>
                <w:color w:val="000000" w:themeColor="text1"/>
                <w:sz w:val="20"/>
                <w:szCs w:val="20"/>
              </w:rPr>
              <w:t>Relevance to the review question</w:t>
            </w:r>
          </w:p>
        </w:tc>
      </w:tr>
      <w:tr w:rsidR="0033752A" w:rsidRPr="00DC114B" w14:paraId="56686F05" w14:textId="77777777" w:rsidTr="0063134C">
        <w:trPr>
          <w:cantSplit/>
          <w:jc w:val="center"/>
        </w:trPr>
        <w:tc>
          <w:tcPr>
            <w:tcW w:w="567" w:type="dxa"/>
            <w:tcMar>
              <w:top w:w="70" w:type="dxa"/>
              <w:left w:w="70" w:type="dxa"/>
              <w:bottom w:w="70" w:type="dxa"/>
              <w:right w:w="70" w:type="dxa"/>
            </w:tcMar>
          </w:tcPr>
          <w:p w14:paraId="0DE59E51"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1</w:t>
            </w:r>
          </w:p>
        </w:tc>
        <w:tc>
          <w:tcPr>
            <w:tcW w:w="1871" w:type="dxa"/>
            <w:tcMar>
              <w:top w:w="70" w:type="dxa"/>
              <w:left w:w="70" w:type="dxa"/>
              <w:bottom w:w="70" w:type="dxa"/>
              <w:right w:w="70" w:type="dxa"/>
            </w:tcMar>
          </w:tcPr>
          <w:p w14:paraId="3CF73230"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Mesher et al. (2016)</w:t>
            </w:r>
          </w:p>
        </w:tc>
        <w:tc>
          <w:tcPr>
            <w:tcW w:w="2948" w:type="dxa"/>
            <w:tcMar>
              <w:top w:w="70" w:type="dxa"/>
              <w:left w:w="70" w:type="dxa"/>
              <w:bottom w:w="70" w:type="dxa"/>
              <w:right w:w="70" w:type="dxa"/>
            </w:tcMar>
          </w:tcPr>
          <w:p w14:paraId="724D2E15"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 xml:space="preserve">To measure changes in HPV16/18 prevalence after the English bivalent HPV vaccination </w:t>
            </w:r>
            <w:proofErr w:type="spellStart"/>
            <w:r w:rsidRPr="00DC114B">
              <w:rPr>
                <w:rFonts w:cs="Arial"/>
                <w:color w:val="000000" w:themeColor="text1"/>
                <w:sz w:val="20"/>
                <w:szCs w:val="20"/>
              </w:rPr>
              <w:t>programme</w:t>
            </w:r>
            <w:proofErr w:type="spellEnd"/>
            <w:r w:rsidRPr="00DC114B">
              <w:rPr>
                <w:rFonts w:cs="Arial"/>
                <w:color w:val="000000" w:themeColor="text1"/>
                <w:sz w:val="20"/>
                <w:szCs w:val="20"/>
              </w:rPr>
              <w:t>.</w:t>
            </w:r>
          </w:p>
        </w:tc>
        <w:tc>
          <w:tcPr>
            <w:tcW w:w="2835" w:type="dxa"/>
            <w:tcMar>
              <w:top w:w="70" w:type="dxa"/>
              <w:left w:w="70" w:type="dxa"/>
              <w:bottom w:w="70" w:type="dxa"/>
              <w:right w:w="70" w:type="dxa"/>
            </w:tcMar>
          </w:tcPr>
          <w:p w14:paraId="15EDC2E2"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Ongoing cross-sectional surveillance using residual chlamydia-screening samples from young women in England.</w:t>
            </w:r>
          </w:p>
        </w:tc>
        <w:tc>
          <w:tcPr>
            <w:tcW w:w="3402" w:type="dxa"/>
            <w:tcMar>
              <w:top w:w="70" w:type="dxa"/>
              <w:left w:w="70" w:type="dxa"/>
              <w:bottom w:w="70" w:type="dxa"/>
              <w:right w:w="70" w:type="dxa"/>
            </w:tcMar>
          </w:tcPr>
          <w:p w14:paraId="5D5A1744"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HPV16/18 prevalence continued to fall. The fall was greatest in younger cohorts with high vaccine coverage.</w:t>
            </w:r>
          </w:p>
        </w:tc>
        <w:tc>
          <w:tcPr>
            <w:tcW w:w="3402" w:type="dxa"/>
            <w:tcMar>
              <w:top w:w="70" w:type="dxa"/>
              <w:left w:w="70" w:type="dxa"/>
              <w:bottom w:w="70" w:type="dxa"/>
              <w:right w:w="70" w:type="dxa"/>
            </w:tcMar>
          </w:tcPr>
          <w:p w14:paraId="643B6A43"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Shows that vaccination reduces infection with the high-risk HPV types most strongly linked to cervical cancer.</w:t>
            </w:r>
          </w:p>
        </w:tc>
      </w:tr>
      <w:tr w:rsidR="0033752A" w:rsidRPr="00DC114B" w14:paraId="19702169" w14:textId="77777777" w:rsidTr="0063134C">
        <w:trPr>
          <w:cantSplit/>
          <w:jc w:val="center"/>
        </w:trPr>
        <w:tc>
          <w:tcPr>
            <w:tcW w:w="567" w:type="dxa"/>
            <w:tcMar>
              <w:top w:w="70" w:type="dxa"/>
              <w:left w:w="70" w:type="dxa"/>
              <w:bottom w:w="70" w:type="dxa"/>
              <w:right w:w="70" w:type="dxa"/>
            </w:tcMar>
          </w:tcPr>
          <w:p w14:paraId="7F77F51E"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2</w:t>
            </w:r>
          </w:p>
        </w:tc>
        <w:tc>
          <w:tcPr>
            <w:tcW w:w="1871" w:type="dxa"/>
            <w:tcMar>
              <w:top w:w="70" w:type="dxa"/>
              <w:left w:w="70" w:type="dxa"/>
              <w:bottom w:w="70" w:type="dxa"/>
              <w:right w:w="70" w:type="dxa"/>
            </w:tcMar>
          </w:tcPr>
          <w:p w14:paraId="38038C17"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Palmer et al. (2019)</w:t>
            </w:r>
          </w:p>
        </w:tc>
        <w:tc>
          <w:tcPr>
            <w:tcW w:w="2948" w:type="dxa"/>
            <w:tcMar>
              <w:top w:w="70" w:type="dxa"/>
              <w:left w:w="70" w:type="dxa"/>
              <w:bottom w:w="70" w:type="dxa"/>
              <w:right w:w="70" w:type="dxa"/>
            </w:tcMar>
          </w:tcPr>
          <w:p w14:paraId="7B22227F"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To measure cervical disease at age 20 after routine bivalent HPV vaccination at age 12-13 in Scotland.</w:t>
            </w:r>
          </w:p>
        </w:tc>
        <w:tc>
          <w:tcPr>
            <w:tcW w:w="2835" w:type="dxa"/>
            <w:tcMar>
              <w:top w:w="70" w:type="dxa"/>
              <w:left w:w="70" w:type="dxa"/>
              <w:bottom w:w="70" w:type="dxa"/>
              <w:right w:w="70" w:type="dxa"/>
            </w:tcMar>
          </w:tcPr>
          <w:p w14:paraId="679261AA"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Retrospective population study linking national vaccination and cervical screening records for 138,692 women.</w:t>
            </w:r>
          </w:p>
        </w:tc>
        <w:tc>
          <w:tcPr>
            <w:tcW w:w="3402" w:type="dxa"/>
            <w:tcMar>
              <w:top w:w="70" w:type="dxa"/>
              <w:left w:w="70" w:type="dxa"/>
              <w:bottom w:w="70" w:type="dxa"/>
              <w:right w:w="70" w:type="dxa"/>
            </w:tcMar>
          </w:tcPr>
          <w:p w14:paraId="75B99697"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High-grade cervical disease fell sharply in vaccinated cohorts. Earlier vaccination gave the greatest benefit. Herd protection was also suggested.</w:t>
            </w:r>
          </w:p>
        </w:tc>
        <w:tc>
          <w:tcPr>
            <w:tcW w:w="3402" w:type="dxa"/>
            <w:tcMar>
              <w:top w:w="70" w:type="dxa"/>
              <w:left w:w="70" w:type="dxa"/>
              <w:bottom w:w="70" w:type="dxa"/>
              <w:right w:w="70" w:type="dxa"/>
            </w:tcMar>
          </w:tcPr>
          <w:p w14:paraId="6BD304E8"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Connects reduced HPV exposure with reduced precancerous cervical disease at population level.</w:t>
            </w:r>
          </w:p>
        </w:tc>
      </w:tr>
      <w:tr w:rsidR="0033752A" w:rsidRPr="00DC114B" w14:paraId="650D8D3B" w14:textId="77777777" w:rsidTr="0063134C">
        <w:trPr>
          <w:cantSplit/>
          <w:jc w:val="center"/>
        </w:trPr>
        <w:tc>
          <w:tcPr>
            <w:tcW w:w="567" w:type="dxa"/>
            <w:tcMar>
              <w:top w:w="70" w:type="dxa"/>
              <w:left w:w="70" w:type="dxa"/>
              <w:bottom w:w="70" w:type="dxa"/>
              <w:right w:w="70" w:type="dxa"/>
            </w:tcMar>
          </w:tcPr>
          <w:p w14:paraId="7DBE669F"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3</w:t>
            </w:r>
          </w:p>
        </w:tc>
        <w:tc>
          <w:tcPr>
            <w:tcW w:w="1871" w:type="dxa"/>
            <w:tcMar>
              <w:top w:w="70" w:type="dxa"/>
              <w:left w:w="70" w:type="dxa"/>
              <w:bottom w:w="70" w:type="dxa"/>
              <w:right w:w="70" w:type="dxa"/>
            </w:tcMar>
          </w:tcPr>
          <w:p w14:paraId="0C73EBC8" w14:textId="77777777" w:rsidR="0033752A" w:rsidRPr="00DC114B" w:rsidRDefault="0033752A" w:rsidP="0063134C">
            <w:pPr>
              <w:pStyle w:val="TableText"/>
              <w:spacing w:after="0"/>
              <w:jc w:val="both"/>
              <w:rPr>
                <w:rFonts w:cs="Arial"/>
                <w:color w:val="000000" w:themeColor="text1"/>
                <w:sz w:val="20"/>
                <w:szCs w:val="20"/>
              </w:rPr>
            </w:pPr>
            <w:proofErr w:type="spellStart"/>
            <w:r w:rsidRPr="00DC114B">
              <w:rPr>
                <w:rFonts w:cs="Arial"/>
                <w:color w:val="000000" w:themeColor="text1"/>
                <w:sz w:val="20"/>
                <w:szCs w:val="20"/>
              </w:rPr>
              <w:t>Falcaro</w:t>
            </w:r>
            <w:proofErr w:type="spellEnd"/>
            <w:r w:rsidRPr="00DC114B">
              <w:rPr>
                <w:rFonts w:cs="Arial"/>
                <w:color w:val="000000" w:themeColor="text1"/>
                <w:sz w:val="20"/>
                <w:szCs w:val="20"/>
              </w:rPr>
              <w:t xml:space="preserve"> et al. (2021)</w:t>
            </w:r>
          </w:p>
        </w:tc>
        <w:tc>
          <w:tcPr>
            <w:tcW w:w="2948" w:type="dxa"/>
            <w:tcMar>
              <w:top w:w="70" w:type="dxa"/>
              <w:left w:w="70" w:type="dxa"/>
              <w:bottom w:w="70" w:type="dxa"/>
              <w:right w:w="70" w:type="dxa"/>
            </w:tcMar>
          </w:tcPr>
          <w:p w14:paraId="5629219C"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 xml:space="preserve">To estimate the effect of the English HPV vaccination </w:t>
            </w:r>
            <w:proofErr w:type="spellStart"/>
            <w:r w:rsidRPr="00DC114B">
              <w:rPr>
                <w:rFonts w:cs="Arial"/>
                <w:color w:val="000000" w:themeColor="text1"/>
                <w:sz w:val="20"/>
                <w:szCs w:val="20"/>
              </w:rPr>
              <w:t>programme</w:t>
            </w:r>
            <w:proofErr w:type="spellEnd"/>
            <w:r w:rsidRPr="00DC114B">
              <w:rPr>
                <w:rFonts w:cs="Arial"/>
                <w:color w:val="000000" w:themeColor="text1"/>
                <w:sz w:val="20"/>
                <w:szCs w:val="20"/>
              </w:rPr>
              <w:t xml:space="preserve"> on cervical cancer and CIN3 incidence.</w:t>
            </w:r>
          </w:p>
        </w:tc>
        <w:tc>
          <w:tcPr>
            <w:tcW w:w="2835" w:type="dxa"/>
            <w:tcMar>
              <w:top w:w="70" w:type="dxa"/>
              <w:left w:w="70" w:type="dxa"/>
              <w:bottom w:w="70" w:type="dxa"/>
              <w:right w:w="70" w:type="dxa"/>
            </w:tcMar>
          </w:tcPr>
          <w:p w14:paraId="02FB423B"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National register-based observational study comparing birth cohorts offered vaccination at different ages.</w:t>
            </w:r>
          </w:p>
        </w:tc>
        <w:tc>
          <w:tcPr>
            <w:tcW w:w="3402" w:type="dxa"/>
            <w:tcMar>
              <w:top w:w="70" w:type="dxa"/>
              <w:left w:w="70" w:type="dxa"/>
              <w:bottom w:w="70" w:type="dxa"/>
              <w:right w:w="70" w:type="dxa"/>
            </w:tcMar>
          </w:tcPr>
          <w:p w14:paraId="7C287BC4"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Very large reductions in cervical cancer and CIN3 were found in cohorts offered vaccination at age 12-13. Effects were smaller in catch-up cohorts.</w:t>
            </w:r>
          </w:p>
        </w:tc>
        <w:tc>
          <w:tcPr>
            <w:tcW w:w="3402" w:type="dxa"/>
            <w:tcMar>
              <w:top w:w="70" w:type="dxa"/>
              <w:left w:w="70" w:type="dxa"/>
              <w:bottom w:w="70" w:type="dxa"/>
              <w:right w:w="70" w:type="dxa"/>
            </w:tcMar>
          </w:tcPr>
          <w:p w14:paraId="38210019"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Provides direct UK evidence that preventing HPV infection reduces invasive cervical cancer.</w:t>
            </w:r>
          </w:p>
        </w:tc>
      </w:tr>
      <w:tr w:rsidR="0033752A" w:rsidRPr="00DC114B" w14:paraId="5AB12CC3" w14:textId="77777777" w:rsidTr="0063134C">
        <w:trPr>
          <w:cantSplit/>
          <w:jc w:val="center"/>
        </w:trPr>
        <w:tc>
          <w:tcPr>
            <w:tcW w:w="567" w:type="dxa"/>
            <w:tcMar>
              <w:top w:w="70" w:type="dxa"/>
              <w:left w:w="70" w:type="dxa"/>
              <w:bottom w:w="70" w:type="dxa"/>
              <w:right w:w="70" w:type="dxa"/>
            </w:tcMar>
          </w:tcPr>
          <w:p w14:paraId="53EFFB95"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4</w:t>
            </w:r>
          </w:p>
        </w:tc>
        <w:tc>
          <w:tcPr>
            <w:tcW w:w="1871" w:type="dxa"/>
            <w:tcMar>
              <w:top w:w="70" w:type="dxa"/>
              <w:left w:w="70" w:type="dxa"/>
              <w:bottom w:w="70" w:type="dxa"/>
              <w:right w:w="70" w:type="dxa"/>
            </w:tcMar>
          </w:tcPr>
          <w:p w14:paraId="3893533A"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Rebolj et al. (2022a)</w:t>
            </w:r>
          </w:p>
        </w:tc>
        <w:tc>
          <w:tcPr>
            <w:tcW w:w="2948" w:type="dxa"/>
            <w:tcMar>
              <w:top w:w="70" w:type="dxa"/>
              <w:left w:w="70" w:type="dxa"/>
              <w:bottom w:w="70" w:type="dxa"/>
              <w:right w:w="70" w:type="dxa"/>
            </w:tcMar>
          </w:tcPr>
          <w:p w14:paraId="06ECB895"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To examine the effect of catch-up bivalent vaccination on outcomes in the English HPV screening pilot.</w:t>
            </w:r>
          </w:p>
        </w:tc>
        <w:tc>
          <w:tcPr>
            <w:tcW w:w="2835" w:type="dxa"/>
            <w:tcMar>
              <w:top w:w="70" w:type="dxa"/>
              <w:left w:w="70" w:type="dxa"/>
              <w:bottom w:w="70" w:type="dxa"/>
              <w:right w:w="70" w:type="dxa"/>
            </w:tcMar>
          </w:tcPr>
          <w:p w14:paraId="4271DDCE"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Observational analysis of screening outcomes in vaccinated and unvaccinated women.</w:t>
            </w:r>
          </w:p>
        </w:tc>
        <w:tc>
          <w:tcPr>
            <w:tcW w:w="3402" w:type="dxa"/>
            <w:tcMar>
              <w:top w:w="70" w:type="dxa"/>
              <w:left w:w="70" w:type="dxa"/>
              <w:bottom w:w="70" w:type="dxa"/>
              <w:right w:w="70" w:type="dxa"/>
            </w:tcMar>
          </w:tcPr>
          <w:p w14:paraId="25571216"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Vaccinated women had fewer HPV16/18-related CIN2+ lesions and fewer high-grade lesions overall.</w:t>
            </w:r>
          </w:p>
        </w:tc>
        <w:tc>
          <w:tcPr>
            <w:tcW w:w="3402" w:type="dxa"/>
            <w:tcMar>
              <w:top w:w="70" w:type="dxa"/>
              <w:left w:w="70" w:type="dxa"/>
              <w:bottom w:w="70" w:type="dxa"/>
              <w:right w:w="70" w:type="dxa"/>
            </w:tcMar>
          </w:tcPr>
          <w:p w14:paraId="185D9F33"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Supports vaccine effectiveness in women who entered screening after catch-up vaccination.</w:t>
            </w:r>
          </w:p>
        </w:tc>
      </w:tr>
      <w:tr w:rsidR="0033752A" w:rsidRPr="00DC114B" w14:paraId="18CFCA44" w14:textId="77777777" w:rsidTr="0063134C">
        <w:trPr>
          <w:cantSplit/>
          <w:jc w:val="center"/>
        </w:trPr>
        <w:tc>
          <w:tcPr>
            <w:tcW w:w="567" w:type="dxa"/>
            <w:tcMar>
              <w:top w:w="70" w:type="dxa"/>
              <w:left w:w="70" w:type="dxa"/>
              <w:bottom w:w="70" w:type="dxa"/>
              <w:right w:w="70" w:type="dxa"/>
            </w:tcMar>
          </w:tcPr>
          <w:p w14:paraId="5A0F0862"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5</w:t>
            </w:r>
          </w:p>
        </w:tc>
        <w:tc>
          <w:tcPr>
            <w:tcW w:w="1871" w:type="dxa"/>
            <w:tcMar>
              <w:top w:w="70" w:type="dxa"/>
              <w:left w:w="70" w:type="dxa"/>
              <w:bottom w:w="70" w:type="dxa"/>
              <w:right w:w="70" w:type="dxa"/>
            </w:tcMar>
          </w:tcPr>
          <w:p w14:paraId="0DC185C0"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Checchi et al. (2023)</w:t>
            </w:r>
          </w:p>
        </w:tc>
        <w:tc>
          <w:tcPr>
            <w:tcW w:w="2948" w:type="dxa"/>
            <w:tcMar>
              <w:top w:w="70" w:type="dxa"/>
              <w:left w:w="70" w:type="dxa"/>
              <w:bottom w:w="70" w:type="dxa"/>
              <w:right w:w="70" w:type="dxa"/>
            </w:tcMar>
          </w:tcPr>
          <w:p w14:paraId="5434CAAD"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To assess type-specific HPV after more than ten years of vaccination in England.</w:t>
            </w:r>
          </w:p>
        </w:tc>
        <w:tc>
          <w:tcPr>
            <w:tcW w:w="2835" w:type="dxa"/>
            <w:tcMar>
              <w:top w:w="70" w:type="dxa"/>
              <w:left w:w="70" w:type="dxa"/>
              <w:bottom w:w="70" w:type="dxa"/>
              <w:right w:w="70" w:type="dxa"/>
            </w:tcMar>
          </w:tcPr>
          <w:p w14:paraId="085023F8"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Cross-sectional national surveillance of HPV types in young sexually active women.</w:t>
            </w:r>
          </w:p>
        </w:tc>
        <w:tc>
          <w:tcPr>
            <w:tcW w:w="3402" w:type="dxa"/>
            <w:tcMar>
              <w:top w:w="70" w:type="dxa"/>
              <w:left w:w="70" w:type="dxa"/>
              <w:bottom w:w="70" w:type="dxa"/>
              <w:right w:w="70" w:type="dxa"/>
            </w:tcMar>
          </w:tcPr>
          <w:p w14:paraId="0580A1C3"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Large and sustained reductions were seen in vaccine HPV types. Clear type replacement was not found.</w:t>
            </w:r>
          </w:p>
        </w:tc>
        <w:tc>
          <w:tcPr>
            <w:tcW w:w="3402" w:type="dxa"/>
            <w:tcMar>
              <w:top w:w="70" w:type="dxa"/>
              <w:left w:w="70" w:type="dxa"/>
              <w:bottom w:w="70" w:type="dxa"/>
              <w:right w:w="70" w:type="dxa"/>
            </w:tcMar>
          </w:tcPr>
          <w:p w14:paraId="32CA5FF3" w14:textId="77777777" w:rsidR="0033752A" w:rsidRPr="00DC114B" w:rsidRDefault="0033752A" w:rsidP="0063134C">
            <w:pPr>
              <w:pStyle w:val="TableText"/>
              <w:spacing w:after="0"/>
              <w:jc w:val="both"/>
              <w:rPr>
                <w:rFonts w:cs="Arial"/>
                <w:color w:val="000000" w:themeColor="text1"/>
                <w:sz w:val="20"/>
                <w:szCs w:val="20"/>
              </w:rPr>
            </w:pPr>
            <w:r w:rsidRPr="00DC114B">
              <w:rPr>
                <w:rFonts w:cs="Arial"/>
                <w:color w:val="000000" w:themeColor="text1"/>
                <w:sz w:val="20"/>
                <w:szCs w:val="20"/>
              </w:rPr>
              <w:t>Shows that vaccine effects on cancer-linked HPV types were sustained.</w:t>
            </w:r>
          </w:p>
        </w:tc>
      </w:tr>
    </w:tbl>
    <w:p w14:paraId="768F5623" w14:textId="77777777" w:rsidR="00946F3B" w:rsidRPr="00E34695" w:rsidRDefault="00946F3B" w:rsidP="00E34695">
      <w:pPr>
        <w:spacing w:before="120"/>
        <w:rPr>
          <w:rFonts w:cs="Arial"/>
          <w:color w:val="000000" w:themeColor="text1"/>
        </w:rPr>
      </w:pPr>
    </w:p>
    <w:p w14:paraId="73E868D5" w14:textId="77777777" w:rsidR="00BC7DFE" w:rsidRPr="00E34695" w:rsidRDefault="00EC1748" w:rsidP="00795C5A">
      <w:pPr>
        <w:pStyle w:val="Heading2"/>
      </w:pPr>
      <w:bookmarkStart w:id="15" w:name="_Toc235220755"/>
      <w:r w:rsidRPr="00E34695">
        <w:lastRenderedPageBreak/>
        <w:t>3.2 Code generation</w:t>
      </w:r>
      <w:bookmarkEnd w:id="15"/>
    </w:p>
    <w:p w14:paraId="360AB7C7" w14:textId="77777777" w:rsidR="00BC7DFE" w:rsidRPr="00E34695" w:rsidRDefault="0002394C" w:rsidP="00E34695">
      <w:pPr>
        <w:spacing w:before="120"/>
        <w:rPr>
          <w:rFonts w:cs="Arial"/>
          <w:color w:val="000000" w:themeColor="text1"/>
        </w:rPr>
      </w:pPr>
      <w:r w:rsidRPr="00E34695">
        <w:rPr>
          <w:rFonts w:cs="Arial"/>
          <w:color w:val="000000" w:themeColor="text1"/>
        </w:rPr>
        <w:t xml:space="preserve">The </w:t>
      </w:r>
      <w:r>
        <w:rPr>
          <w:rFonts w:cs="Arial"/>
          <w:color w:val="000000" w:themeColor="text1"/>
        </w:rPr>
        <w:t>5</w:t>
      </w:r>
      <w:r w:rsidRPr="00E34695">
        <w:rPr>
          <w:rFonts w:cs="Arial"/>
          <w:color w:val="000000" w:themeColor="text1"/>
        </w:rPr>
        <w:t xml:space="preserve"> studies were </w:t>
      </w:r>
      <w:proofErr w:type="spellStart"/>
      <w:r w:rsidRPr="00E34695">
        <w:rPr>
          <w:rFonts w:cs="Arial"/>
          <w:color w:val="000000" w:themeColor="text1"/>
        </w:rPr>
        <w:t>organised</w:t>
      </w:r>
      <w:proofErr w:type="spellEnd"/>
      <w:r w:rsidRPr="00E34695">
        <w:rPr>
          <w:rFonts w:cs="Arial"/>
          <w:color w:val="000000" w:themeColor="text1"/>
        </w:rPr>
        <w:t xml:space="preserve"> into four themes. Self-sampling and psychosocial experience were the largest theme</w:t>
      </w:r>
      <w:r w:rsidR="005028AE">
        <w:rPr>
          <w:rFonts w:cs="Arial"/>
          <w:color w:val="000000" w:themeColor="text1"/>
        </w:rPr>
        <w:t xml:space="preserve"> (see table 4)</w:t>
      </w:r>
      <w:r w:rsidR="001012D2">
        <w:rPr>
          <w:rFonts w:cs="Arial"/>
          <w:color w:val="000000" w:themeColor="text1"/>
        </w:rPr>
        <w:t>.</w:t>
      </w:r>
    </w:p>
    <w:p w14:paraId="543925A2" w14:textId="77777777" w:rsidR="00BC7DFE" w:rsidRDefault="00EC1748" w:rsidP="003144D5">
      <w:pPr>
        <w:spacing w:before="120"/>
        <w:jc w:val="center"/>
        <w:rPr>
          <w:rFonts w:cs="Arial"/>
          <w:b/>
          <w:color w:val="000000" w:themeColor="text1"/>
        </w:rPr>
      </w:pPr>
      <w:r w:rsidRPr="00E34695">
        <w:rPr>
          <w:rFonts w:cs="Arial"/>
          <w:b/>
          <w:color w:val="000000" w:themeColor="text1"/>
        </w:rPr>
        <w:t xml:space="preserve">Table 4. </w:t>
      </w:r>
      <w:r w:rsidR="00785AB6">
        <w:rPr>
          <w:rFonts w:cs="Arial"/>
          <w:b/>
          <w:color w:val="000000" w:themeColor="text1"/>
        </w:rPr>
        <w:t>C</w:t>
      </w:r>
      <w:r w:rsidRPr="00E34695">
        <w:rPr>
          <w:rFonts w:cs="Arial"/>
          <w:b/>
          <w:color w:val="000000" w:themeColor="text1"/>
        </w:rPr>
        <w:t>ode generation and theme development</w:t>
      </w:r>
    </w:p>
    <w:p w14:paraId="2F65979C" w14:textId="77777777" w:rsidR="00A32EC9" w:rsidRPr="00E34695" w:rsidRDefault="00A32EC9" w:rsidP="003144D5">
      <w:pPr>
        <w:spacing w:before="120"/>
        <w:jc w:val="center"/>
        <w:rPr>
          <w:rFonts w:cs="Arial"/>
          <w:color w:val="000000" w:themeColor="text1"/>
        </w:rPr>
      </w:pPr>
      <w:r>
        <w:rPr>
          <w:noProof/>
        </w:rPr>
        <w:drawing>
          <wp:inline distT="0" distB="0" distL="0" distR="0" wp14:anchorId="7BB1DED9" wp14:editId="71BF1288">
            <wp:extent cx="5831840" cy="26015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31840" cy="2601595"/>
                    </a:xfrm>
                    <a:prstGeom prst="rect">
                      <a:avLst/>
                    </a:prstGeom>
                  </pic:spPr>
                </pic:pic>
              </a:graphicData>
            </a:graphic>
          </wp:inline>
        </w:drawing>
      </w:r>
    </w:p>
    <w:p w14:paraId="67761AC1" w14:textId="77777777" w:rsidR="00BC7DFE" w:rsidRPr="00E34695" w:rsidRDefault="00EC1748" w:rsidP="00795C5A">
      <w:pPr>
        <w:pStyle w:val="Heading2"/>
      </w:pPr>
      <w:bookmarkStart w:id="16" w:name="_Toc235220756"/>
      <w:r w:rsidRPr="00E34695">
        <w:t>3.3 Theme 1: HPV vaccination and reduced cervical disease</w:t>
      </w:r>
      <w:bookmarkEnd w:id="16"/>
    </w:p>
    <w:p w14:paraId="38ED4B36" w14:textId="77777777" w:rsidR="00BC7DFE" w:rsidRPr="00E34695" w:rsidRDefault="00EC1748" w:rsidP="00E34695">
      <w:pPr>
        <w:spacing w:before="120"/>
        <w:rPr>
          <w:rFonts w:cs="Arial"/>
          <w:color w:val="000000" w:themeColor="text1"/>
        </w:rPr>
      </w:pPr>
      <w:r w:rsidRPr="00E34695">
        <w:rPr>
          <w:rFonts w:cs="Arial"/>
          <w:color w:val="000000" w:themeColor="text1"/>
        </w:rPr>
        <w:t xml:space="preserve">The vaccination studies gave the clearest population-level evidence for the relationship between HPV infection and cervical cancer. Mesher et al. (2016) found continuing falls in HPV16 and HPV18 among young women in England after the bivalent vaccine </w:t>
      </w:r>
      <w:proofErr w:type="spellStart"/>
      <w:r w:rsidRPr="00E34695">
        <w:rPr>
          <w:rFonts w:cs="Arial"/>
          <w:color w:val="000000" w:themeColor="text1"/>
        </w:rPr>
        <w:t>programme</w:t>
      </w:r>
      <w:proofErr w:type="spellEnd"/>
      <w:r w:rsidRPr="00E34695">
        <w:rPr>
          <w:rFonts w:cs="Arial"/>
          <w:color w:val="000000" w:themeColor="text1"/>
        </w:rPr>
        <w:t>. These are two of the main high-risk types linked to cervical cancer. The finding supports a causal pathway: when infection with important high-risk types falls, later precancer and cancer should also fall.</w:t>
      </w:r>
    </w:p>
    <w:p w14:paraId="026B1C14" w14:textId="77777777" w:rsidR="00BC7DFE" w:rsidRPr="00E34695" w:rsidRDefault="00EC1748" w:rsidP="00E34695">
      <w:pPr>
        <w:spacing w:before="120"/>
        <w:rPr>
          <w:rFonts w:cs="Arial"/>
          <w:color w:val="000000" w:themeColor="text1"/>
        </w:rPr>
      </w:pPr>
      <w:r w:rsidRPr="00E34695">
        <w:rPr>
          <w:rFonts w:cs="Arial"/>
          <w:color w:val="000000" w:themeColor="text1"/>
        </w:rPr>
        <w:t>Scottish evidence showed that the effect extended beyond infection. Palmer et al. (2019) linked vaccination and screening records for women screened at age 20. High-grade cervical disease was much lower in women vaccinated at age 12 or 13. The reduction was greatest when vaccination took place before likely exposure to HPV. The study also reported evidence of herd protection in unvaccinated women.</w:t>
      </w:r>
    </w:p>
    <w:p w14:paraId="6220ED5A" w14:textId="77777777" w:rsidR="00BC7DFE" w:rsidRPr="00E34695" w:rsidRDefault="00EC1748" w:rsidP="00E34695">
      <w:pPr>
        <w:spacing w:before="120"/>
        <w:rPr>
          <w:rFonts w:cs="Arial"/>
          <w:color w:val="000000" w:themeColor="text1"/>
        </w:rPr>
      </w:pPr>
      <w:proofErr w:type="spellStart"/>
      <w:r w:rsidRPr="00E34695">
        <w:rPr>
          <w:rFonts w:cs="Arial"/>
          <w:color w:val="000000" w:themeColor="text1"/>
        </w:rPr>
        <w:t>Falcaro</w:t>
      </w:r>
      <w:proofErr w:type="spellEnd"/>
      <w:r w:rsidRPr="00E34695">
        <w:rPr>
          <w:rFonts w:cs="Arial"/>
          <w:color w:val="000000" w:themeColor="text1"/>
        </w:rPr>
        <w:t xml:space="preserve"> et al. (2021) provided direct evidence on invasive cervical cancer in England. The national register-based study found very large reductions in cervical cancer and grade 3 cervical intraepithelial neoplasia in cohorts offered vaccination at age 12 or 13. Smaller reductions were seen in older catch-up cohorts. Rebolj et al. (2022a) also found fewer HPV16/18-related high-grade lesions among women who received catch-up vaccination and entered the English HPV screening pilot.</w:t>
      </w:r>
    </w:p>
    <w:p w14:paraId="243E777B" w14:textId="77777777" w:rsidR="00BC7DFE" w:rsidRPr="00E34695" w:rsidRDefault="00EC1748" w:rsidP="00E34695">
      <w:pPr>
        <w:spacing w:before="120"/>
        <w:rPr>
          <w:rFonts w:cs="Arial"/>
          <w:color w:val="000000" w:themeColor="text1"/>
        </w:rPr>
      </w:pPr>
      <w:r w:rsidRPr="00E34695">
        <w:rPr>
          <w:rFonts w:cs="Arial"/>
          <w:color w:val="000000" w:themeColor="text1"/>
        </w:rPr>
        <w:t>Checchi et al. (2023) reviewed surveillance after more than ten years of vaccination in England. Vaccine-type HPV remained much less common. The evidence did not show a clear rise in non-</w:t>
      </w:r>
      <w:r w:rsidRPr="00E34695">
        <w:rPr>
          <w:rFonts w:cs="Arial"/>
          <w:color w:val="000000" w:themeColor="text1"/>
        </w:rPr>
        <w:lastRenderedPageBreak/>
        <w:t xml:space="preserve">vaccine types that would remove the benefit. </w:t>
      </w:r>
      <w:proofErr w:type="spellStart"/>
      <w:r w:rsidRPr="00E34695">
        <w:rPr>
          <w:rFonts w:cs="Arial"/>
          <w:color w:val="000000" w:themeColor="text1"/>
        </w:rPr>
        <w:t>Falcaro</w:t>
      </w:r>
      <w:proofErr w:type="spellEnd"/>
      <w:r w:rsidRPr="00E34695">
        <w:rPr>
          <w:rFonts w:cs="Arial"/>
          <w:color w:val="000000" w:themeColor="text1"/>
        </w:rPr>
        <w:t xml:space="preserve"> et al. (2024) found that cancer and CIN3 reductions occurred across deprivation groups. However, inequalities in coverage and background risk still require attention.</w:t>
      </w:r>
    </w:p>
    <w:p w14:paraId="0B7A75BD" w14:textId="77777777" w:rsidR="00BC7DFE" w:rsidRPr="00E34695" w:rsidRDefault="00EC1748" w:rsidP="00E34695">
      <w:pPr>
        <w:spacing w:before="120"/>
        <w:rPr>
          <w:rFonts w:cs="Arial"/>
          <w:color w:val="000000" w:themeColor="text1"/>
        </w:rPr>
      </w:pPr>
      <w:r w:rsidRPr="00E34695">
        <w:rPr>
          <w:rFonts w:cs="Arial"/>
          <w:color w:val="000000" w:themeColor="text1"/>
        </w:rPr>
        <w:t>Overall, this theme answers the research question by showing that high-risk HPV infection is not only associated with cervical cancer but is a preventable cause. Reducing HPV16/18 infection led to later reductions in severe cervical disease and cance</w:t>
      </w:r>
      <w:r w:rsidR="00474718">
        <w:rPr>
          <w:rFonts w:cs="Arial"/>
          <w:color w:val="000000" w:themeColor="text1"/>
        </w:rPr>
        <w:t>r</w:t>
      </w:r>
      <w:r w:rsidRPr="00E34695">
        <w:rPr>
          <w:rFonts w:cs="Arial"/>
          <w:color w:val="000000" w:themeColor="text1"/>
        </w:rPr>
        <w:t>.</w:t>
      </w:r>
    </w:p>
    <w:p w14:paraId="74039525" w14:textId="77777777" w:rsidR="00BC7DFE" w:rsidRPr="00E34695" w:rsidRDefault="00EC1748" w:rsidP="00795C5A">
      <w:pPr>
        <w:pStyle w:val="Heading2"/>
      </w:pPr>
      <w:bookmarkStart w:id="17" w:name="_Toc235220757"/>
      <w:r w:rsidRPr="00E34695">
        <w:t>3.4 Theme 2: HPV-based screening, triage and follow-up</w:t>
      </w:r>
      <w:bookmarkEnd w:id="17"/>
    </w:p>
    <w:p w14:paraId="487DA334" w14:textId="77777777" w:rsidR="00BC7DFE" w:rsidRPr="00E34695" w:rsidRDefault="00EC1748" w:rsidP="00E34695">
      <w:pPr>
        <w:spacing w:before="120"/>
        <w:rPr>
          <w:rFonts w:cs="Arial"/>
          <w:color w:val="000000" w:themeColor="text1"/>
        </w:rPr>
      </w:pPr>
      <w:r w:rsidRPr="00E34695">
        <w:rPr>
          <w:rFonts w:cs="Arial"/>
          <w:color w:val="000000" w:themeColor="text1"/>
        </w:rPr>
        <w:t xml:space="preserve">The second theme concerned the use of HPV testing in cervical screening. Rebolj et al. (2019) found that primary HPV testing detected more high-grade abnormalities and cervical cancers than cytology-based screening in the English pilot. Castanon, Landy and </w:t>
      </w:r>
      <w:proofErr w:type="spellStart"/>
      <w:r w:rsidRPr="00E34695">
        <w:rPr>
          <w:rFonts w:cs="Arial"/>
          <w:color w:val="000000" w:themeColor="text1"/>
        </w:rPr>
        <w:t>Sasieni</w:t>
      </w:r>
      <w:proofErr w:type="spellEnd"/>
      <w:r w:rsidRPr="00E34695">
        <w:rPr>
          <w:rFonts w:cs="Arial"/>
          <w:color w:val="000000" w:themeColor="text1"/>
        </w:rPr>
        <w:t xml:space="preserve"> (2017) also estimated that primary HPV screening could reduce cervical cancer incidence in England. These findings show how testing for the causal infection can improve prevention.</w:t>
      </w:r>
    </w:p>
    <w:p w14:paraId="16EAD7FC" w14:textId="77777777" w:rsidR="00BC7DFE" w:rsidRPr="00E34695" w:rsidRDefault="00EC1748" w:rsidP="00E34695">
      <w:pPr>
        <w:spacing w:before="120"/>
        <w:rPr>
          <w:rFonts w:cs="Arial"/>
          <w:color w:val="000000" w:themeColor="text1"/>
        </w:rPr>
      </w:pPr>
      <w:r w:rsidRPr="00E34695">
        <w:rPr>
          <w:rFonts w:cs="Arial"/>
          <w:color w:val="000000" w:themeColor="text1"/>
        </w:rPr>
        <w:t>Screening needs to balance early detection with unnecessary tests. Rebolj et al. (2022c) showed that women with a negative HPV test had a very low later risk. This supports longer screening intervals after a negative result. However, women who were HPV positive and returned for early recall formed a different risk group. Their follow-up should not be assumed to be the same as routine negative screening.</w:t>
      </w:r>
    </w:p>
    <w:p w14:paraId="4A6CAD12" w14:textId="77777777" w:rsidR="00BC7DFE" w:rsidRPr="00E34695" w:rsidRDefault="00EC1748" w:rsidP="00E34695">
      <w:pPr>
        <w:spacing w:before="120"/>
        <w:rPr>
          <w:rFonts w:cs="Arial"/>
          <w:color w:val="000000" w:themeColor="text1"/>
        </w:rPr>
      </w:pPr>
      <w:r w:rsidRPr="00E34695">
        <w:rPr>
          <w:rFonts w:cs="Arial"/>
          <w:color w:val="000000" w:themeColor="text1"/>
        </w:rPr>
        <w:t>Age also affected outcomes. Rebolj et al. (2022b) found that HPV positivity and detected disease varied by age. Many infections involved high-risk types other than HPV16 and HPV18. Sargent et al. (2019) found that urine HPV testing showed promise when compared with matched vaginal and cervical samples. Lei et al. (2024) added that genotype and cycle-threshold information from self-samples could help separate higher-risk from lower-risk HPV-positive women.</w:t>
      </w:r>
    </w:p>
    <w:p w14:paraId="4638732A" w14:textId="77777777" w:rsidR="00BC7DFE" w:rsidRPr="00E34695" w:rsidRDefault="00EC1748" w:rsidP="00E34695">
      <w:pPr>
        <w:spacing w:before="120"/>
        <w:rPr>
          <w:rFonts w:cs="Arial"/>
          <w:color w:val="000000" w:themeColor="text1"/>
        </w:rPr>
      </w:pPr>
      <w:r w:rsidRPr="00E34695">
        <w:rPr>
          <w:rFonts w:cs="Arial"/>
          <w:color w:val="000000" w:themeColor="text1"/>
        </w:rPr>
        <w:t>Cytology remains important as a triage test after a positive HPV result. Rebolj et al. (2022d) found that changing to HPV primary screening changed the number and type of samples seen by cytology services. Laboratories therefore need suitable training and quality systems. Green et al. (2021) showed that screening effectiveness also depends on attendance at early recall and colposcopy. A sensitive test cannot prevent cancer when positive patients are lost before diagnosis or treatment.</w:t>
      </w:r>
    </w:p>
    <w:p w14:paraId="7EA6F41C" w14:textId="77777777" w:rsidR="00BC7DFE" w:rsidRPr="00E34695" w:rsidRDefault="00EC1748" w:rsidP="00E34695">
      <w:pPr>
        <w:spacing w:before="120"/>
        <w:rPr>
          <w:rFonts w:cs="Arial"/>
          <w:color w:val="000000" w:themeColor="text1"/>
        </w:rPr>
      </w:pPr>
      <w:r w:rsidRPr="00E34695">
        <w:rPr>
          <w:rFonts w:cs="Arial"/>
          <w:color w:val="000000" w:themeColor="text1"/>
        </w:rPr>
        <w:t>This theme shows that the relationship between HPV and cervical cancer can be used in clinical practice. A negative test identifies low risk. Persistent or higher-risk HPV identifies people who need closer assessment.</w:t>
      </w:r>
    </w:p>
    <w:p w14:paraId="65EFDEEA" w14:textId="77777777" w:rsidR="00BC7DFE" w:rsidRPr="00E34695" w:rsidRDefault="00EC1748" w:rsidP="00795C5A">
      <w:pPr>
        <w:pStyle w:val="Heading2"/>
      </w:pPr>
      <w:bookmarkStart w:id="18" w:name="_Toc235220758"/>
      <w:r w:rsidRPr="00E34695">
        <w:lastRenderedPageBreak/>
        <w:t>3.5 Theme 3: Barriers, knowledge and inequalities</w:t>
      </w:r>
      <w:bookmarkEnd w:id="18"/>
    </w:p>
    <w:p w14:paraId="3E47A3E1" w14:textId="77777777" w:rsidR="00BC7DFE" w:rsidRPr="00E34695" w:rsidRDefault="00EC1748" w:rsidP="00E34695">
      <w:pPr>
        <w:spacing w:before="120"/>
        <w:rPr>
          <w:rFonts w:cs="Arial"/>
          <w:color w:val="000000" w:themeColor="text1"/>
        </w:rPr>
      </w:pPr>
      <w:r w:rsidRPr="00E34695">
        <w:rPr>
          <w:rFonts w:cs="Arial"/>
          <w:color w:val="000000" w:themeColor="text1"/>
        </w:rPr>
        <w:t>Screening is effective only when eligible people can use it. The evidence showed that non-attendance has several causes. Kitchener et al. (2016) tested strategies to improve attendance at the first screening invitation. The effects were modest. This suggests that one invitation method cannot solve all forms of non-attendance.</w:t>
      </w:r>
    </w:p>
    <w:p w14:paraId="5D66C5A7" w14:textId="77777777" w:rsidR="00BC7DFE" w:rsidRPr="00E34695" w:rsidRDefault="00EC1748" w:rsidP="00E34695">
      <w:pPr>
        <w:spacing w:before="120"/>
        <w:rPr>
          <w:rFonts w:cs="Arial"/>
          <w:color w:val="000000" w:themeColor="text1"/>
        </w:rPr>
      </w:pPr>
      <w:r w:rsidRPr="00E34695">
        <w:rPr>
          <w:rFonts w:cs="Arial"/>
          <w:color w:val="000000" w:themeColor="text1"/>
        </w:rPr>
        <w:t xml:space="preserve">Practical barriers included difficulty booking an appointment, limited clinic times, work, caring duties and transport. Wilding et al. (2020) found that easier access and reassurance were important influences on intended attendance. Emotional barriers included embarrassment, fear of pain, fear of a cancer result and previous poor experiences. </w:t>
      </w:r>
      <w:proofErr w:type="spellStart"/>
      <w:r w:rsidRPr="00E34695">
        <w:rPr>
          <w:rFonts w:cs="Arial"/>
          <w:color w:val="000000" w:themeColor="text1"/>
        </w:rPr>
        <w:t>Taratula</w:t>
      </w:r>
      <w:proofErr w:type="spellEnd"/>
      <w:r w:rsidRPr="00E34695">
        <w:rPr>
          <w:rFonts w:cs="Arial"/>
          <w:color w:val="000000" w:themeColor="text1"/>
        </w:rPr>
        <w:t>-Lyons et al. (2024) found similar concerns among young UK women. Limited understanding of HPV and the purpose of screening also affected decisions.</w:t>
      </w:r>
    </w:p>
    <w:p w14:paraId="4AB98C7B" w14:textId="77777777" w:rsidR="00BC7DFE" w:rsidRPr="00E34695" w:rsidRDefault="00EC1748" w:rsidP="00E34695">
      <w:pPr>
        <w:spacing w:before="120"/>
        <w:rPr>
          <w:rFonts w:cs="Arial"/>
          <w:color w:val="000000" w:themeColor="text1"/>
        </w:rPr>
      </w:pPr>
      <w:r w:rsidRPr="00E34695">
        <w:rPr>
          <w:rFonts w:cs="Arial"/>
          <w:color w:val="000000" w:themeColor="text1"/>
        </w:rPr>
        <w:t>Migration, language and trust created further barriers. Patel et al. (2020) found that migrant Eastern European women in England did not always understand the NHS screening interval or trust the healthcare system.</w:t>
      </w:r>
    </w:p>
    <w:p w14:paraId="4B4F2B57" w14:textId="77777777" w:rsidR="00BC7DFE" w:rsidRPr="00E34695" w:rsidRDefault="00EC1748" w:rsidP="00E34695">
      <w:pPr>
        <w:spacing w:before="120"/>
        <w:rPr>
          <w:rFonts w:cs="Arial"/>
          <w:color w:val="000000" w:themeColor="text1"/>
        </w:rPr>
      </w:pPr>
      <w:r w:rsidRPr="00E34695">
        <w:rPr>
          <w:rFonts w:cs="Arial"/>
          <w:color w:val="000000" w:themeColor="text1"/>
        </w:rPr>
        <w:t>Bolarinwa and Holt (2023) found that barriers for Black, Asian and minority ethnic women included service design, language, cultural beliefs, religious concerns, low knowledge, fear and lack of social support. Gillibrand et al. (2025) also found that underserved groups needed more than a test kit. Trust, clear instructions, access to follow-up and choice remained important.</w:t>
      </w:r>
    </w:p>
    <w:p w14:paraId="373E8E95" w14:textId="77777777" w:rsidR="00BC7DFE" w:rsidRPr="00E34695" w:rsidRDefault="00EC1748" w:rsidP="00E34695">
      <w:pPr>
        <w:spacing w:before="120"/>
        <w:rPr>
          <w:rFonts w:cs="Arial"/>
          <w:color w:val="000000" w:themeColor="text1"/>
        </w:rPr>
      </w:pPr>
      <w:r w:rsidRPr="00E34695">
        <w:rPr>
          <w:rFonts w:cs="Arial"/>
          <w:color w:val="000000" w:themeColor="text1"/>
        </w:rPr>
        <w:t>The theme shows that inequalities can weaken the prevention pathway between HPV infection and cancer. People who miss vaccination, screening or follow-up have a greater chance that persistent infection will remain undetected.</w:t>
      </w:r>
    </w:p>
    <w:p w14:paraId="75F0CC22" w14:textId="77777777" w:rsidR="00BC7DFE" w:rsidRPr="00E34695" w:rsidRDefault="00EC1748" w:rsidP="00795C5A">
      <w:pPr>
        <w:pStyle w:val="Heading2"/>
      </w:pPr>
      <w:bookmarkStart w:id="19" w:name="_Toc235220759"/>
      <w:r w:rsidRPr="00E34695">
        <w:t>3.6 Theme 4: Self-sampling and psychosocial experience</w:t>
      </w:r>
      <w:bookmarkEnd w:id="19"/>
    </w:p>
    <w:p w14:paraId="31D424AC" w14:textId="77777777" w:rsidR="00BC7DFE" w:rsidRPr="00E34695" w:rsidRDefault="00EC1748" w:rsidP="00E34695">
      <w:pPr>
        <w:spacing w:before="120"/>
        <w:rPr>
          <w:rFonts w:cs="Arial"/>
          <w:color w:val="000000" w:themeColor="text1"/>
        </w:rPr>
      </w:pPr>
      <w:r w:rsidRPr="00E34695">
        <w:rPr>
          <w:rFonts w:cs="Arial"/>
          <w:color w:val="000000" w:themeColor="text1"/>
        </w:rPr>
        <w:t>Self-sampling was the largest theme. It offers a way to test for HPV without a speculum examination. Lim et al. (2017) showed that offering self-sampling through general practice was feasible for non-attenders. Most women with a positive self-sample attended follow-up, and important disease, including invasive cancer, was found. This showed that self-sampling can reach people with previously hidden risk.</w:t>
      </w:r>
    </w:p>
    <w:p w14:paraId="328F98C0" w14:textId="0D9B5DEA" w:rsidR="00BC7DFE" w:rsidRPr="00E34695" w:rsidRDefault="00EC1748" w:rsidP="00E34695">
      <w:pPr>
        <w:spacing w:before="120"/>
        <w:rPr>
          <w:rFonts w:cs="Arial"/>
          <w:color w:val="000000" w:themeColor="text1"/>
        </w:rPr>
      </w:pPr>
      <w:r w:rsidRPr="00E34695">
        <w:rPr>
          <w:rFonts w:cs="Arial"/>
          <w:color w:val="000000" w:themeColor="text1"/>
        </w:rPr>
        <w:t xml:space="preserve">The </w:t>
      </w:r>
      <w:r w:rsidR="00372151" w:rsidRPr="00E34695">
        <w:rPr>
          <w:rFonts w:cs="Arial"/>
          <w:color w:val="000000" w:themeColor="text1"/>
        </w:rPr>
        <w:t>You Screen</w:t>
      </w:r>
      <w:r w:rsidRPr="00E34695">
        <w:rPr>
          <w:rFonts w:cs="Arial"/>
          <w:color w:val="000000" w:themeColor="text1"/>
        </w:rPr>
        <w:t xml:space="preserve"> implementation trial provided larger English evidence. Lim et al. (2024) found that opportunistic offers in primary care and mailed kits led thousands of non-attenders to return a sample. Opportunistic offers had a particularly high return rate. The </w:t>
      </w:r>
      <w:r w:rsidR="00372151" w:rsidRPr="00E34695">
        <w:rPr>
          <w:rFonts w:cs="Arial"/>
          <w:color w:val="000000" w:themeColor="text1"/>
        </w:rPr>
        <w:t>programmed</w:t>
      </w:r>
      <w:r w:rsidRPr="00E34695">
        <w:rPr>
          <w:rFonts w:cs="Arial"/>
          <w:color w:val="000000" w:themeColor="text1"/>
        </w:rPr>
        <w:t xml:space="preserve"> also reached people living in deprived areas and people from ethnic minority groups. Drysdale et al. (2024) found high acceptability among kit users. Many wanted self-sampling as a future option. Drysdale et al. (2022) also found that preference was not identical for all women. Some valued clinician sampling and reassurance. Choice is therefore safer than replacing one method with another for everyone.</w:t>
      </w:r>
    </w:p>
    <w:p w14:paraId="49E3D56A" w14:textId="77777777" w:rsidR="00BC7DFE" w:rsidRPr="00E34695" w:rsidRDefault="00EC1748" w:rsidP="00E34695">
      <w:pPr>
        <w:spacing w:before="120"/>
        <w:rPr>
          <w:rFonts w:cs="Arial"/>
          <w:color w:val="000000" w:themeColor="text1"/>
        </w:rPr>
      </w:pPr>
      <w:r w:rsidRPr="00E34695">
        <w:rPr>
          <w:rFonts w:cs="Arial"/>
          <w:color w:val="000000" w:themeColor="text1"/>
        </w:rPr>
        <w:lastRenderedPageBreak/>
        <w:t>Self-sampling changes the first step of screening, but it does not remove the need for follow-up after a positive result. Instructions and next steps must be clear. Landy et al. (2022) found that non-speculum clinician sampling could provide another option for older women. Marlow, Drysdale and Waller (2025) found that many participants valued being offered a choice between self-sampling and clinician sampling.</w:t>
      </w:r>
    </w:p>
    <w:p w14:paraId="447F3147" w14:textId="77777777" w:rsidR="007F5279" w:rsidRPr="007F5279" w:rsidRDefault="007F5279" w:rsidP="007F5279">
      <w:pPr>
        <w:spacing w:before="120"/>
        <w:rPr>
          <w:rFonts w:cs="Arial"/>
          <w:color w:val="000000" w:themeColor="text1"/>
        </w:rPr>
      </w:pPr>
      <w:r w:rsidRPr="007F5279">
        <w:rPr>
          <w:rFonts w:cs="Arial"/>
          <w:color w:val="000000" w:themeColor="text1"/>
        </w:rPr>
        <w:t>There are also emotional impacts of HPV testing. However, some women were found to be more anxious when they were diagnosed with HPV (McBride et al., 2020), although cytology was normal. McBride et al. (2021) identified a correlation between a sense of fatalism and fear of cancer, with fatalistic attitudes being associated with a higher level of anxiety. As seen in the study by Marlowe et al. (2020), women desired to have clarity concerning the implications, origin, and impact of HPV in the future. Marlow et al. (2022) discovered there was no one size fits all distress. It might decrease, stay the same or increase with retests. When women find out they have HPV, they may feel powerful feelings of fear, shame and withdrawal, especially if they have a mental health condition, according to a study by O'Donnell et al. (2024).</w:t>
      </w:r>
    </w:p>
    <w:p w14:paraId="5E924E9A" w14:textId="77777777" w:rsidR="00BC7DFE" w:rsidRPr="00E34695" w:rsidRDefault="007F5279" w:rsidP="007F5279">
      <w:pPr>
        <w:spacing w:before="120"/>
        <w:rPr>
          <w:rFonts w:cs="Arial"/>
          <w:color w:val="000000" w:themeColor="text1"/>
        </w:rPr>
      </w:pPr>
      <w:r w:rsidRPr="007F5279">
        <w:rPr>
          <w:rFonts w:cs="Arial"/>
          <w:color w:val="000000" w:themeColor="text1"/>
        </w:rPr>
        <w:t>This theme demonstrates that a positive HPV is not just a lab result. May impact on identity, relationships and fear of cancer</w:t>
      </w:r>
      <w:r w:rsidR="00EC1748" w:rsidRPr="00E34695">
        <w:rPr>
          <w:rFonts w:cs="Arial"/>
          <w:color w:val="000000" w:themeColor="text1"/>
        </w:rPr>
        <w:t>.</w:t>
      </w:r>
    </w:p>
    <w:p w14:paraId="2DDE53AC" w14:textId="77777777" w:rsidR="001012D2" w:rsidRDefault="001012D2">
      <w:pPr>
        <w:spacing w:after="200" w:line="276" w:lineRule="auto"/>
        <w:jc w:val="left"/>
        <w:rPr>
          <w:rFonts w:cs="Arial"/>
          <w:color w:val="000000" w:themeColor="text1"/>
        </w:rPr>
      </w:pPr>
      <w:r>
        <w:rPr>
          <w:rFonts w:cs="Arial"/>
          <w:color w:val="000000" w:themeColor="text1"/>
        </w:rPr>
        <w:br w:type="page"/>
      </w:r>
    </w:p>
    <w:p w14:paraId="453CAC46" w14:textId="77777777" w:rsidR="00BC7DFE" w:rsidRPr="00E34695" w:rsidRDefault="00BC7DFE" w:rsidP="00E34695">
      <w:pPr>
        <w:spacing w:before="120"/>
        <w:rPr>
          <w:rFonts w:cs="Arial"/>
          <w:color w:val="000000" w:themeColor="text1"/>
        </w:rPr>
        <w:sectPr w:rsidR="00BC7DFE" w:rsidRPr="00E34695" w:rsidSect="003D1CEB">
          <w:headerReference w:type="default" r:id="rId14"/>
          <w:footerReference w:type="default" r:id="rId15"/>
          <w:pgSz w:w="11906" w:h="16838" w:code="9"/>
          <w:pgMar w:top="1247" w:right="1361" w:bottom="1247" w:left="1361" w:header="567" w:footer="567"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43A9DB83" w14:textId="77777777" w:rsidR="00BC7DFE" w:rsidRPr="00E34695" w:rsidRDefault="00BC7DFE" w:rsidP="00E34695">
      <w:pPr>
        <w:spacing w:before="120"/>
        <w:rPr>
          <w:rFonts w:cs="Arial"/>
          <w:color w:val="000000" w:themeColor="text1"/>
        </w:rPr>
        <w:sectPr w:rsidR="00BC7DFE" w:rsidRPr="00E34695" w:rsidSect="003D1CEB">
          <w:headerReference w:type="default" r:id="rId16"/>
          <w:footerReference w:type="default" r:id="rId17"/>
          <w:type w:val="continuous"/>
          <w:pgSz w:w="11906" w:h="16838" w:code="9"/>
          <w:pgMar w:top="737" w:right="794" w:bottom="737" w:left="794" w:header="567" w:footer="567"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66570183" w14:textId="77777777" w:rsidR="0065746B" w:rsidRPr="00E34695" w:rsidRDefault="0065746B" w:rsidP="00A455B9">
      <w:pPr>
        <w:pStyle w:val="Heading1"/>
        <w:rPr>
          <w:rFonts w:eastAsia="Times New Roman"/>
        </w:rPr>
      </w:pPr>
      <w:bookmarkStart w:id="20" w:name="_Toc235220760"/>
      <w:r w:rsidRPr="00E34695">
        <w:t>5. Discussion</w:t>
      </w:r>
      <w:bookmarkEnd w:id="20"/>
    </w:p>
    <w:p w14:paraId="32E1DF06" w14:textId="77777777" w:rsidR="0065746B" w:rsidRPr="00E34695" w:rsidRDefault="0065746B" w:rsidP="00731B80">
      <w:pPr>
        <w:pStyle w:val="Heading2"/>
      </w:pPr>
      <w:bookmarkStart w:id="21" w:name="_Toc235220761"/>
      <w:r w:rsidRPr="00E34695">
        <w:t>5.1 Answer to the research question</w:t>
      </w:r>
      <w:bookmarkEnd w:id="21"/>
    </w:p>
    <w:p w14:paraId="1E35BA41" w14:textId="77777777" w:rsidR="006B29D3" w:rsidRPr="006B29D3" w:rsidRDefault="0065746B" w:rsidP="005F7C17">
      <w:pPr>
        <w:pStyle w:val="NormalWeb"/>
        <w:spacing w:before="120" w:before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 xml:space="preserve">The evidence shows a strong relationship between HPV infection and cervical cancer. Persistent high-risk HPV infection is the central biological step in the development of most cervical cancers (Bray et al., 2024; Rebolj et al., 2019). </w:t>
      </w:r>
      <w:r w:rsidR="006B29D3" w:rsidRPr="006B29D3">
        <w:rPr>
          <w:rFonts w:ascii="Arial" w:hAnsi="Arial" w:cs="Arial"/>
          <w:color w:val="000000" w:themeColor="text1"/>
          <w:sz w:val="22"/>
          <w:szCs w:val="22"/>
        </w:rPr>
        <w:t>There are three pieces of evidence in the UK that strengthen this conclusion. Vaccine-type HPV infection decreased following vaccination (Mesher et al., 2016; Checchi et al., 2023). Secondly, there was a subsequent decrease in high-grade abnormalities in the cervical area in the vaccinated groups (Palmer et al., 2019; Rebolj et al., 2022a). Thirdly, invasive cervical cancer declined the most in cohorts who received the vaccine prior to likely HPV exposure (</w:t>
      </w:r>
      <w:proofErr w:type="spellStart"/>
      <w:r w:rsidR="006B29D3" w:rsidRPr="006B29D3">
        <w:rPr>
          <w:rFonts w:ascii="Arial" w:hAnsi="Arial" w:cs="Arial"/>
          <w:color w:val="000000" w:themeColor="text1"/>
          <w:sz w:val="22"/>
          <w:szCs w:val="22"/>
        </w:rPr>
        <w:t>Falcaro</w:t>
      </w:r>
      <w:proofErr w:type="spellEnd"/>
      <w:r w:rsidR="006B29D3" w:rsidRPr="006B29D3">
        <w:rPr>
          <w:rFonts w:ascii="Arial" w:hAnsi="Arial" w:cs="Arial"/>
          <w:color w:val="000000" w:themeColor="text1"/>
          <w:sz w:val="22"/>
          <w:szCs w:val="22"/>
        </w:rPr>
        <w:t xml:space="preserve"> et al., 2021; </w:t>
      </w:r>
      <w:proofErr w:type="spellStart"/>
      <w:r w:rsidR="006B29D3" w:rsidRPr="006B29D3">
        <w:rPr>
          <w:rFonts w:ascii="Arial" w:hAnsi="Arial" w:cs="Arial"/>
          <w:color w:val="000000" w:themeColor="text1"/>
          <w:sz w:val="22"/>
          <w:szCs w:val="22"/>
        </w:rPr>
        <w:t>Falcaro</w:t>
      </w:r>
      <w:proofErr w:type="spellEnd"/>
      <w:r w:rsidR="006B29D3" w:rsidRPr="006B29D3">
        <w:rPr>
          <w:rFonts w:ascii="Arial" w:hAnsi="Arial" w:cs="Arial"/>
          <w:color w:val="000000" w:themeColor="text1"/>
          <w:sz w:val="22"/>
          <w:szCs w:val="22"/>
        </w:rPr>
        <w:t xml:space="preserve"> et al., 2024). This is the order of events one might expect to find in a causal relationship, not just an association.</w:t>
      </w:r>
    </w:p>
    <w:p w14:paraId="0E37179F" w14:textId="01E67C30" w:rsidR="0065746B" w:rsidRPr="00E34695" w:rsidRDefault="006B29D3" w:rsidP="005F7C17">
      <w:pPr>
        <w:pStyle w:val="NormalWeb"/>
        <w:spacing w:before="120" w:beforeAutospacing="0" w:after="120" w:afterAutospacing="0" w:line="360" w:lineRule="auto"/>
        <w:jc w:val="both"/>
        <w:rPr>
          <w:rFonts w:ascii="Arial" w:hAnsi="Arial" w:cs="Arial"/>
          <w:color w:val="000000" w:themeColor="text1"/>
          <w:sz w:val="22"/>
          <w:szCs w:val="22"/>
        </w:rPr>
      </w:pPr>
      <w:r w:rsidRPr="006B29D3">
        <w:rPr>
          <w:rFonts w:ascii="Arial" w:hAnsi="Arial" w:cs="Arial"/>
          <w:color w:val="000000" w:themeColor="text1"/>
          <w:sz w:val="22"/>
          <w:szCs w:val="22"/>
        </w:rPr>
        <w:t xml:space="preserve">The same association is seen in screening studies, from a different angle. HPV testing can detect risk before abnormal cells can be seen (Rebolj et al., 2019; Rebolj et al., 2022d). If a person has a negative HPV test, the likelihood of their having a near-term risk is very low (Rebolj et al., 2022c). Longer periods of infection, specific virus types, and more intense virus signals correlate with increased risk for CIN2+ or CIN3+ (Green et al., 2021). HPV testing thereby makes it possible to shift screening from repeat cell inspection to risk-based </w:t>
      </w:r>
      <w:r w:rsidR="00372151" w:rsidRPr="006B29D3">
        <w:rPr>
          <w:rFonts w:ascii="Arial" w:hAnsi="Arial" w:cs="Arial"/>
          <w:color w:val="000000" w:themeColor="text1"/>
          <w:sz w:val="22"/>
          <w:szCs w:val="22"/>
        </w:rPr>
        <w:t>prevention.</w:t>
      </w:r>
      <w:r w:rsidR="00372151" w:rsidRPr="00E34695">
        <w:rPr>
          <w:rFonts w:ascii="Arial" w:hAnsi="Arial" w:cs="Arial"/>
          <w:color w:val="000000" w:themeColor="text1"/>
          <w:sz w:val="22"/>
          <w:szCs w:val="22"/>
        </w:rPr>
        <w:t xml:space="preserve"> (</w:t>
      </w:r>
      <w:r w:rsidR="0065746B" w:rsidRPr="00E34695">
        <w:rPr>
          <w:rFonts w:ascii="Arial" w:hAnsi="Arial" w:cs="Arial"/>
          <w:color w:val="000000" w:themeColor="text1"/>
          <w:sz w:val="22"/>
          <w:szCs w:val="22"/>
        </w:rPr>
        <w:t>Rebolj et al., 2022b; Rebolj et al., 2022c).</w:t>
      </w:r>
    </w:p>
    <w:p w14:paraId="7291F797" w14:textId="77777777" w:rsidR="0065746B" w:rsidRPr="00E34695" w:rsidRDefault="0065746B" w:rsidP="00731B80">
      <w:pPr>
        <w:pStyle w:val="Heading2"/>
      </w:pPr>
      <w:bookmarkStart w:id="22" w:name="_Toc235220762"/>
      <w:r w:rsidRPr="00E34695">
        <w:t>5.2 Prevention needs a complete pathway</w:t>
      </w:r>
      <w:bookmarkEnd w:id="22"/>
    </w:p>
    <w:p w14:paraId="64D44AF9" w14:textId="77777777" w:rsidR="00A876AF" w:rsidRDefault="0065746B" w:rsidP="00A876AF">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Vaccination and screening are complementary. Vaccination prevents many infections, but it does not protect every person from every cancer-causing HPV type (Mesher et al., 2016; Checchi et al., 2023). Screening identifies risk in unvaccinated people, people with incomplete vaccine protection and people who acquire non-vaccine high-risk types (Rebolj et al., 2019). Follow-up and treatment are then needed to remove high-grade abnormalities (Green et al., 2021). Failure at any point can allow persistent infection to progress.</w:t>
      </w:r>
    </w:p>
    <w:p w14:paraId="3F4D1AAF" w14:textId="77777777" w:rsidR="008B08E0" w:rsidRPr="008B08E0" w:rsidRDefault="008B08E0" w:rsidP="00A876AF">
      <w:pPr>
        <w:pStyle w:val="NormalWeb"/>
        <w:spacing w:before="120" w:beforeAutospacing="0" w:after="120" w:afterAutospacing="0" w:line="360" w:lineRule="auto"/>
        <w:jc w:val="both"/>
        <w:rPr>
          <w:rFonts w:ascii="Arial" w:hAnsi="Arial" w:cs="Arial"/>
          <w:color w:val="000000" w:themeColor="text1"/>
          <w:sz w:val="22"/>
          <w:szCs w:val="22"/>
        </w:rPr>
      </w:pPr>
      <w:r w:rsidRPr="008B08E0">
        <w:rPr>
          <w:rFonts w:ascii="Arial" w:hAnsi="Arial" w:cs="Arial"/>
          <w:color w:val="000000" w:themeColor="text1"/>
          <w:sz w:val="22"/>
          <w:szCs w:val="22"/>
        </w:rPr>
        <w:t xml:space="preserve">Much stronger evidence for vaccination and screening was found in the UK than treatment experience. This is in line with the national </w:t>
      </w:r>
      <w:proofErr w:type="spellStart"/>
      <w:r w:rsidRPr="008B08E0">
        <w:rPr>
          <w:rFonts w:ascii="Arial" w:hAnsi="Arial" w:cs="Arial"/>
          <w:color w:val="000000" w:themeColor="text1"/>
          <w:sz w:val="22"/>
          <w:szCs w:val="22"/>
        </w:rPr>
        <w:t>programmes</w:t>
      </w:r>
      <w:proofErr w:type="spellEnd"/>
      <w:r w:rsidRPr="008B08E0">
        <w:rPr>
          <w:rFonts w:ascii="Arial" w:hAnsi="Arial" w:cs="Arial"/>
          <w:color w:val="000000" w:themeColor="text1"/>
          <w:sz w:val="22"/>
          <w:szCs w:val="22"/>
        </w:rPr>
        <w:t xml:space="preserve"> focus on prevention. It also forms a gap. The need for further research in the area of patient experience following colposcopy, treatment for CIN, recurrence, fertility and </w:t>
      </w:r>
      <w:r w:rsidR="00F85D18" w:rsidRPr="008B08E0">
        <w:rPr>
          <w:rFonts w:ascii="Arial" w:hAnsi="Arial" w:cs="Arial"/>
          <w:color w:val="000000" w:themeColor="text1"/>
          <w:sz w:val="22"/>
          <w:szCs w:val="22"/>
        </w:rPr>
        <w:t>long-term</w:t>
      </w:r>
      <w:r w:rsidRPr="008B08E0">
        <w:rPr>
          <w:rFonts w:ascii="Arial" w:hAnsi="Arial" w:cs="Arial"/>
          <w:color w:val="000000" w:themeColor="text1"/>
          <w:sz w:val="22"/>
          <w:szCs w:val="22"/>
        </w:rPr>
        <w:t xml:space="preserve"> effects of treatment.</w:t>
      </w:r>
    </w:p>
    <w:p w14:paraId="0C057874" w14:textId="77777777" w:rsidR="008B08E0" w:rsidRPr="008B08E0" w:rsidRDefault="008B08E0" w:rsidP="00795C5A">
      <w:pPr>
        <w:pStyle w:val="Heading2"/>
      </w:pPr>
      <w:r w:rsidRPr="008B08E0">
        <w:t>5.3 Inequality impacts the HPV-cancer pathway.</w:t>
      </w:r>
    </w:p>
    <w:p w14:paraId="48EABB8E" w14:textId="77777777" w:rsidR="008B08E0" w:rsidRPr="008B08E0" w:rsidRDefault="008B08E0" w:rsidP="00A876AF">
      <w:pPr>
        <w:pStyle w:val="NormalWeb"/>
        <w:spacing w:line="360" w:lineRule="auto"/>
        <w:rPr>
          <w:rFonts w:ascii="Arial" w:hAnsi="Arial" w:cs="Arial"/>
          <w:color w:val="000000" w:themeColor="text1"/>
          <w:sz w:val="22"/>
          <w:szCs w:val="22"/>
        </w:rPr>
      </w:pPr>
      <w:r w:rsidRPr="008B08E0">
        <w:rPr>
          <w:rFonts w:ascii="Arial" w:hAnsi="Arial" w:cs="Arial"/>
          <w:color w:val="000000" w:themeColor="text1"/>
          <w:sz w:val="22"/>
          <w:szCs w:val="22"/>
        </w:rPr>
        <w:t xml:space="preserve">HPV and cancer </w:t>
      </w:r>
      <w:r w:rsidR="00F85D18" w:rsidRPr="008B08E0">
        <w:rPr>
          <w:rFonts w:ascii="Arial" w:hAnsi="Arial" w:cs="Arial"/>
          <w:color w:val="000000" w:themeColor="text1"/>
          <w:sz w:val="22"/>
          <w:szCs w:val="22"/>
        </w:rPr>
        <w:t>are</w:t>
      </w:r>
      <w:r w:rsidRPr="008B08E0">
        <w:rPr>
          <w:rFonts w:ascii="Arial" w:hAnsi="Arial" w:cs="Arial"/>
          <w:color w:val="000000" w:themeColor="text1"/>
          <w:sz w:val="22"/>
          <w:szCs w:val="22"/>
        </w:rPr>
        <w:t xml:space="preserve"> a biological relationship, but the opportunity of prevention – is social and </w:t>
      </w:r>
      <w:proofErr w:type="spellStart"/>
      <w:r w:rsidRPr="008B08E0">
        <w:rPr>
          <w:rFonts w:ascii="Arial" w:hAnsi="Arial" w:cs="Arial"/>
          <w:color w:val="000000" w:themeColor="text1"/>
          <w:sz w:val="22"/>
          <w:szCs w:val="22"/>
        </w:rPr>
        <w:t>organisational</w:t>
      </w:r>
      <w:proofErr w:type="spellEnd"/>
      <w:r w:rsidRPr="008B08E0">
        <w:rPr>
          <w:rFonts w:ascii="Arial" w:hAnsi="Arial" w:cs="Arial"/>
          <w:color w:val="000000" w:themeColor="text1"/>
          <w:sz w:val="22"/>
          <w:szCs w:val="22"/>
        </w:rPr>
        <w:t xml:space="preserve">. Access to vaccination, screening, results, colposcopy and treatment. Various factors along this path can be interrupted by practical, cultural, knowledge, fear, language and </w:t>
      </w:r>
      <w:r w:rsidRPr="008B08E0">
        <w:rPr>
          <w:rFonts w:ascii="Arial" w:hAnsi="Arial" w:cs="Arial"/>
          <w:color w:val="000000" w:themeColor="text1"/>
          <w:sz w:val="22"/>
          <w:szCs w:val="22"/>
        </w:rPr>
        <w:lastRenderedPageBreak/>
        <w:t>mistrust issues (Bolarinwa and Holt, 2023). Coverage and background health risk can also be influenced by deprivation (</w:t>
      </w:r>
      <w:proofErr w:type="spellStart"/>
      <w:r w:rsidRPr="008B08E0">
        <w:rPr>
          <w:rFonts w:ascii="Arial" w:hAnsi="Arial" w:cs="Arial"/>
          <w:color w:val="000000" w:themeColor="text1"/>
          <w:sz w:val="22"/>
          <w:szCs w:val="22"/>
        </w:rPr>
        <w:t>Falcaro</w:t>
      </w:r>
      <w:proofErr w:type="spellEnd"/>
      <w:r w:rsidRPr="008B08E0">
        <w:rPr>
          <w:rFonts w:ascii="Arial" w:hAnsi="Arial" w:cs="Arial"/>
          <w:color w:val="000000" w:themeColor="text1"/>
          <w:sz w:val="22"/>
          <w:szCs w:val="22"/>
        </w:rPr>
        <w:t xml:space="preserve"> et al., 2024).</w:t>
      </w:r>
    </w:p>
    <w:p w14:paraId="702A0003" w14:textId="77777777" w:rsidR="0065746B" w:rsidRPr="00E34695" w:rsidRDefault="008B08E0" w:rsidP="008B08E0">
      <w:pPr>
        <w:pStyle w:val="NormalWeb"/>
        <w:spacing w:before="120" w:beforeAutospacing="0" w:after="120" w:afterAutospacing="0" w:line="360" w:lineRule="auto"/>
        <w:jc w:val="both"/>
        <w:rPr>
          <w:rFonts w:ascii="Arial" w:hAnsi="Arial" w:cs="Arial"/>
          <w:color w:val="000000" w:themeColor="text1"/>
          <w:sz w:val="22"/>
          <w:szCs w:val="22"/>
        </w:rPr>
      </w:pPr>
      <w:r w:rsidRPr="008B08E0">
        <w:rPr>
          <w:rFonts w:ascii="Arial" w:hAnsi="Arial" w:cs="Arial"/>
          <w:color w:val="000000" w:themeColor="text1"/>
          <w:sz w:val="22"/>
          <w:szCs w:val="22"/>
        </w:rPr>
        <w:t xml:space="preserve">A universal invitation does not necessarily mean equal service. Others may require translated material, appointments that can meet their needs, alternatives to speculums, and trauma-informed care and/or support by trusted community </w:t>
      </w:r>
      <w:proofErr w:type="spellStart"/>
      <w:r w:rsidRPr="008B08E0">
        <w:rPr>
          <w:rFonts w:ascii="Arial" w:hAnsi="Arial" w:cs="Arial"/>
          <w:color w:val="000000" w:themeColor="text1"/>
          <w:sz w:val="22"/>
          <w:szCs w:val="22"/>
        </w:rPr>
        <w:t>organisations</w:t>
      </w:r>
      <w:proofErr w:type="spellEnd"/>
      <w:r w:rsidRPr="008B08E0">
        <w:rPr>
          <w:rFonts w:ascii="Arial" w:hAnsi="Arial" w:cs="Arial"/>
          <w:color w:val="000000" w:themeColor="text1"/>
          <w:sz w:val="22"/>
          <w:szCs w:val="22"/>
        </w:rPr>
        <w:t xml:space="preserve"> (Patel et al., 2020). There is evidence that Eastern European migrants and minority ethnic women and underserved groups require targeted work to be carried out in addition to the national </w:t>
      </w:r>
      <w:proofErr w:type="spellStart"/>
      <w:r w:rsidRPr="008B08E0">
        <w:rPr>
          <w:rFonts w:ascii="Arial" w:hAnsi="Arial" w:cs="Arial"/>
          <w:color w:val="000000" w:themeColor="text1"/>
          <w:sz w:val="22"/>
          <w:szCs w:val="22"/>
        </w:rPr>
        <w:t>programme</w:t>
      </w:r>
      <w:proofErr w:type="spellEnd"/>
      <w:r w:rsidR="0065746B" w:rsidRPr="00E34695">
        <w:rPr>
          <w:rFonts w:ascii="Arial" w:hAnsi="Arial" w:cs="Arial"/>
          <w:color w:val="000000" w:themeColor="text1"/>
          <w:sz w:val="22"/>
          <w:szCs w:val="22"/>
        </w:rPr>
        <w:t xml:space="preserve"> (Gillibrand et al., 2025).</w:t>
      </w:r>
    </w:p>
    <w:p w14:paraId="164F7398" w14:textId="77777777" w:rsidR="0065746B" w:rsidRPr="00E34695" w:rsidRDefault="0065746B" w:rsidP="00731B80">
      <w:pPr>
        <w:pStyle w:val="Heading2"/>
      </w:pPr>
      <w:bookmarkStart w:id="23" w:name="_Toc235220764"/>
      <w:r w:rsidRPr="00E34695">
        <w:t>5.4 Self-sampling: benefit and caution</w:t>
      </w:r>
      <w:bookmarkEnd w:id="23"/>
    </w:p>
    <w:p w14:paraId="0112557B" w14:textId="77777777" w:rsidR="0065746B" w:rsidRPr="00E34695"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 xml:space="preserve">Self-sampling is a promising way to reach people who do not attend routine cervical screening (Lim et al., 2017). It reduces the need for a speculum examination and can provide privacy and convenience (Landy et al., 2022). </w:t>
      </w:r>
      <w:proofErr w:type="spellStart"/>
      <w:r w:rsidRPr="00E34695">
        <w:rPr>
          <w:rFonts w:ascii="Arial" w:hAnsi="Arial" w:cs="Arial"/>
          <w:color w:val="000000" w:themeColor="text1"/>
          <w:sz w:val="22"/>
          <w:szCs w:val="22"/>
        </w:rPr>
        <w:t>YouScreen</w:t>
      </w:r>
      <w:proofErr w:type="spellEnd"/>
      <w:r w:rsidRPr="00E34695">
        <w:rPr>
          <w:rFonts w:ascii="Arial" w:hAnsi="Arial" w:cs="Arial"/>
          <w:color w:val="000000" w:themeColor="text1"/>
          <w:sz w:val="22"/>
          <w:szCs w:val="22"/>
        </w:rPr>
        <w:t xml:space="preserve"> shows that it can work at scale in English primary care (Lim et al., 2024). However, self-sampling is a test for HPV, not a complete diagnostic pathway. People with a positive result may still need clinician sampling, cytology, colposcopy or treatment (Green et al., 2021).</w:t>
      </w:r>
    </w:p>
    <w:p w14:paraId="3765F932" w14:textId="77777777" w:rsidR="0065746B" w:rsidRPr="00E34695"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The best model is likely to be informed choice. Some people prefer self-sampling (Drysdale et al., 2022). Some prefer a clinician because they want reassurance or help (Marlow, Drysdale and Waller, 2025). Others may prefer a clinician-taken sample without a speculum (Landy et al., 2022). Services should explain the accuracy, possible results and next steps for each option.</w:t>
      </w:r>
    </w:p>
    <w:p w14:paraId="5E15BEC4" w14:textId="77777777" w:rsidR="0065746B" w:rsidRPr="00E34695" w:rsidRDefault="0065746B" w:rsidP="00731B80">
      <w:pPr>
        <w:pStyle w:val="Heading2"/>
      </w:pPr>
      <w:bookmarkStart w:id="24" w:name="_Toc235220765"/>
      <w:r w:rsidRPr="00E34695">
        <w:t>5.5 Communication and psychological safety</w:t>
      </w:r>
      <w:bookmarkEnd w:id="24"/>
    </w:p>
    <w:p w14:paraId="03445513" w14:textId="77777777" w:rsidR="0065746B" w:rsidRPr="00E34695"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HPV information can cause worry because it is sexually transmitted and linked to cancer</w:t>
      </w:r>
      <w:r w:rsidR="00EF0B58">
        <w:rPr>
          <w:rFonts w:ascii="Arial" w:hAnsi="Arial" w:cs="Arial"/>
          <w:color w:val="000000" w:themeColor="text1"/>
          <w:sz w:val="22"/>
          <w:szCs w:val="22"/>
        </w:rPr>
        <w:t xml:space="preserve">. </w:t>
      </w:r>
      <w:r w:rsidRPr="00E34695">
        <w:rPr>
          <w:rFonts w:ascii="Arial" w:hAnsi="Arial" w:cs="Arial"/>
          <w:color w:val="000000" w:themeColor="text1"/>
          <w:sz w:val="22"/>
          <w:szCs w:val="22"/>
        </w:rPr>
        <w:t>A positive result may lead to fear, blame or relationship concerns. The studies showed that anxiety can occur even when cytology is normal. It can be stronger in people with fatalistic cancer beliefs or existing mental health conditions (McBride et al., 2021; O'Donnell et al., 2024).</w:t>
      </w:r>
    </w:p>
    <w:p w14:paraId="6F8074A5" w14:textId="77777777" w:rsidR="0065746B" w:rsidRPr="00E34695"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Result letters and consultations should use simple messages. HPV is common. It may be present for years without symptoms. A positive result does not mean cancer. It does not show when infection occurred or prove recent infidelity. Most infections clear, but follow-up is important when HPV remains. Clear timing and contact information should be provided (Marlow et al., 2020; McBride et al., 2020; O'Donnell et al., 2024).</w:t>
      </w:r>
    </w:p>
    <w:p w14:paraId="2E07C75F" w14:textId="77777777" w:rsidR="0065746B" w:rsidRPr="00E34695" w:rsidRDefault="0065746B" w:rsidP="00731B80">
      <w:pPr>
        <w:pStyle w:val="Heading2"/>
      </w:pPr>
      <w:bookmarkStart w:id="25" w:name="_Toc235220766"/>
      <w:r w:rsidRPr="00E34695">
        <w:t>5.6 Knowledge gaps</w:t>
      </w:r>
      <w:bookmarkEnd w:id="25"/>
    </w:p>
    <w:p w14:paraId="7B78416E" w14:textId="77777777" w:rsidR="0065746B" w:rsidRPr="00E34695" w:rsidRDefault="0065746B" w:rsidP="00E34695">
      <w:pPr>
        <w:numPr>
          <w:ilvl w:val="0"/>
          <w:numId w:val="11"/>
        </w:numPr>
        <w:spacing w:before="120"/>
        <w:rPr>
          <w:rFonts w:cs="Arial"/>
          <w:color w:val="000000" w:themeColor="text1"/>
        </w:rPr>
      </w:pPr>
      <w:r w:rsidRPr="00E34695">
        <w:rPr>
          <w:rFonts w:cs="Arial"/>
          <w:color w:val="000000" w:themeColor="text1"/>
        </w:rPr>
        <w:t xml:space="preserve">UK evidence is heavily concentrated in England and, for vaccination, Scotland (Palmer et al., 2019; </w:t>
      </w:r>
      <w:proofErr w:type="spellStart"/>
      <w:r w:rsidRPr="00E34695">
        <w:rPr>
          <w:rFonts w:cs="Arial"/>
          <w:color w:val="000000" w:themeColor="text1"/>
        </w:rPr>
        <w:t>Falcaro</w:t>
      </w:r>
      <w:proofErr w:type="spellEnd"/>
      <w:r w:rsidRPr="00E34695">
        <w:rPr>
          <w:rFonts w:cs="Arial"/>
          <w:color w:val="000000" w:themeColor="text1"/>
        </w:rPr>
        <w:t xml:space="preserve"> et al., 2021; Checchi et al., 2023). More research is needed in Wales and Northern Ireland. </w:t>
      </w:r>
    </w:p>
    <w:p w14:paraId="4F730276" w14:textId="77777777" w:rsidR="0065746B" w:rsidRPr="00E34695" w:rsidRDefault="0065746B" w:rsidP="00E34695">
      <w:pPr>
        <w:numPr>
          <w:ilvl w:val="0"/>
          <w:numId w:val="11"/>
        </w:numPr>
        <w:spacing w:before="120"/>
        <w:rPr>
          <w:rFonts w:cs="Arial"/>
          <w:color w:val="000000" w:themeColor="text1"/>
        </w:rPr>
      </w:pPr>
      <w:r w:rsidRPr="00E34695">
        <w:rPr>
          <w:rFonts w:cs="Arial"/>
          <w:color w:val="000000" w:themeColor="text1"/>
        </w:rPr>
        <w:lastRenderedPageBreak/>
        <w:t xml:space="preserve">Treatment and recovery after CIN or cervical cancer are less studied than vaccination and screening. </w:t>
      </w:r>
    </w:p>
    <w:p w14:paraId="0A32391E" w14:textId="77777777" w:rsidR="0065746B" w:rsidRPr="00E34695" w:rsidRDefault="0065746B" w:rsidP="00E34695">
      <w:pPr>
        <w:numPr>
          <w:ilvl w:val="0"/>
          <w:numId w:val="11"/>
        </w:numPr>
        <w:spacing w:before="120"/>
        <w:rPr>
          <w:rFonts w:cs="Arial"/>
          <w:color w:val="000000" w:themeColor="text1"/>
        </w:rPr>
      </w:pPr>
      <w:r w:rsidRPr="00E34695">
        <w:rPr>
          <w:rFonts w:cs="Arial"/>
          <w:color w:val="000000" w:themeColor="text1"/>
        </w:rPr>
        <w:t xml:space="preserve">Long-term self-sampling research should measure completion of follow-up, treatment, cancer outcomes, cost and equality, not only kit return (Lim et al., 2024; Drysdale et al., 2024). </w:t>
      </w:r>
    </w:p>
    <w:p w14:paraId="43C5FBFB" w14:textId="77777777" w:rsidR="0065746B" w:rsidRPr="00E34695" w:rsidRDefault="0065746B" w:rsidP="00E34695">
      <w:pPr>
        <w:numPr>
          <w:ilvl w:val="0"/>
          <w:numId w:val="11"/>
        </w:numPr>
        <w:spacing w:before="120"/>
        <w:rPr>
          <w:rFonts w:cs="Arial"/>
          <w:color w:val="000000" w:themeColor="text1"/>
        </w:rPr>
      </w:pPr>
      <w:r w:rsidRPr="00E34695">
        <w:rPr>
          <w:rFonts w:cs="Arial"/>
          <w:color w:val="000000" w:themeColor="text1"/>
        </w:rPr>
        <w:t xml:space="preserve">Communication interventions should be tested to reduce anxiety after HPV-positive results without reducing the perceived importance of follow-up (Marlow et al., 2020; McBride et al., 2020; Marlow et al., 2022). </w:t>
      </w:r>
    </w:p>
    <w:p w14:paraId="1D609BFC" w14:textId="77777777" w:rsidR="0065746B" w:rsidRPr="00E34695" w:rsidRDefault="0065746B" w:rsidP="00E34695">
      <w:pPr>
        <w:numPr>
          <w:ilvl w:val="0"/>
          <w:numId w:val="11"/>
        </w:numPr>
        <w:spacing w:before="120"/>
        <w:rPr>
          <w:rFonts w:cs="Arial"/>
          <w:color w:val="000000" w:themeColor="text1"/>
        </w:rPr>
      </w:pPr>
      <w:r w:rsidRPr="00E34695">
        <w:rPr>
          <w:rFonts w:cs="Arial"/>
          <w:color w:val="000000" w:themeColor="text1"/>
        </w:rPr>
        <w:t>The effect of vaccination and screening changes should continue to be monitored by deprivation, ethnicity and other measures of inequality (</w:t>
      </w:r>
      <w:proofErr w:type="spellStart"/>
      <w:r w:rsidRPr="00E34695">
        <w:rPr>
          <w:rFonts w:cs="Arial"/>
          <w:color w:val="000000" w:themeColor="text1"/>
        </w:rPr>
        <w:t>Falcaro</w:t>
      </w:r>
      <w:proofErr w:type="spellEnd"/>
      <w:r w:rsidRPr="00E34695">
        <w:rPr>
          <w:rFonts w:cs="Arial"/>
          <w:color w:val="000000" w:themeColor="text1"/>
        </w:rPr>
        <w:t xml:space="preserve"> et al., 2024). </w:t>
      </w:r>
    </w:p>
    <w:p w14:paraId="1E4CD72F" w14:textId="77777777" w:rsidR="0065746B" w:rsidRPr="00E34695" w:rsidRDefault="0065746B" w:rsidP="00731B80">
      <w:pPr>
        <w:pStyle w:val="Heading2"/>
      </w:pPr>
      <w:bookmarkStart w:id="26" w:name="_Toc235220767"/>
      <w:r w:rsidRPr="00E34695">
        <w:t>5.7 Strengths and limitations of the review</w:t>
      </w:r>
      <w:bookmarkEnd w:id="26"/>
    </w:p>
    <w:p w14:paraId="04E7E83D" w14:textId="77777777" w:rsidR="009B4D3B"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 xml:space="preserve">A strength is the clear UK focus. The </w:t>
      </w:r>
      <w:r w:rsidR="00B97A70">
        <w:rPr>
          <w:rFonts w:ascii="Arial" w:hAnsi="Arial" w:cs="Arial"/>
          <w:color w:val="000000" w:themeColor="text1"/>
          <w:sz w:val="22"/>
          <w:szCs w:val="22"/>
        </w:rPr>
        <w:t>5</w:t>
      </w:r>
      <w:r w:rsidRPr="00E34695">
        <w:rPr>
          <w:rFonts w:ascii="Arial" w:hAnsi="Arial" w:cs="Arial"/>
          <w:color w:val="000000" w:themeColor="text1"/>
          <w:sz w:val="22"/>
          <w:szCs w:val="22"/>
        </w:rPr>
        <w:t>-paper evidence chart includes large national datasets, service studies and patient-</w:t>
      </w:r>
      <w:proofErr w:type="spellStart"/>
      <w:r w:rsidRPr="00E34695">
        <w:rPr>
          <w:rFonts w:ascii="Arial" w:hAnsi="Arial" w:cs="Arial"/>
          <w:color w:val="000000" w:themeColor="text1"/>
          <w:sz w:val="22"/>
          <w:szCs w:val="22"/>
        </w:rPr>
        <w:t>centred</w:t>
      </w:r>
      <w:proofErr w:type="spellEnd"/>
      <w:r w:rsidRPr="00E34695">
        <w:rPr>
          <w:rFonts w:ascii="Arial" w:hAnsi="Arial" w:cs="Arial"/>
          <w:color w:val="000000" w:themeColor="text1"/>
          <w:sz w:val="22"/>
          <w:szCs w:val="22"/>
        </w:rPr>
        <w:t xml:space="preserve"> qualitative research. The same fields were extracted from every paper, which made comparisons more transparent. This approach is consistent with scoping review guidance, which supports systematic study charting and clear mapping of diverse evidence.</w:t>
      </w:r>
    </w:p>
    <w:p w14:paraId="4FC52E8C" w14:textId="77777777" w:rsidR="0000741B" w:rsidRDefault="0065746B" w:rsidP="00E34695">
      <w:pPr>
        <w:pStyle w:val="NormalWeb"/>
        <w:spacing w:before="120" w:beforeAutospacing="0" w:after="120" w:afterAutospacing="0" w:line="360" w:lineRule="auto"/>
        <w:jc w:val="both"/>
        <w:rPr>
          <w:rFonts w:ascii="Arial" w:hAnsi="Arial" w:cs="Arial"/>
          <w:color w:val="000000" w:themeColor="text1"/>
          <w:sz w:val="22"/>
          <w:szCs w:val="22"/>
        </w:rPr>
      </w:pPr>
      <w:r w:rsidRPr="00E34695">
        <w:rPr>
          <w:rFonts w:ascii="Arial" w:hAnsi="Arial" w:cs="Arial"/>
          <w:color w:val="000000" w:themeColor="text1"/>
          <w:sz w:val="22"/>
          <w:szCs w:val="22"/>
        </w:rPr>
        <w:t>There are limitations. One reviewer may increase selection and coding bias. Google Scholar is less reproducible than bibliographic databases. The English-language limit may exclude relevant work. The included systematic review may overlap with individual studies. Most evidence also came from England, which limits UK-wide conclusions</w:t>
      </w:r>
      <w:r w:rsidR="0026158E">
        <w:rPr>
          <w:rFonts w:ascii="Arial" w:hAnsi="Arial" w:cs="Arial"/>
          <w:color w:val="000000" w:themeColor="text1"/>
          <w:sz w:val="22"/>
          <w:szCs w:val="22"/>
        </w:rPr>
        <w:t>.</w:t>
      </w:r>
    </w:p>
    <w:p w14:paraId="5A978826" w14:textId="77777777" w:rsidR="0065746B" w:rsidRPr="009951CD" w:rsidRDefault="0000741B" w:rsidP="009951CD">
      <w:pPr>
        <w:spacing w:after="200" w:line="276" w:lineRule="auto"/>
        <w:jc w:val="left"/>
        <w:rPr>
          <w:rFonts w:eastAsia="Times New Roman" w:cs="Arial"/>
          <w:color w:val="000000" w:themeColor="text1"/>
        </w:rPr>
      </w:pPr>
      <w:r>
        <w:rPr>
          <w:rFonts w:cs="Arial"/>
          <w:color w:val="000000" w:themeColor="text1"/>
        </w:rPr>
        <w:br w:type="page"/>
      </w:r>
    </w:p>
    <w:p w14:paraId="024F0B1A" w14:textId="77777777" w:rsidR="0065746B" w:rsidRPr="00E34695" w:rsidRDefault="0065746B" w:rsidP="00E34695">
      <w:pPr>
        <w:pStyle w:val="z-TopofForm"/>
        <w:spacing w:before="120" w:after="120" w:line="360" w:lineRule="auto"/>
        <w:jc w:val="both"/>
        <w:rPr>
          <w:color w:val="000000" w:themeColor="text1"/>
          <w:sz w:val="22"/>
          <w:szCs w:val="22"/>
        </w:rPr>
      </w:pPr>
      <w:r w:rsidRPr="00E34695">
        <w:rPr>
          <w:color w:val="000000" w:themeColor="text1"/>
          <w:sz w:val="22"/>
          <w:szCs w:val="22"/>
        </w:rPr>
        <w:lastRenderedPageBreak/>
        <w:t>Top of Form</w:t>
      </w:r>
    </w:p>
    <w:p w14:paraId="2D698A23" w14:textId="77777777" w:rsidR="00BC7DFE" w:rsidRPr="00E34695" w:rsidRDefault="00EC1748" w:rsidP="00066EB0">
      <w:pPr>
        <w:pStyle w:val="Heading1"/>
      </w:pPr>
      <w:bookmarkStart w:id="27" w:name="_Toc235220768"/>
      <w:r w:rsidRPr="00E34695">
        <w:t>6. Conclusion</w:t>
      </w:r>
      <w:r w:rsidR="00F24CCD">
        <w:t xml:space="preserve"> and Recommendations</w:t>
      </w:r>
      <w:bookmarkEnd w:id="27"/>
    </w:p>
    <w:p w14:paraId="44E52234" w14:textId="77777777" w:rsidR="00F24CCD" w:rsidRDefault="009524E4" w:rsidP="00795C5A">
      <w:pPr>
        <w:pStyle w:val="Heading2"/>
      </w:pPr>
      <w:bookmarkStart w:id="28" w:name="_Toc235220769"/>
      <w:r>
        <w:t xml:space="preserve">6.1 </w:t>
      </w:r>
      <w:r w:rsidR="00F24CCD">
        <w:t>Conclusion</w:t>
      </w:r>
      <w:bookmarkEnd w:id="28"/>
    </w:p>
    <w:p w14:paraId="255E0C4B" w14:textId="77777777" w:rsidR="00BC7DFE" w:rsidRPr="00E34695" w:rsidRDefault="00EC1748" w:rsidP="00E34695">
      <w:pPr>
        <w:spacing w:before="120"/>
        <w:rPr>
          <w:rFonts w:cs="Arial"/>
          <w:color w:val="000000" w:themeColor="text1"/>
        </w:rPr>
      </w:pPr>
      <w:r w:rsidRPr="00E34695">
        <w:rPr>
          <w:rFonts w:cs="Arial"/>
          <w:color w:val="000000" w:themeColor="text1"/>
        </w:rPr>
        <w:t>Persistent infection with high-risk HPV is the main cause of cervical cancer. UK research shows that preventing HPV infection through vaccination reduces high-grade cervical disease and invasive cancer. HPV primary screening improves early risk detection and supports longer intervals after a negative test. However, the prevention pathway depends on attendance, follow-up and access to treatment.</w:t>
      </w:r>
    </w:p>
    <w:p w14:paraId="240A6633" w14:textId="77777777" w:rsidR="00BC7DFE" w:rsidRPr="00E34695" w:rsidRDefault="00EC1748" w:rsidP="00E34695">
      <w:pPr>
        <w:spacing w:before="120"/>
        <w:rPr>
          <w:rFonts w:cs="Arial"/>
          <w:color w:val="000000" w:themeColor="text1"/>
        </w:rPr>
      </w:pPr>
      <w:r w:rsidRPr="00E34695">
        <w:rPr>
          <w:rFonts w:cs="Arial"/>
          <w:color w:val="000000" w:themeColor="text1"/>
        </w:rPr>
        <w:t>Barriers are practical, emotional, cultural and structural. Self-sampling can improve access, especially for non-attenders, but it should be offered with clear information, choice and a reliable follow-up pathway. Future research should include all four UK nations, underserved populations, treatment experience and long-term outcomes after self-sampling. The overall evidence supports an integrated approach: high vaccine coverage, equitable HPV screening, sensitive communication and timely treatment.</w:t>
      </w:r>
    </w:p>
    <w:p w14:paraId="3DFF7AE9" w14:textId="77777777" w:rsidR="00F24CCD" w:rsidRDefault="009524E4" w:rsidP="00795C5A">
      <w:pPr>
        <w:pStyle w:val="Heading2"/>
      </w:pPr>
      <w:bookmarkStart w:id="29" w:name="_Toc235220770"/>
      <w:r>
        <w:t xml:space="preserve">6.2 </w:t>
      </w:r>
      <w:r w:rsidR="00F24CCD">
        <w:t>Recommendations</w:t>
      </w:r>
      <w:bookmarkEnd w:id="29"/>
    </w:p>
    <w:p w14:paraId="0D1B01F5" w14:textId="77777777" w:rsidR="0000741B" w:rsidRDefault="000B6FCC" w:rsidP="00E34695">
      <w:pPr>
        <w:spacing w:before="120"/>
        <w:rPr>
          <w:rFonts w:cs="Arial"/>
          <w:color w:val="000000" w:themeColor="text1"/>
        </w:rPr>
      </w:pPr>
      <w:r w:rsidRPr="00E34695">
        <w:rPr>
          <w:rFonts w:cs="Arial"/>
          <w:color w:val="000000" w:themeColor="text1"/>
        </w:rPr>
        <w:t xml:space="preserve">Health services should ensure high and equitable coverage of HPV vaccination, and continue to offer catch-up </w:t>
      </w:r>
      <w:proofErr w:type="spellStart"/>
      <w:r w:rsidRPr="00E34695">
        <w:rPr>
          <w:rFonts w:cs="Arial"/>
          <w:color w:val="000000" w:themeColor="text1"/>
        </w:rPr>
        <w:t>programmes</w:t>
      </w:r>
      <w:proofErr w:type="spellEnd"/>
      <w:r w:rsidRPr="00E34695">
        <w:rPr>
          <w:rFonts w:cs="Arial"/>
          <w:color w:val="000000" w:themeColor="text1"/>
        </w:rPr>
        <w:t xml:space="preserve"> and community outreach to communities with lower vaccination rates, to enhance cervical cancer prevention in the UK. HPV testing should be maintained as a safe screening option with appropriate screening intervals based on risk, effective recall systems, and timely follow-up for women who test positive for HPV. Women should also have the option to be screened using </w:t>
      </w:r>
      <w:proofErr w:type="spellStart"/>
      <w:r w:rsidRPr="00E34695">
        <w:rPr>
          <w:rFonts w:cs="Arial"/>
          <w:color w:val="000000" w:themeColor="text1"/>
        </w:rPr>
        <w:t>self sampling</w:t>
      </w:r>
      <w:proofErr w:type="spellEnd"/>
      <w:r w:rsidRPr="00E34695">
        <w:rPr>
          <w:rFonts w:cs="Arial"/>
          <w:color w:val="000000" w:themeColor="text1"/>
        </w:rPr>
        <w:t xml:space="preserve"> and non-speculum methods, especially if they have not been to screening appointments before. Communication is key – it should be clear and supportive, providing simple and </w:t>
      </w:r>
      <w:proofErr w:type="spellStart"/>
      <w:r w:rsidRPr="00E34695">
        <w:rPr>
          <w:rFonts w:cs="Arial"/>
          <w:color w:val="000000" w:themeColor="text1"/>
        </w:rPr>
        <w:t>non-judgemental</w:t>
      </w:r>
      <w:proofErr w:type="spellEnd"/>
      <w:r w:rsidRPr="00E34695">
        <w:rPr>
          <w:rFonts w:cs="Arial"/>
          <w:color w:val="000000" w:themeColor="text1"/>
        </w:rPr>
        <w:t xml:space="preserve"> information about HPV, the risks for cervical cancer, test results, and subsequent steps. Also, screening should be organized in collaboration with underserved communities and in a way that meets their needs beyond just using a standard invitation letter.</w:t>
      </w:r>
    </w:p>
    <w:p w14:paraId="6026C827" w14:textId="77777777" w:rsidR="000B6FCC" w:rsidRPr="00E34695" w:rsidRDefault="0000741B" w:rsidP="00B97822">
      <w:pPr>
        <w:spacing w:after="200" w:line="276" w:lineRule="auto"/>
        <w:jc w:val="left"/>
        <w:rPr>
          <w:rFonts w:cs="Arial"/>
          <w:color w:val="000000" w:themeColor="text1"/>
        </w:rPr>
      </w:pPr>
      <w:r>
        <w:rPr>
          <w:rFonts w:cs="Arial"/>
          <w:color w:val="000000" w:themeColor="text1"/>
        </w:rPr>
        <w:br w:type="page"/>
      </w:r>
    </w:p>
    <w:p w14:paraId="4AD96A31" w14:textId="77777777" w:rsidR="00BC7DFE" w:rsidRPr="00E34695" w:rsidRDefault="00EC1748" w:rsidP="00066EB0">
      <w:pPr>
        <w:pStyle w:val="Heading1"/>
      </w:pPr>
      <w:bookmarkStart w:id="30" w:name="_Toc235220771"/>
      <w:r w:rsidRPr="00E34695">
        <w:lastRenderedPageBreak/>
        <w:t>References</w:t>
      </w:r>
      <w:bookmarkEnd w:id="30"/>
    </w:p>
    <w:p w14:paraId="11CBB478"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Arksey, H. and O'Malley, L. (2005) 'Scoping studies: towards a methodological framework', International Journal of Social Research Methodology, 8(1), pp. 19-32. </w:t>
      </w:r>
      <w:proofErr w:type="spellStart"/>
      <w:r w:rsidRPr="00E34695">
        <w:rPr>
          <w:rFonts w:cs="Arial"/>
          <w:color w:val="000000" w:themeColor="text1"/>
          <w:sz w:val="22"/>
        </w:rPr>
        <w:t>doi</w:t>
      </w:r>
      <w:proofErr w:type="spellEnd"/>
      <w:r w:rsidRPr="00E34695">
        <w:rPr>
          <w:rFonts w:cs="Arial"/>
          <w:color w:val="000000" w:themeColor="text1"/>
          <w:sz w:val="22"/>
        </w:rPr>
        <w:t>: 10.1080/1364557032000119616.</w:t>
      </w:r>
    </w:p>
    <w:p w14:paraId="4ED70AD4"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Aveyard, H. (2014) Doing a Literature Review in Health and Social Care: A Practical Guide. 3rd </w:t>
      </w:r>
      <w:proofErr w:type="spellStart"/>
      <w:r w:rsidRPr="00E34695">
        <w:rPr>
          <w:rFonts w:cs="Arial"/>
          <w:color w:val="000000" w:themeColor="text1"/>
          <w:sz w:val="22"/>
        </w:rPr>
        <w:t>edn</w:t>
      </w:r>
      <w:proofErr w:type="spellEnd"/>
      <w:r w:rsidRPr="00E34695">
        <w:rPr>
          <w:rFonts w:cs="Arial"/>
          <w:color w:val="000000" w:themeColor="text1"/>
          <w:sz w:val="22"/>
        </w:rPr>
        <w:t>. Maidenhead: Open University Press.</w:t>
      </w:r>
    </w:p>
    <w:p w14:paraId="2AC73970"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Bolarinwa, O.A. and Holt, N. (2023) 'Barriers to breast and cervical cancer screening uptake among Black, Asian, and Minority Ethnic women in the United Kingdom: evidence from a mixed-methods systematic review', BMC Health Services Research, 23, 390. </w:t>
      </w:r>
      <w:proofErr w:type="spellStart"/>
      <w:r w:rsidRPr="00E34695">
        <w:rPr>
          <w:rFonts w:cs="Arial"/>
          <w:color w:val="000000" w:themeColor="text1"/>
          <w:sz w:val="22"/>
        </w:rPr>
        <w:t>doi</w:t>
      </w:r>
      <w:proofErr w:type="spellEnd"/>
      <w:r w:rsidRPr="00E34695">
        <w:rPr>
          <w:rFonts w:cs="Arial"/>
          <w:color w:val="000000" w:themeColor="text1"/>
          <w:sz w:val="22"/>
        </w:rPr>
        <w:t>: 10.1186/s12913-023-09410-x.</w:t>
      </w:r>
    </w:p>
    <w:p w14:paraId="37F35009"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Booth, A., Sutton, A. and Papaioannou, D. (2016) Systematic Approaches to a Successful Literature Review. 2nd </w:t>
      </w:r>
      <w:proofErr w:type="spellStart"/>
      <w:r w:rsidRPr="00E34695">
        <w:rPr>
          <w:rFonts w:cs="Arial"/>
          <w:color w:val="000000" w:themeColor="text1"/>
          <w:sz w:val="22"/>
        </w:rPr>
        <w:t>edn</w:t>
      </w:r>
      <w:proofErr w:type="spellEnd"/>
      <w:r w:rsidRPr="00E34695">
        <w:rPr>
          <w:rFonts w:cs="Arial"/>
          <w:color w:val="000000" w:themeColor="text1"/>
          <w:sz w:val="22"/>
        </w:rPr>
        <w:t>. London: Sage.</w:t>
      </w:r>
    </w:p>
    <w:p w14:paraId="0C5234A7"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Braun, V. and Clarke, V. (2006) 'Using thematic analysis in psychology', Qualitative Research in Psychology, 3(2), pp. 77-101. </w:t>
      </w:r>
      <w:proofErr w:type="spellStart"/>
      <w:r w:rsidRPr="00E34695">
        <w:rPr>
          <w:rFonts w:cs="Arial"/>
          <w:color w:val="000000" w:themeColor="text1"/>
          <w:sz w:val="22"/>
        </w:rPr>
        <w:t>doi</w:t>
      </w:r>
      <w:proofErr w:type="spellEnd"/>
      <w:r w:rsidRPr="00E34695">
        <w:rPr>
          <w:rFonts w:cs="Arial"/>
          <w:color w:val="000000" w:themeColor="text1"/>
          <w:sz w:val="22"/>
        </w:rPr>
        <w:t>: 10.1191/1478088706qp063oa.</w:t>
      </w:r>
    </w:p>
    <w:p w14:paraId="48BA93CE"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Bray, F. et al. (2024) 'Global cancer statistics 2022: GLOBOCAN estimates of incidence and mortality worldwide for 36 cancers in 185 countries', CA: A Cancer Journal for Clinicians, 74(3), pp. 229-263. </w:t>
      </w:r>
      <w:proofErr w:type="spellStart"/>
      <w:r w:rsidRPr="00E34695">
        <w:rPr>
          <w:rFonts w:cs="Arial"/>
          <w:color w:val="000000" w:themeColor="text1"/>
          <w:sz w:val="22"/>
        </w:rPr>
        <w:t>doi</w:t>
      </w:r>
      <w:proofErr w:type="spellEnd"/>
      <w:r w:rsidRPr="00E34695">
        <w:rPr>
          <w:rFonts w:cs="Arial"/>
          <w:color w:val="000000" w:themeColor="text1"/>
          <w:sz w:val="22"/>
        </w:rPr>
        <w:t>: 10.3322/caac.21834.</w:t>
      </w:r>
    </w:p>
    <w:p w14:paraId="38C514F6"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Castanon, A., Landy, R. and </w:t>
      </w:r>
      <w:proofErr w:type="spellStart"/>
      <w:r w:rsidRPr="00E34695">
        <w:rPr>
          <w:rFonts w:cs="Arial"/>
          <w:color w:val="000000" w:themeColor="text1"/>
          <w:sz w:val="22"/>
        </w:rPr>
        <w:t>Sasieni</w:t>
      </w:r>
      <w:proofErr w:type="spellEnd"/>
      <w:r w:rsidRPr="00E34695">
        <w:rPr>
          <w:rFonts w:cs="Arial"/>
          <w:color w:val="000000" w:themeColor="text1"/>
          <w:sz w:val="22"/>
        </w:rPr>
        <w:t xml:space="preserve">, P. (2017) 'By how much could screening by primary human papillomavirus testing reduce cervical cancer incidence in England?', Journal of Medical Screening, 24(2), pp. 110-112. </w:t>
      </w:r>
      <w:proofErr w:type="spellStart"/>
      <w:r w:rsidRPr="00E34695">
        <w:rPr>
          <w:rFonts w:cs="Arial"/>
          <w:color w:val="000000" w:themeColor="text1"/>
          <w:sz w:val="22"/>
        </w:rPr>
        <w:t>doi</w:t>
      </w:r>
      <w:proofErr w:type="spellEnd"/>
      <w:r w:rsidRPr="00E34695">
        <w:rPr>
          <w:rFonts w:cs="Arial"/>
          <w:color w:val="000000" w:themeColor="text1"/>
          <w:sz w:val="22"/>
        </w:rPr>
        <w:t>: 10.1177/0969141316654197.</w:t>
      </w:r>
    </w:p>
    <w:p w14:paraId="7BC1F403"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Checchi, M., Mesher, D., Panwar, K., Anderson, A., Beddows, S. and Soldan, K. (2023) 'The impact of over ten years of HPV vaccination in England: surveillance of type-specific HPV in young sexually active females', Vaccine, 41(45). </w:t>
      </w:r>
      <w:proofErr w:type="spellStart"/>
      <w:r w:rsidRPr="00E34695">
        <w:rPr>
          <w:rFonts w:cs="Arial"/>
          <w:color w:val="000000" w:themeColor="text1"/>
          <w:sz w:val="22"/>
        </w:rPr>
        <w:t>doi</w:t>
      </w:r>
      <w:proofErr w:type="spellEnd"/>
      <w:r w:rsidRPr="00E34695">
        <w:rPr>
          <w:rFonts w:cs="Arial"/>
          <w:color w:val="000000" w:themeColor="text1"/>
          <w:sz w:val="22"/>
        </w:rPr>
        <w:t>: 10.1016/j.vaccine.2023.10.002.</w:t>
      </w:r>
    </w:p>
    <w:p w14:paraId="5ABAFE57"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Drysdale, H., Marlow, L.A.V., Lim, A.W.W., </w:t>
      </w:r>
      <w:proofErr w:type="spellStart"/>
      <w:r w:rsidRPr="00E34695">
        <w:rPr>
          <w:rFonts w:cs="Arial"/>
          <w:color w:val="000000" w:themeColor="text1"/>
          <w:sz w:val="22"/>
        </w:rPr>
        <w:t>Sasieni</w:t>
      </w:r>
      <w:proofErr w:type="spellEnd"/>
      <w:r w:rsidRPr="00E34695">
        <w:rPr>
          <w:rFonts w:cs="Arial"/>
          <w:color w:val="000000" w:themeColor="text1"/>
          <w:sz w:val="22"/>
        </w:rPr>
        <w:t xml:space="preserve">, P. and Waller, J. (2022) 'Self-sampling for cervical screening offered at the point of invitation: a cross-sectional study of preferences in England', Journal of Medical Screening, 29(3), pp. 194-202. </w:t>
      </w:r>
      <w:proofErr w:type="spellStart"/>
      <w:r w:rsidRPr="00E34695">
        <w:rPr>
          <w:rFonts w:cs="Arial"/>
          <w:color w:val="000000" w:themeColor="text1"/>
          <w:sz w:val="22"/>
        </w:rPr>
        <w:t>doi</w:t>
      </w:r>
      <w:proofErr w:type="spellEnd"/>
      <w:r w:rsidRPr="00E34695">
        <w:rPr>
          <w:rFonts w:cs="Arial"/>
          <w:color w:val="000000" w:themeColor="text1"/>
          <w:sz w:val="22"/>
        </w:rPr>
        <w:t>: 10.1177/09691413221092246.</w:t>
      </w:r>
    </w:p>
    <w:p w14:paraId="52BC3522"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Drysdale, H. et al. (2024) 'Experiences of self-sampling and future screening preferences in non-attenders who returned an HPV vaginal self-sample in the </w:t>
      </w:r>
      <w:proofErr w:type="spellStart"/>
      <w:r w:rsidRPr="00E34695">
        <w:rPr>
          <w:rFonts w:cs="Arial"/>
          <w:color w:val="000000" w:themeColor="text1"/>
          <w:sz w:val="22"/>
        </w:rPr>
        <w:t>YouScreen</w:t>
      </w:r>
      <w:proofErr w:type="spellEnd"/>
      <w:r w:rsidRPr="00E34695">
        <w:rPr>
          <w:rFonts w:cs="Arial"/>
          <w:color w:val="000000" w:themeColor="text1"/>
          <w:sz w:val="22"/>
        </w:rPr>
        <w:t xml:space="preserve"> study: findings from a cross-sectional questionnaire', Health Expectations, 27(4), e14118. </w:t>
      </w:r>
      <w:proofErr w:type="spellStart"/>
      <w:r w:rsidRPr="00E34695">
        <w:rPr>
          <w:rFonts w:cs="Arial"/>
          <w:color w:val="000000" w:themeColor="text1"/>
          <w:sz w:val="22"/>
        </w:rPr>
        <w:t>doi</w:t>
      </w:r>
      <w:proofErr w:type="spellEnd"/>
      <w:r w:rsidRPr="00E34695">
        <w:rPr>
          <w:rFonts w:cs="Arial"/>
          <w:color w:val="000000" w:themeColor="text1"/>
          <w:sz w:val="22"/>
        </w:rPr>
        <w:t>: 10.1111/hex.14118.</w:t>
      </w:r>
    </w:p>
    <w:p w14:paraId="194F37EA"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proofErr w:type="spellStart"/>
      <w:r w:rsidRPr="00E34695">
        <w:rPr>
          <w:rFonts w:cs="Arial"/>
          <w:color w:val="000000" w:themeColor="text1"/>
          <w:sz w:val="22"/>
        </w:rPr>
        <w:lastRenderedPageBreak/>
        <w:t>Falcaro</w:t>
      </w:r>
      <w:proofErr w:type="spellEnd"/>
      <w:r w:rsidRPr="00E34695">
        <w:rPr>
          <w:rFonts w:cs="Arial"/>
          <w:color w:val="000000" w:themeColor="text1"/>
          <w:sz w:val="22"/>
        </w:rPr>
        <w:t xml:space="preserve">, M. et al. (2021) 'The effects of the national HPV vaccination </w:t>
      </w:r>
      <w:proofErr w:type="spellStart"/>
      <w:r w:rsidRPr="00E34695">
        <w:rPr>
          <w:rFonts w:cs="Arial"/>
          <w:color w:val="000000" w:themeColor="text1"/>
          <w:sz w:val="22"/>
        </w:rPr>
        <w:t>programme</w:t>
      </w:r>
      <w:proofErr w:type="spellEnd"/>
      <w:r w:rsidRPr="00E34695">
        <w:rPr>
          <w:rFonts w:cs="Arial"/>
          <w:color w:val="000000" w:themeColor="text1"/>
          <w:sz w:val="22"/>
        </w:rPr>
        <w:t xml:space="preserve"> in England, UK, on cervical cancer and grade 3 cervical intraepithelial neoplasia incidence: a register-based observational study', The Lancet, 398(10316), pp. 2084-2092. </w:t>
      </w:r>
      <w:proofErr w:type="spellStart"/>
      <w:r w:rsidRPr="00E34695">
        <w:rPr>
          <w:rFonts w:cs="Arial"/>
          <w:color w:val="000000" w:themeColor="text1"/>
          <w:sz w:val="22"/>
        </w:rPr>
        <w:t>doi</w:t>
      </w:r>
      <w:proofErr w:type="spellEnd"/>
      <w:r w:rsidRPr="00E34695">
        <w:rPr>
          <w:rFonts w:cs="Arial"/>
          <w:color w:val="000000" w:themeColor="text1"/>
          <w:sz w:val="22"/>
        </w:rPr>
        <w:t>: 10.1016/S0140-6736(21)02178-4.</w:t>
      </w:r>
    </w:p>
    <w:p w14:paraId="0F20C854"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proofErr w:type="spellStart"/>
      <w:r w:rsidRPr="00E34695">
        <w:rPr>
          <w:rFonts w:cs="Arial"/>
          <w:color w:val="000000" w:themeColor="text1"/>
          <w:sz w:val="22"/>
        </w:rPr>
        <w:t>Falcaro</w:t>
      </w:r>
      <w:proofErr w:type="spellEnd"/>
      <w:r w:rsidRPr="00E34695">
        <w:rPr>
          <w:rFonts w:cs="Arial"/>
          <w:color w:val="000000" w:themeColor="text1"/>
          <w:sz w:val="22"/>
        </w:rPr>
        <w:t xml:space="preserve">, M. et al. (2024) 'Effect of the HPV vaccination </w:t>
      </w:r>
      <w:proofErr w:type="spellStart"/>
      <w:r w:rsidRPr="00E34695">
        <w:rPr>
          <w:rFonts w:cs="Arial"/>
          <w:color w:val="000000" w:themeColor="text1"/>
          <w:sz w:val="22"/>
        </w:rPr>
        <w:t>programme</w:t>
      </w:r>
      <w:proofErr w:type="spellEnd"/>
      <w:r w:rsidRPr="00E34695">
        <w:rPr>
          <w:rFonts w:cs="Arial"/>
          <w:color w:val="000000" w:themeColor="text1"/>
          <w:sz w:val="22"/>
        </w:rPr>
        <w:t xml:space="preserve"> on incidence of cervical cancer and grade 3 cervical intraepithelial neoplasia by socioeconomic deprivation in England: population based observational study', BMJ, 385, e077341. </w:t>
      </w:r>
      <w:proofErr w:type="spellStart"/>
      <w:r w:rsidRPr="00E34695">
        <w:rPr>
          <w:rFonts w:cs="Arial"/>
          <w:color w:val="000000" w:themeColor="text1"/>
          <w:sz w:val="22"/>
        </w:rPr>
        <w:t>doi</w:t>
      </w:r>
      <w:proofErr w:type="spellEnd"/>
      <w:r w:rsidRPr="00E34695">
        <w:rPr>
          <w:rFonts w:cs="Arial"/>
          <w:color w:val="000000" w:themeColor="text1"/>
          <w:sz w:val="22"/>
        </w:rPr>
        <w:t>: 10.1136/bmj-2023-077341.</w:t>
      </w:r>
    </w:p>
    <w:p w14:paraId="77B1FA75"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Gillibrand, S. et al. (2025) 'Exploring the barriers to cervical screening and perspectives on new self-sampling methods amongst under-served groups', BMC Health Services Research, 25, 79. </w:t>
      </w:r>
      <w:proofErr w:type="spellStart"/>
      <w:r w:rsidRPr="00E34695">
        <w:rPr>
          <w:rFonts w:cs="Arial"/>
          <w:color w:val="000000" w:themeColor="text1"/>
          <w:sz w:val="22"/>
        </w:rPr>
        <w:t>doi</w:t>
      </w:r>
      <w:proofErr w:type="spellEnd"/>
      <w:r w:rsidRPr="00E34695">
        <w:rPr>
          <w:rFonts w:cs="Arial"/>
          <w:color w:val="000000" w:themeColor="text1"/>
          <w:sz w:val="22"/>
        </w:rPr>
        <w:t>: 10.1186/s12913-024-12098-2.</w:t>
      </w:r>
    </w:p>
    <w:p w14:paraId="01E24056"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Green, L.I., Mathews, C.S., Waller, J., Kitchener, H. and Rebolj, M. (2021) 'Attendance at early recall and colposcopy in routine cervical screening with human papillomavirus testing', International Journal of Cancer, 148(7), pp. 1850-1857.</w:t>
      </w:r>
    </w:p>
    <w:p w14:paraId="5FCAD106"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Kitchener, H.C. et al. (2016) 'A cluster </w:t>
      </w:r>
      <w:proofErr w:type="spellStart"/>
      <w:r w:rsidRPr="00E34695">
        <w:rPr>
          <w:rFonts w:cs="Arial"/>
          <w:color w:val="000000" w:themeColor="text1"/>
          <w:sz w:val="22"/>
        </w:rPr>
        <w:t>randomised</w:t>
      </w:r>
      <w:proofErr w:type="spellEnd"/>
      <w:r w:rsidRPr="00E34695">
        <w:rPr>
          <w:rFonts w:cs="Arial"/>
          <w:color w:val="000000" w:themeColor="text1"/>
          <w:sz w:val="22"/>
        </w:rPr>
        <w:t xml:space="preserve"> trial of strategies to increase cervical screening uptake at first invitation (STRATEGIC)', Health Technology Assessment, 20(68), pp. 1-138. </w:t>
      </w:r>
      <w:proofErr w:type="spellStart"/>
      <w:r w:rsidRPr="00E34695">
        <w:rPr>
          <w:rFonts w:cs="Arial"/>
          <w:color w:val="000000" w:themeColor="text1"/>
          <w:sz w:val="22"/>
        </w:rPr>
        <w:t>doi</w:t>
      </w:r>
      <w:proofErr w:type="spellEnd"/>
      <w:r w:rsidRPr="00E34695">
        <w:rPr>
          <w:rFonts w:cs="Arial"/>
          <w:color w:val="000000" w:themeColor="text1"/>
          <w:sz w:val="22"/>
        </w:rPr>
        <w:t>: 10.3310/hta20680.</w:t>
      </w:r>
    </w:p>
    <w:p w14:paraId="02C1AC5A"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Landy, R. et al. (2022) '</w:t>
      </w:r>
      <w:proofErr w:type="gramStart"/>
      <w:r w:rsidRPr="00E34695">
        <w:rPr>
          <w:rFonts w:cs="Arial"/>
          <w:color w:val="000000" w:themeColor="text1"/>
          <w:sz w:val="22"/>
        </w:rPr>
        <w:t>Non-speculum</w:t>
      </w:r>
      <w:proofErr w:type="gramEnd"/>
      <w:r w:rsidRPr="00E34695">
        <w:rPr>
          <w:rFonts w:cs="Arial"/>
          <w:color w:val="000000" w:themeColor="text1"/>
          <w:sz w:val="22"/>
        </w:rPr>
        <w:t xml:space="preserve"> clinician-taken samples for human papillomavirus testing: a cross-sectional study in older women', British Journal of General Practice, 72(721), pp. e538-e547. </w:t>
      </w:r>
      <w:proofErr w:type="spellStart"/>
      <w:r w:rsidRPr="00E34695">
        <w:rPr>
          <w:rFonts w:cs="Arial"/>
          <w:color w:val="000000" w:themeColor="text1"/>
          <w:sz w:val="22"/>
        </w:rPr>
        <w:t>doi</w:t>
      </w:r>
      <w:proofErr w:type="spellEnd"/>
      <w:r w:rsidRPr="00E34695">
        <w:rPr>
          <w:rFonts w:cs="Arial"/>
          <w:color w:val="000000" w:themeColor="text1"/>
          <w:sz w:val="22"/>
        </w:rPr>
        <w:t>: 10.3399/BJGP.2021.0350.</w:t>
      </w:r>
    </w:p>
    <w:p w14:paraId="5AFDA2A7"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Lei, J. et al. (2024) 'Human papillomavirus genotype and cycle threshold value from self-samples and risk of high-grade cervical lesions: a post hoc analysis of a modified stepped-wedge implementation feasibility trial', PLOS Medicine, 21(12), e1004494. </w:t>
      </w:r>
      <w:proofErr w:type="spellStart"/>
      <w:r w:rsidRPr="00E34695">
        <w:rPr>
          <w:rFonts w:cs="Arial"/>
          <w:color w:val="000000" w:themeColor="text1"/>
          <w:sz w:val="22"/>
        </w:rPr>
        <w:t>doi</w:t>
      </w:r>
      <w:proofErr w:type="spellEnd"/>
      <w:r w:rsidRPr="00E34695">
        <w:rPr>
          <w:rFonts w:cs="Arial"/>
          <w:color w:val="000000" w:themeColor="text1"/>
          <w:sz w:val="22"/>
        </w:rPr>
        <w:t>: 10.1371/journal.pmed.1004494.</w:t>
      </w:r>
    </w:p>
    <w:p w14:paraId="4F55D615"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Levac, D., Colquhoun, H. and O'Brien, K.K. (2010) 'Scoping studies: advancing the methodology', Implementation Science, 5, 69. </w:t>
      </w:r>
      <w:proofErr w:type="spellStart"/>
      <w:r w:rsidRPr="00E34695">
        <w:rPr>
          <w:rFonts w:cs="Arial"/>
          <w:color w:val="000000" w:themeColor="text1"/>
          <w:sz w:val="22"/>
        </w:rPr>
        <w:t>doi</w:t>
      </w:r>
      <w:proofErr w:type="spellEnd"/>
      <w:r w:rsidRPr="00E34695">
        <w:rPr>
          <w:rFonts w:cs="Arial"/>
          <w:color w:val="000000" w:themeColor="text1"/>
          <w:sz w:val="22"/>
        </w:rPr>
        <w:t>: 10.1186/1748-5908-5-69.</w:t>
      </w:r>
    </w:p>
    <w:p w14:paraId="2B02C650"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Lim, A.W.W., Hollingworth, A., </w:t>
      </w:r>
      <w:proofErr w:type="spellStart"/>
      <w:r w:rsidRPr="00E34695">
        <w:rPr>
          <w:rFonts w:cs="Arial"/>
          <w:color w:val="000000" w:themeColor="text1"/>
          <w:sz w:val="22"/>
        </w:rPr>
        <w:t>Kalwij</w:t>
      </w:r>
      <w:proofErr w:type="spellEnd"/>
      <w:r w:rsidRPr="00E34695">
        <w:rPr>
          <w:rFonts w:cs="Arial"/>
          <w:color w:val="000000" w:themeColor="text1"/>
          <w:sz w:val="22"/>
        </w:rPr>
        <w:t xml:space="preserve">, S., Curran, G. and </w:t>
      </w:r>
      <w:proofErr w:type="spellStart"/>
      <w:r w:rsidRPr="00E34695">
        <w:rPr>
          <w:rFonts w:cs="Arial"/>
          <w:color w:val="000000" w:themeColor="text1"/>
          <w:sz w:val="22"/>
        </w:rPr>
        <w:t>Sasieni</w:t>
      </w:r>
      <w:proofErr w:type="spellEnd"/>
      <w:r w:rsidRPr="00E34695">
        <w:rPr>
          <w:rFonts w:cs="Arial"/>
          <w:color w:val="000000" w:themeColor="text1"/>
          <w:sz w:val="22"/>
        </w:rPr>
        <w:t xml:space="preserve">, P. (2017) 'Offering self-sampling to cervical screening non-attenders in primary care', Journal of Medical Screening, 24(1), pp. 43-49. </w:t>
      </w:r>
      <w:proofErr w:type="spellStart"/>
      <w:r w:rsidRPr="00E34695">
        <w:rPr>
          <w:rFonts w:cs="Arial"/>
          <w:color w:val="000000" w:themeColor="text1"/>
          <w:sz w:val="22"/>
        </w:rPr>
        <w:t>doi</w:t>
      </w:r>
      <w:proofErr w:type="spellEnd"/>
      <w:r w:rsidRPr="00E34695">
        <w:rPr>
          <w:rFonts w:cs="Arial"/>
          <w:color w:val="000000" w:themeColor="text1"/>
          <w:sz w:val="22"/>
        </w:rPr>
        <w:t>: 10.1177/0969141316639346.</w:t>
      </w:r>
    </w:p>
    <w:p w14:paraId="247EA702"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Lim, A.W.W. et al. (2024) 'Opportunistic offering of self-sampling to non-attenders within the English cervical screening </w:t>
      </w:r>
      <w:proofErr w:type="spellStart"/>
      <w:r w:rsidRPr="00E34695">
        <w:rPr>
          <w:rFonts w:cs="Arial"/>
          <w:color w:val="000000" w:themeColor="text1"/>
          <w:sz w:val="22"/>
        </w:rPr>
        <w:t>programme</w:t>
      </w:r>
      <w:proofErr w:type="spellEnd"/>
      <w:r w:rsidRPr="00E34695">
        <w:rPr>
          <w:rFonts w:cs="Arial"/>
          <w:color w:val="000000" w:themeColor="text1"/>
          <w:sz w:val="22"/>
        </w:rPr>
        <w:t xml:space="preserve">: a pragmatic, </w:t>
      </w:r>
      <w:proofErr w:type="spellStart"/>
      <w:r w:rsidRPr="00E34695">
        <w:rPr>
          <w:rFonts w:cs="Arial"/>
          <w:color w:val="000000" w:themeColor="text1"/>
          <w:sz w:val="22"/>
        </w:rPr>
        <w:t>multicentre</w:t>
      </w:r>
      <w:proofErr w:type="spellEnd"/>
      <w:r w:rsidRPr="00E34695">
        <w:rPr>
          <w:rFonts w:cs="Arial"/>
          <w:color w:val="000000" w:themeColor="text1"/>
          <w:sz w:val="22"/>
        </w:rPr>
        <w:t>, implementation feasibility trial with randomly allocated cluster intervention start dates (</w:t>
      </w:r>
      <w:proofErr w:type="spellStart"/>
      <w:r w:rsidRPr="00E34695">
        <w:rPr>
          <w:rFonts w:cs="Arial"/>
          <w:color w:val="000000" w:themeColor="text1"/>
          <w:sz w:val="22"/>
        </w:rPr>
        <w:t>YouScreen</w:t>
      </w:r>
      <w:proofErr w:type="spellEnd"/>
      <w:r w:rsidRPr="00E34695">
        <w:rPr>
          <w:rFonts w:cs="Arial"/>
          <w:color w:val="000000" w:themeColor="text1"/>
          <w:sz w:val="22"/>
        </w:rPr>
        <w:t xml:space="preserve">)', </w:t>
      </w:r>
      <w:proofErr w:type="spellStart"/>
      <w:r w:rsidRPr="00E34695">
        <w:rPr>
          <w:rFonts w:cs="Arial"/>
          <w:color w:val="000000" w:themeColor="text1"/>
          <w:sz w:val="22"/>
        </w:rPr>
        <w:t>eClinicalMedicine</w:t>
      </w:r>
      <w:proofErr w:type="spellEnd"/>
      <w:r w:rsidRPr="00E34695">
        <w:rPr>
          <w:rFonts w:cs="Arial"/>
          <w:color w:val="000000" w:themeColor="text1"/>
          <w:sz w:val="22"/>
        </w:rPr>
        <w:t xml:space="preserve">, 73, 102672. </w:t>
      </w:r>
      <w:proofErr w:type="spellStart"/>
      <w:r w:rsidRPr="00E34695">
        <w:rPr>
          <w:rFonts w:cs="Arial"/>
          <w:color w:val="000000" w:themeColor="text1"/>
          <w:sz w:val="22"/>
        </w:rPr>
        <w:t>doi</w:t>
      </w:r>
      <w:proofErr w:type="spellEnd"/>
      <w:r w:rsidRPr="00E34695">
        <w:rPr>
          <w:rFonts w:cs="Arial"/>
          <w:color w:val="000000" w:themeColor="text1"/>
          <w:sz w:val="22"/>
        </w:rPr>
        <w:t>: 10.1016/j.eclinm.2024.102672.</w:t>
      </w:r>
    </w:p>
    <w:p w14:paraId="29D9B731"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lastRenderedPageBreak/>
        <w:t xml:space="preserve">Marlow, L.A.V. et al. (2020) 'Information needs among women taking part in primary HPV screening in England: a content analysis', BMJ Open, 10, e044630. </w:t>
      </w:r>
      <w:proofErr w:type="spellStart"/>
      <w:r w:rsidRPr="00E34695">
        <w:rPr>
          <w:rFonts w:cs="Arial"/>
          <w:color w:val="000000" w:themeColor="text1"/>
          <w:sz w:val="22"/>
        </w:rPr>
        <w:t>doi</w:t>
      </w:r>
      <w:proofErr w:type="spellEnd"/>
      <w:r w:rsidRPr="00E34695">
        <w:rPr>
          <w:rFonts w:cs="Arial"/>
          <w:color w:val="000000" w:themeColor="text1"/>
          <w:sz w:val="22"/>
        </w:rPr>
        <w:t>: 10.1136/bmjopen-2020-044630.</w:t>
      </w:r>
    </w:p>
    <w:p w14:paraId="2055A6DF"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Marlow, L.A.V. et al. (2022) 'Patterns of anxiety and distress over 12 months following participation in HPV primary screening', Sexually Transmitted Infections, 98(4), pp. 255-261.</w:t>
      </w:r>
    </w:p>
    <w:p w14:paraId="10EF8B36"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Marlow, L.A.V., Drysdale, H. and Waller, J. (2025) 'Attitudes towards being offered a choice of self-sampling or clinician sampling for cervical screening: a cross-sectional survey of women taking part in a clinical validation of HPV self-collection devices', Journal of Medical Screening, 32(2), pp. 93-99. </w:t>
      </w:r>
      <w:proofErr w:type="spellStart"/>
      <w:r w:rsidRPr="00E34695">
        <w:rPr>
          <w:rFonts w:cs="Arial"/>
          <w:color w:val="000000" w:themeColor="text1"/>
          <w:sz w:val="22"/>
        </w:rPr>
        <w:t>doi</w:t>
      </w:r>
      <w:proofErr w:type="spellEnd"/>
      <w:r w:rsidRPr="00E34695">
        <w:rPr>
          <w:rFonts w:cs="Arial"/>
          <w:color w:val="000000" w:themeColor="text1"/>
          <w:sz w:val="22"/>
        </w:rPr>
        <w:t>: 10.1177/09691413241283356.</w:t>
      </w:r>
    </w:p>
    <w:p w14:paraId="50BC540F"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McBride, E. et al. (2020) 'Anxiety and distress following receipt of results from routine HPV primary testing in cervical screening: the psychological impact of primary screening (PIPS) study', International Journal of Cancer, 146(8), pp. 2113-2121. </w:t>
      </w:r>
      <w:proofErr w:type="spellStart"/>
      <w:r w:rsidRPr="00E34695">
        <w:rPr>
          <w:rFonts w:cs="Arial"/>
          <w:color w:val="000000" w:themeColor="text1"/>
          <w:sz w:val="22"/>
        </w:rPr>
        <w:t>doi</w:t>
      </w:r>
      <w:proofErr w:type="spellEnd"/>
      <w:r w:rsidRPr="00E34695">
        <w:rPr>
          <w:rFonts w:cs="Arial"/>
          <w:color w:val="000000" w:themeColor="text1"/>
          <w:sz w:val="22"/>
        </w:rPr>
        <w:t>: 10.1002/ijc.32540.</w:t>
      </w:r>
    </w:p>
    <w:p w14:paraId="63F19B30"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McBride, E. et al. (2021) 'Exploring reasons for variations in anxiety after testing positive for human papillomavirus with normal cytology at routine HPV primary screening', Psycho-Oncology. </w:t>
      </w:r>
      <w:proofErr w:type="spellStart"/>
      <w:r w:rsidRPr="00E34695">
        <w:rPr>
          <w:rFonts w:cs="Arial"/>
          <w:color w:val="000000" w:themeColor="text1"/>
          <w:sz w:val="22"/>
        </w:rPr>
        <w:t>doi</w:t>
      </w:r>
      <w:proofErr w:type="spellEnd"/>
      <w:r w:rsidRPr="00E34695">
        <w:rPr>
          <w:rFonts w:cs="Arial"/>
          <w:color w:val="000000" w:themeColor="text1"/>
          <w:sz w:val="22"/>
        </w:rPr>
        <w:t>: 10.1002/pon.5540.</w:t>
      </w:r>
    </w:p>
    <w:p w14:paraId="46DB752D"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Mesher, D., Panwar, K., Thomas, S.L., Beddows, S. and Soldan, K. (2016) 'Continuing reductions in HPV 16/18 in a population with high coverage of bivalent HPV vaccination in England: an ongoing cross-sectional study', BMJ Open, 6(2), e009915. </w:t>
      </w:r>
      <w:proofErr w:type="spellStart"/>
      <w:r w:rsidRPr="00E34695">
        <w:rPr>
          <w:rFonts w:cs="Arial"/>
          <w:color w:val="000000" w:themeColor="text1"/>
          <w:sz w:val="22"/>
        </w:rPr>
        <w:t>doi</w:t>
      </w:r>
      <w:proofErr w:type="spellEnd"/>
      <w:r w:rsidRPr="00E34695">
        <w:rPr>
          <w:rFonts w:cs="Arial"/>
          <w:color w:val="000000" w:themeColor="text1"/>
          <w:sz w:val="22"/>
        </w:rPr>
        <w:t>: 10.1136/bmjopen-2015-009915.</w:t>
      </w:r>
    </w:p>
    <w:p w14:paraId="6C2B1909"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O'Donnell, N., Waller, J., Marlow, L.A.V., Anderson, N.C. and McBride, E. (2024) 'Knowing that I had HPV, I literally just shut down: a qualitative exploration of the psychosocial impact of human papillomavirus (HPV) in women living with mental health conditions', British Journal of Health Psychology, 29(1), pp. 80-94. </w:t>
      </w:r>
      <w:proofErr w:type="spellStart"/>
      <w:r w:rsidRPr="00E34695">
        <w:rPr>
          <w:rFonts w:cs="Arial"/>
          <w:color w:val="000000" w:themeColor="text1"/>
          <w:sz w:val="22"/>
        </w:rPr>
        <w:t>doi</w:t>
      </w:r>
      <w:proofErr w:type="spellEnd"/>
      <w:r w:rsidRPr="00E34695">
        <w:rPr>
          <w:rFonts w:cs="Arial"/>
          <w:color w:val="000000" w:themeColor="text1"/>
          <w:sz w:val="22"/>
        </w:rPr>
        <w:t>: 10.1111/bjhp.12688.</w:t>
      </w:r>
    </w:p>
    <w:p w14:paraId="4C6C585E"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Palmer, T. et al. (2019) 'Prevalence of cervical disease at age 20 after </w:t>
      </w:r>
      <w:proofErr w:type="spellStart"/>
      <w:r w:rsidRPr="00E34695">
        <w:rPr>
          <w:rFonts w:cs="Arial"/>
          <w:color w:val="000000" w:themeColor="text1"/>
          <w:sz w:val="22"/>
        </w:rPr>
        <w:t>immunisation</w:t>
      </w:r>
      <w:proofErr w:type="spellEnd"/>
      <w:r w:rsidRPr="00E34695">
        <w:rPr>
          <w:rFonts w:cs="Arial"/>
          <w:color w:val="000000" w:themeColor="text1"/>
          <w:sz w:val="22"/>
        </w:rPr>
        <w:t xml:space="preserve"> with bivalent HPV vaccine at age 12-13 in Scotland: retrospective population study', BMJ, 365, l1161. </w:t>
      </w:r>
      <w:proofErr w:type="spellStart"/>
      <w:r w:rsidRPr="00E34695">
        <w:rPr>
          <w:rFonts w:cs="Arial"/>
          <w:color w:val="000000" w:themeColor="text1"/>
          <w:sz w:val="22"/>
        </w:rPr>
        <w:t>doi</w:t>
      </w:r>
      <w:proofErr w:type="spellEnd"/>
      <w:r w:rsidRPr="00E34695">
        <w:rPr>
          <w:rFonts w:cs="Arial"/>
          <w:color w:val="000000" w:themeColor="text1"/>
          <w:sz w:val="22"/>
        </w:rPr>
        <w:t>: 10.1136/</w:t>
      </w:r>
      <w:proofErr w:type="gramStart"/>
      <w:r w:rsidRPr="00E34695">
        <w:rPr>
          <w:rFonts w:cs="Arial"/>
          <w:color w:val="000000" w:themeColor="text1"/>
          <w:sz w:val="22"/>
        </w:rPr>
        <w:t>bmj.l</w:t>
      </w:r>
      <w:proofErr w:type="gramEnd"/>
      <w:r w:rsidRPr="00E34695">
        <w:rPr>
          <w:rFonts w:cs="Arial"/>
          <w:color w:val="000000" w:themeColor="text1"/>
          <w:sz w:val="22"/>
        </w:rPr>
        <w:t>1161.</w:t>
      </w:r>
    </w:p>
    <w:p w14:paraId="7386EFC7"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Patel, H. et al. (2020) 'Awareness of and attitudes towards cervical cancer prevention among migrant Eastern European women in England', Journal of Medical Screening. </w:t>
      </w:r>
      <w:proofErr w:type="spellStart"/>
      <w:r w:rsidRPr="00E34695">
        <w:rPr>
          <w:rFonts w:cs="Arial"/>
          <w:color w:val="000000" w:themeColor="text1"/>
          <w:sz w:val="22"/>
        </w:rPr>
        <w:t>doi</w:t>
      </w:r>
      <w:proofErr w:type="spellEnd"/>
      <w:r w:rsidRPr="00E34695">
        <w:rPr>
          <w:rFonts w:cs="Arial"/>
          <w:color w:val="000000" w:themeColor="text1"/>
          <w:sz w:val="22"/>
        </w:rPr>
        <w:t>: 10.1177/0969141319869957.</w:t>
      </w:r>
    </w:p>
    <w:p w14:paraId="1AA99922"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lastRenderedPageBreak/>
        <w:t xml:space="preserve">Peters, M.D.J. et al. (2020) 'Updated methodological guidance for the conduct of scoping reviews', JBI Evidence Synthesis, 18(10), pp. 2119-2126. </w:t>
      </w:r>
      <w:proofErr w:type="spellStart"/>
      <w:r w:rsidRPr="00E34695">
        <w:rPr>
          <w:rFonts w:cs="Arial"/>
          <w:color w:val="000000" w:themeColor="text1"/>
          <w:sz w:val="22"/>
        </w:rPr>
        <w:t>doi</w:t>
      </w:r>
      <w:proofErr w:type="spellEnd"/>
      <w:r w:rsidRPr="00E34695">
        <w:rPr>
          <w:rFonts w:cs="Arial"/>
          <w:color w:val="000000" w:themeColor="text1"/>
          <w:sz w:val="22"/>
        </w:rPr>
        <w:t>: 10.11124/JBIES-20-00167.</w:t>
      </w:r>
    </w:p>
    <w:p w14:paraId="7764804B"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Rebolj, M. et al. (2019) 'Primary cervical screening with </w:t>
      </w:r>
      <w:proofErr w:type="gramStart"/>
      <w:r w:rsidRPr="00E34695">
        <w:rPr>
          <w:rFonts w:cs="Arial"/>
          <w:color w:val="000000" w:themeColor="text1"/>
          <w:sz w:val="22"/>
        </w:rPr>
        <w:t>high risk</w:t>
      </w:r>
      <w:proofErr w:type="gramEnd"/>
      <w:r w:rsidRPr="00E34695">
        <w:rPr>
          <w:rFonts w:cs="Arial"/>
          <w:color w:val="000000" w:themeColor="text1"/>
          <w:sz w:val="22"/>
        </w:rPr>
        <w:t xml:space="preserve"> human papillomavirus testing: observational study', BMJ, 364, l240. </w:t>
      </w:r>
      <w:proofErr w:type="spellStart"/>
      <w:r w:rsidRPr="00E34695">
        <w:rPr>
          <w:rFonts w:cs="Arial"/>
          <w:color w:val="000000" w:themeColor="text1"/>
          <w:sz w:val="22"/>
        </w:rPr>
        <w:t>doi</w:t>
      </w:r>
      <w:proofErr w:type="spellEnd"/>
      <w:r w:rsidRPr="00E34695">
        <w:rPr>
          <w:rFonts w:cs="Arial"/>
          <w:color w:val="000000" w:themeColor="text1"/>
          <w:sz w:val="22"/>
        </w:rPr>
        <w:t>: 10.1136/</w:t>
      </w:r>
      <w:proofErr w:type="gramStart"/>
      <w:r w:rsidRPr="00E34695">
        <w:rPr>
          <w:rFonts w:cs="Arial"/>
          <w:color w:val="000000" w:themeColor="text1"/>
          <w:sz w:val="22"/>
        </w:rPr>
        <w:t>bmj.l</w:t>
      </w:r>
      <w:proofErr w:type="gramEnd"/>
      <w:r w:rsidRPr="00E34695">
        <w:rPr>
          <w:rFonts w:cs="Arial"/>
          <w:color w:val="000000" w:themeColor="text1"/>
          <w:sz w:val="22"/>
        </w:rPr>
        <w:t>240.</w:t>
      </w:r>
    </w:p>
    <w:p w14:paraId="659AC05E"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Rebolj, M. et al. (2022a) 'The impact of catch-up bivalent human papillomavirus vaccination on cervical screening outcomes: an observational study from the English HPV primary screening pilot', British Journal of Cancer. </w:t>
      </w:r>
      <w:proofErr w:type="spellStart"/>
      <w:r w:rsidRPr="00E34695">
        <w:rPr>
          <w:rFonts w:cs="Arial"/>
          <w:color w:val="000000" w:themeColor="text1"/>
          <w:sz w:val="22"/>
        </w:rPr>
        <w:t>doi</w:t>
      </w:r>
      <w:proofErr w:type="spellEnd"/>
      <w:r w:rsidRPr="00E34695">
        <w:rPr>
          <w:rFonts w:cs="Arial"/>
          <w:color w:val="000000" w:themeColor="text1"/>
          <w:sz w:val="22"/>
        </w:rPr>
        <w:t>: 10.1038/s41416-022-01791-w.</w:t>
      </w:r>
    </w:p>
    <w:p w14:paraId="7CD2D18D"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Rebolj, M. et al. (2022b) 'Age-specific outcomes from the first round of HPV screening in unvaccinated women: observational study from the English cervical screening pilot', BJOG, 129, pp. 1278-1288.</w:t>
      </w:r>
    </w:p>
    <w:p w14:paraId="3EBE14A5"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Rebolj, M. et al. (2022c) 'Extension of cervical screening intervals with primary human papillomavirus testing: observational study of English screening pilot data', BMJ, 377, e068776. </w:t>
      </w:r>
      <w:proofErr w:type="spellStart"/>
      <w:r w:rsidRPr="00E34695">
        <w:rPr>
          <w:rFonts w:cs="Arial"/>
          <w:color w:val="000000" w:themeColor="text1"/>
          <w:sz w:val="22"/>
        </w:rPr>
        <w:t>doi</w:t>
      </w:r>
      <w:proofErr w:type="spellEnd"/>
      <w:r w:rsidRPr="00E34695">
        <w:rPr>
          <w:rFonts w:cs="Arial"/>
          <w:color w:val="000000" w:themeColor="text1"/>
          <w:sz w:val="22"/>
        </w:rPr>
        <w:t>: 10.1136/bmj-2021-068776.</w:t>
      </w:r>
    </w:p>
    <w:p w14:paraId="1D2AD2B0"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Rebolj, M. et al. (2022d) 'Cytology interpretation after a change to HPV testing in primary cervical screening: observational study from the English pilot', Cancer Cytopathology, 130(7), pp. 531-541.</w:t>
      </w:r>
    </w:p>
    <w:p w14:paraId="0EE16E20"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Sargent, A., Fletcher, S., Bray, K., Kitchener, H.C. and Crosbie, E.J. (2019) 'Cross-sectional study of HPV testing in self-sampled urine and comparison with matched vaginal and cervical samples in women attending colposcopy for the management of abnormal cervical screening', BMJ Open, 9(4), e025388. </w:t>
      </w:r>
      <w:proofErr w:type="spellStart"/>
      <w:r w:rsidRPr="00E34695">
        <w:rPr>
          <w:rFonts w:cs="Arial"/>
          <w:color w:val="000000" w:themeColor="text1"/>
          <w:sz w:val="22"/>
        </w:rPr>
        <w:t>doi</w:t>
      </w:r>
      <w:proofErr w:type="spellEnd"/>
      <w:r w:rsidRPr="00E34695">
        <w:rPr>
          <w:rFonts w:cs="Arial"/>
          <w:color w:val="000000" w:themeColor="text1"/>
          <w:sz w:val="22"/>
        </w:rPr>
        <w:t>: 10.1136/bmjopen-2018-025388.</w:t>
      </w:r>
    </w:p>
    <w:p w14:paraId="794A8056"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proofErr w:type="spellStart"/>
      <w:r w:rsidRPr="00E34695">
        <w:rPr>
          <w:rFonts w:cs="Arial"/>
          <w:color w:val="000000" w:themeColor="text1"/>
          <w:sz w:val="22"/>
        </w:rPr>
        <w:t>Taratula</w:t>
      </w:r>
      <w:proofErr w:type="spellEnd"/>
      <w:r w:rsidRPr="00E34695">
        <w:rPr>
          <w:rFonts w:cs="Arial"/>
          <w:color w:val="000000" w:themeColor="text1"/>
          <w:sz w:val="22"/>
        </w:rPr>
        <w:t xml:space="preserve">-Lyons, M. and Hill, M.C. (2024) 'Young women's perceptions of cervical screening in the UK: a qualitative study', Primary Health Care Research &amp; Development, 25, e49. </w:t>
      </w:r>
      <w:proofErr w:type="spellStart"/>
      <w:r w:rsidRPr="00E34695">
        <w:rPr>
          <w:rFonts w:cs="Arial"/>
          <w:color w:val="000000" w:themeColor="text1"/>
          <w:sz w:val="22"/>
        </w:rPr>
        <w:t>doi</w:t>
      </w:r>
      <w:proofErr w:type="spellEnd"/>
      <w:r w:rsidRPr="00E34695">
        <w:rPr>
          <w:rFonts w:cs="Arial"/>
          <w:color w:val="000000" w:themeColor="text1"/>
          <w:sz w:val="22"/>
        </w:rPr>
        <w:t>: 10.1017/S1463423624000446.</w:t>
      </w:r>
    </w:p>
    <w:p w14:paraId="3A2A64B8"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proofErr w:type="spellStart"/>
      <w:r w:rsidRPr="00E34695">
        <w:rPr>
          <w:rFonts w:cs="Arial"/>
          <w:color w:val="000000" w:themeColor="text1"/>
          <w:sz w:val="22"/>
        </w:rPr>
        <w:t>Tricco</w:t>
      </w:r>
      <w:proofErr w:type="spellEnd"/>
      <w:r w:rsidRPr="00E34695">
        <w:rPr>
          <w:rFonts w:cs="Arial"/>
          <w:color w:val="000000" w:themeColor="text1"/>
          <w:sz w:val="22"/>
        </w:rPr>
        <w:t>, A.C. et al. (2018) 'PRISMA Extension for Scoping Reviews (PRISMA-</w:t>
      </w:r>
      <w:proofErr w:type="spellStart"/>
      <w:r w:rsidRPr="00E34695">
        <w:rPr>
          <w:rFonts w:cs="Arial"/>
          <w:color w:val="000000" w:themeColor="text1"/>
          <w:sz w:val="22"/>
        </w:rPr>
        <w:t>ScR</w:t>
      </w:r>
      <w:proofErr w:type="spellEnd"/>
      <w:r w:rsidRPr="00E34695">
        <w:rPr>
          <w:rFonts w:cs="Arial"/>
          <w:color w:val="000000" w:themeColor="text1"/>
          <w:sz w:val="22"/>
        </w:rPr>
        <w:t xml:space="preserve">): checklist and explanation', Annals of Internal Medicine, 169(7), pp. 467-473. </w:t>
      </w:r>
      <w:proofErr w:type="spellStart"/>
      <w:r w:rsidRPr="00E34695">
        <w:rPr>
          <w:rFonts w:cs="Arial"/>
          <w:color w:val="000000" w:themeColor="text1"/>
          <w:sz w:val="22"/>
        </w:rPr>
        <w:t>doi</w:t>
      </w:r>
      <w:proofErr w:type="spellEnd"/>
      <w:r w:rsidRPr="00E34695">
        <w:rPr>
          <w:rFonts w:cs="Arial"/>
          <w:color w:val="000000" w:themeColor="text1"/>
          <w:sz w:val="22"/>
        </w:rPr>
        <w:t>: 10.7326/M18-0850.</w:t>
      </w:r>
    </w:p>
    <w:p w14:paraId="0766BBE4" w14:textId="77777777" w:rsidR="00BC7DFE" w:rsidRPr="00E34695" w:rsidRDefault="00EC1748" w:rsidP="00C44076">
      <w:pPr>
        <w:pStyle w:val="Reference"/>
        <w:numPr>
          <w:ilvl w:val="0"/>
          <w:numId w:val="12"/>
        </w:numPr>
        <w:spacing w:before="120" w:after="120" w:line="360" w:lineRule="auto"/>
        <w:jc w:val="both"/>
        <w:rPr>
          <w:rFonts w:cs="Arial"/>
          <w:color w:val="000000" w:themeColor="text1"/>
          <w:sz w:val="22"/>
        </w:rPr>
      </w:pPr>
      <w:r w:rsidRPr="00E34695">
        <w:rPr>
          <w:rFonts w:cs="Arial"/>
          <w:color w:val="000000" w:themeColor="text1"/>
          <w:sz w:val="22"/>
        </w:rPr>
        <w:t xml:space="preserve">Wilding, S. et al. (2020) 'What factors are most influential in increasing cervical cancer screening attendance? An online study of UK-based women', Health Psychology and Behavioral Medicine, 8(1). </w:t>
      </w:r>
      <w:proofErr w:type="spellStart"/>
      <w:r w:rsidRPr="00E34695">
        <w:rPr>
          <w:rFonts w:cs="Arial"/>
          <w:color w:val="000000" w:themeColor="text1"/>
          <w:sz w:val="22"/>
        </w:rPr>
        <w:t>doi</w:t>
      </w:r>
      <w:proofErr w:type="spellEnd"/>
      <w:r w:rsidRPr="00E34695">
        <w:rPr>
          <w:rFonts w:cs="Arial"/>
          <w:color w:val="000000" w:themeColor="text1"/>
          <w:sz w:val="22"/>
        </w:rPr>
        <w:t>: 10.1080/21642850.2020.1798239.</w:t>
      </w:r>
    </w:p>
    <w:sectPr w:rsidR="00BC7DFE" w:rsidRPr="00E34695" w:rsidSect="003D1CEB">
      <w:headerReference w:type="default" r:id="rId18"/>
      <w:footerReference w:type="default" r:id="rId19"/>
      <w:type w:val="continuous"/>
      <w:pgSz w:w="11906" w:h="16838" w:code="9"/>
      <w:pgMar w:top="1247" w:right="1361" w:bottom="1247" w:left="1361" w:header="567" w:footer="567"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12ACA" w14:textId="77777777" w:rsidR="00B2641A" w:rsidRDefault="00B2641A">
      <w:pPr>
        <w:spacing w:after="0" w:line="240" w:lineRule="auto"/>
      </w:pPr>
      <w:r>
        <w:separator/>
      </w:r>
    </w:p>
  </w:endnote>
  <w:endnote w:type="continuationSeparator" w:id="0">
    <w:p w14:paraId="397DBC9D" w14:textId="77777777" w:rsidR="00B2641A" w:rsidRDefault="00B26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Lucida Fax">
    <w:panose1 w:val="02060602050505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1A1A7" w14:textId="77777777" w:rsidR="00EC1748" w:rsidRDefault="00AD5414">
    <w:pPr>
      <w:pStyle w:val="Footer"/>
      <w:jc w:val="center"/>
    </w:pPr>
    <w:r>
      <w:rPr>
        <w:sz w:val="16"/>
      </w:rPr>
      <w:fldChar w:fldCharType="begin"/>
    </w:r>
    <w:r w:rsidR="00EC1748">
      <w:rPr>
        <w:sz w:val="16"/>
      </w:rPr>
      <w:instrText xml:space="preserve"> PAGE </w:instrText>
    </w:r>
    <w:r>
      <w:rPr>
        <w:sz w:val="16"/>
      </w:rPr>
      <w:fldChar w:fldCharType="separate"/>
    </w:r>
    <w:r w:rsidR="007D0D32">
      <w:rPr>
        <w:noProof/>
        <w:sz w:val="16"/>
      </w:rPr>
      <w:t>1</w:t>
    </w:r>
    <w:r>
      <w:rPr>
        <w:sz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7B9ED" w14:textId="77777777" w:rsidR="00EC1748" w:rsidRDefault="00AD5414">
    <w:pPr>
      <w:pStyle w:val="Footer"/>
      <w:jc w:val="center"/>
    </w:pPr>
    <w:r>
      <w:rPr>
        <w:sz w:val="16"/>
      </w:rPr>
      <w:fldChar w:fldCharType="begin"/>
    </w:r>
    <w:r w:rsidR="00EC1748">
      <w:rPr>
        <w:sz w:val="16"/>
      </w:rPr>
      <w:instrText xml:space="preserve"> PAGE </w:instrText>
    </w:r>
    <w:r>
      <w:rPr>
        <w:sz w:val="16"/>
      </w:rPr>
      <w:fldChar w:fldCharType="separate"/>
    </w:r>
    <w:r w:rsidR="00695BE3">
      <w:rPr>
        <w:noProof/>
        <w:sz w:val="16"/>
      </w:rPr>
      <w:t>14</w:t>
    </w:r>
    <w:r>
      <w:rPr>
        <w:sz w:val="16"/>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D7DD8" w14:textId="77777777" w:rsidR="00EC1748" w:rsidRDefault="00AD5414">
    <w:pPr>
      <w:pStyle w:val="Footer"/>
      <w:jc w:val="center"/>
    </w:pPr>
    <w:r>
      <w:rPr>
        <w:sz w:val="16"/>
      </w:rPr>
      <w:fldChar w:fldCharType="begin"/>
    </w:r>
    <w:r w:rsidR="00EC1748">
      <w:rPr>
        <w:sz w:val="16"/>
      </w:rPr>
      <w:instrText xml:space="preserve"> PAGE </w:instrText>
    </w:r>
    <w:r>
      <w:rPr>
        <w:sz w:val="16"/>
      </w:rPr>
      <w:fldChar w:fldCharType="separate"/>
    </w:r>
    <w:r w:rsidR="00695BE3">
      <w:rPr>
        <w:noProof/>
        <w:sz w:val="16"/>
      </w:rPr>
      <w:t>21</w:t>
    </w:r>
    <w:r>
      <w:rPr>
        <w:sz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B3F398" w14:textId="77777777" w:rsidR="00B2641A" w:rsidRDefault="00B2641A">
      <w:pPr>
        <w:spacing w:after="0" w:line="240" w:lineRule="auto"/>
      </w:pPr>
      <w:r>
        <w:separator/>
      </w:r>
    </w:p>
  </w:footnote>
  <w:footnote w:type="continuationSeparator" w:id="0">
    <w:p w14:paraId="02198CDB" w14:textId="77777777" w:rsidR="00B2641A" w:rsidRDefault="00B264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08519" w14:textId="77777777" w:rsidR="00EC1748" w:rsidRDefault="00EC1748">
    <w:pPr>
      <w:pStyle w:val="Header"/>
      <w:jc w:val="right"/>
    </w:pPr>
    <w:r>
      <w:rPr>
        <w:color w:val="646464"/>
        <w:sz w:val="16"/>
      </w:rPr>
      <w:t>BMHP5019_BIRM | Cervical Cancer and HPV Infection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359A9C" w14:textId="77777777" w:rsidR="00EC1748" w:rsidRDefault="00EC1748">
    <w:pPr>
      <w:pStyle w:val="Header"/>
      <w:jc w:val="right"/>
    </w:pPr>
    <w:r>
      <w:rPr>
        <w:color w:val="646464"/>
        <w:sz w:val="16"/>
      </w:rPr>
      <w:t>BMHP5019_BIRM | Evidence Chart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A239D" w14:textId="77777777" w:rsidR="00EC1748" w:rsidRDefault="00EC1748">
    <w:pPr>
      <w:pStyle w:val="Header"/>
      <w:jc w:val="right"/>
    </w:pPr>
    <w:r>
      <w:rPr>
        <w:color w:val="646464"/>
        <w:sz w:val="16"/>
      </w:rPr>
      <w:t>BMHP5019_BIRM | Cervical Cancer and HPV Infection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A4CC8FF6"/>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50053DB"/>
    <w:multiLevelType w:val="hybridMultilevel"/>
    <w:tmpl w:val="E1202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4C5F6A"/>
    <w:multiLevelType w:val="multilevel"/>
    <w:tmpl w:val="5AF04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D64175"/>
    <w:multiLevelType w:val="hybridMultilevel"/>
    <w:tmpl w:val="D7CC32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7015631">
    <w:abstractNumId w:val="8"/>
  </w:num>
  <w:num w:numId="2" w16cid:durableId="730422547">
    <w:abstractNumId w:val="6"/>
  </w:num>
  <w:num w:numId="3" w16cid:durableId="1480731055">
    <w:abstractNumId w:val="5"/>
  </w:num>
  <w:num w:numId="4" w16cid:durableId="1375958541">
    <w:abstractNumId w:val="4"/>
  </w:num>
  <w:num w:numId="5" w16cid:durableId="438598741">
    <w:abstractNumId w:val="7"/>
  </w:num>
  <w:num w:numId="6" w16cid:durableId="1412778471">
    <w:abstractNumId w:val="3"/>
  </w:num>
  <w:num w:numId="7" w16cid:durableId="13701065">
    <w:abstractNumId w:val="2"/>
  </w:num>
  <w:num w:numId="8" w16cid:durableId="1821924841">
    <w:abstractNumId w:val="1"/>
  </w:num>
  <w:num w:numId="9" w16cid:durableId="1264067186">
    <w:abstractNumId w:val="0"/>
  </w:num>
  <w:num w:numId="10" w16cid:durableId="529226135">
    <w:abstractNumId w:val="11"/>
  </w:num>
  <w:num w:numId="11" w16cid:durableId="947004548">
    <w:abstractNumId w:val="10"/>
  </w:num>
  <w:num w:numId="12" w16cid:durableId="1206552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41B"/>
    <w:rsid w:val="00007CD6"/>
    <w:rsid w:val="0002394C"/>
    <w:rsid w:val="00023CB1"/>
    <w:rsid w:val="00027E69"/>
    <w:rsid w:val="00031615"/>
    <w:rsid w:val="00034616"/>
    <w:rsid w:val="00036346"/>
    <w:rsid w:val="00045DFF"/>
    <w:rsid w:val="00047F86"/>
    <w:rsid w:val="0006063C"/>
    <w:rsid w:val="00063118"/>
    <w:rsid w:val="00066EB0"/>
    <w:rsid w:val="00086AB1"/>
    <w:rsid w:val="000874CE"/>
    <w:rsid w:val="00095985"/>
    <w:rsid w:val="000A293A"/>
    <w:rsid w:val="000B6FCC"/>
    <w:rsid w:val="000C61E6"/>
    <w:rsid w:val="001012D2"/>
    <w:rsid w:val="0011130C"/>
    <w:rsid w:val="00144BDB"/>
    <w:rsid w:val="0015074B"/>
    <w:rsid w:val="001850CD"/>
    <w:rsid w:val="001A1CD3"/>
    <w:rsid w:val="001D0828"/>
    <w:rsid w:val="001E59E2"/>
    <w:rsid w:val="0020572F"/>
    <w:rsid w:val="002216BA"/>
    <w:rsid w:val="002329D0"/>
    <w:rsid w:val="0026158E"/>
    <w:rsid w:val="0029639D"/>
    <w:rsid w:val="002B282C"/>
    <w:rsid w:val="002D6C01"/>
    <w:rsid w:val="002E2A70"/>
    <w:rsid w:val="002E5525"/>
    <w:rsid w:val="002F02A5"/>
    <w:rsid w:val="00304954"/>
    <w:rsid w:val="003144D5"/>
    <w:rsid w:val="00316525"/>
    <w:rsid w:val="00326F90"/>
    <w:rsid w:val="0033752A"/>
    <w:rsid w:val="00364638"/>
    <w:rsid w:val="00372151"/>
    <w:rsid w:val="003A0812"/>
    <w:rsid w:val="003A4357"/>
    <w:rsid w:val="003B5F73"/>
    <w:rsid w:val="003D14C4"/>
    <w:rsid w:val="003D1CEB"/>
    <w:rsid w:val="003D7329"/>
    <w:rsid w:val="003F143B"/>
    <w:rsid w:val="003F2960"/>
    <w:rsid w:val="00407460"/>
    <w:rsid w:val="00422A8F"/>
    <w:rsid w:val="00427BF5"/>
    <w:rsid w:val="004501C9"/>
    <w:rsid w:val="00474718"/>
    <w:rsid w:val="0048358A"/>
    <w:rsid w:val="0049667C"/>
    <w:rsid w:val="004A3812"/>
    <w:rsid w:val="004B2137"/>
    <w:rsid w:val="004D2BCA"/>
    <w:rsid w:val="004D303B"/>
    <w:rsid w:val="004E09C9"/>
    <w:rsid w:val="004E4094"/>
    <w:rsid w:val="004E776A"/>
    <w:rsid w:val="005028AE"/>
    <w:rsid w:val="00513B9A"/>
    <w:rsid w:val="0053644D"/>
    <w:rsid w:val="005378C1"/>
    <w:rsid w:val="0054693A"/>
    <w:rsid w:val="005640CC"/>
    <w:rsid w:val="00587C6F"/>
    <w:rsid w:val="005952DB"/>
    <w:rsid w:val="00596FE4"/>
    <w:rsid w:val="005A4204"/>
    <w:rsid w:val="005B497F"/>
    <w:rsid w:val="005B6A04"/>
    <w:rsid w:val="005D15C5"/>
    <w:rsid w:val="005D2CDA"/>
    <w:rsid w:val="005F7C17"/>
    <w:rsid w:val="00600C57"/>
    <w:rsid w:val="0062226E"/>
    <w:rsid w:val="00631B4E"/>
    <w:rsid w:val="0065746B"/>
    <w:rsid w:val="00671C46"/>
    <w:rsid w:val="00695BE3"/>
    <w:rsid w:val="0069762F"/>
    <w:rsid w:val="006A7BEC"/>
    <w:rsid w:val="006B29D3"/>
    <w:rsid w:val="006B4358"/>
    <w:rsid w:val="006D3F26"/>
    <w:rsid w:val="006F7ED3"/>
    <w:rsid w:val="00731B80"/>
    <w:rsid w:val="0075636F"/>
    <w:rsid w:val="00785AB6"/>
    <w:rsid w:val="007900D2"/>
    <w:rsid w:val="00795C5A"/>
    <w:rsid w:val="00797D58"/>
    <w:rsid w:val="007A1537"/>
    <w:rsid w:val="007C4522"/>
    <w:rsid w:val="007D0D32"/>
    <w:rsid w:val="007E0092"/>
    <w:rsid w:val="007F5279"/>
    <w:rsid w:val="00813FB5"/>
    <w:rsid w:val="008305D9"/>
    <w:rsid w:val="00831ADB"/>
    <w:rsid w:val="0085159E"/>
    <w:rsid w:val="008519D1"/>
    <w:rsid w:val="008640A1"/>
    <w:rsid w:val="0086432A"/>
    <w:rsid w:val="00875AFD"/>
    <w:rsid w:val="00884986"/>
    <w:rsid w:val="008A7865"/>
    <w:rsid w:val="008A7E88"/>
    <w:rsid w:val="008B08E0"/>
    <w:rsid w:val="008B24AF"/>
    <w:rsid w:val="008E77CD"/>
    <w:rsid w:val="008F55E4"/>
    <w:rsid w:val="00923D67"/>
    <w:rsid w:val="00934C71"/>
    <w:rsid w:val="00935BBD"/>
    <w:rsid w:val="00936173"/>
    <w:rsid w:val="00946F3B"/>
    <w:rsid w:val="009524E4"/>
    <w:rsid w:val="009828A9"/>
    <w:rsid w:val="009916CE"/>
    <w:rsid w:val="0099409A"/>
    <w:rsid w:val="009951CD"/>
    <w:rsid w:val="009A21F3"/>
    <w:rsid w:val="009B4D3B"/>
    <w:rsid w:val="009D5645"/>
    <w:rsid w:val="009E40FB"/>
    <w:rsid w:val="009F391D"/>
    <w:rsid w:val="00A27972"/>
    <w:rsid w:val="00A32EC9"/>
    <w:rsid w:val="00A455B9"/>
    <w:rsid w:val="00A56C95"/>
    <w:rsid w:val="00A748F1"/>
    <w:rsid w:val="00A876AF"/>
    <w:rsid w:val="00A95A24"/>
    <w:rsid w:val="00AA1D8D"/>
    <w:rsid w:val="00AD5414"/>
    <w:rsid w:val="00AD583E"/>
    <w:rsid w:val="00AD7634"/>
    <w:rsid w:val="00AE0A6C"/>
    <w:rsid w:val="00B01B58"/>
    <w:rsid w:val="00B248AE"/>
    <w:rsid w:val="00B2641A"/>
    <w:rsid w:val="00B36C8F"/>
    <w:rsid w:val="00B47730"/>
    <w:rsid w:val="00B503DF"/>
    <w:rsid w:val="00B54490"/>
    <w:rsid w:val="00B8473A"/>
    <w:rsid w:val="00B8535A"/>
    <w:rsid w:val="00B97822"/>
    <w:rsid w:val="00B97A70"/>
    <w:rsid w:val="00BB6B9D"/>
    <w:rsid w:val="00BB6D4B"/>
    <w:rsid w:val="00BC7DFE"/>
    <w:rsid w:val="00C43BE8"/>
    <w:rsid w:val="00C44076"/>
    <w:rsid w:val="00C44980"/>
    <w:rsid w:val="00C56123"/>
    <w:rsid w:val="00C8326C"/>
    <w:rsid w:val="00C95ADC"/>
    <w:rsid w:val="00CB0664"/>
    <w:rsid w:val="00CB4D1D"/>
    <w:rsid w:val="00CC53DC"/>
    <w:rsid w:val="00CD7BF0"/>
    <w:rsid w:val="00CF2764"/>
    <w:rsid w:val="00D0493A"/>
    <w:rsid w:val="00D07C40"/>
    <w:rsid w:val="00D3214A"/>
    <w:rsid w:val="00D45CBC"/>
    <w:rsid w:val="00D609D5"/>
    <w:rsid w:val="00D702BE"/>
    <w:rsid w:val="00D77485"/>
    <w:rsid w:val="00D8518F"/>
    <w:rsid w:val="00D9161C"/>
    <w:rsid w:val="00DB7B67"/>
    <w:rsid w:val="00DC114B"/>
    <w:rsid w:val="00DD2B02"/>
    <w:rsid w:val="00DD50F1"/>
    <w:rsid w:val="00DE714D"/>
    <w:rsid w:val="00DE7833"/>
    <w:rsid w:val="00DF12D7"/>
    <w:rsid w:val="00DF2B4F"/>
    <w:rsid w:val="00E17D39"/>
    <w:rsid w:val="00E2484F"/>
    <w:rsid w:val="00E34695"/>
    <w:rsid w:val="00E749BE"/>
    <w:rsid w:val="00EC1748"/>
    <w:rsid w:val="00EC71C4"/>
    <w:rsid w:val="00ED3664"/>
    <w:rsid w:val="00ED43F9"/>
    <w:rsid w:val="00ED774C"/>
    <w:rsid w:val="00EF0B58"/>
    <w:rsid w:val="00F14ED9"/>
    <w:rsid w:val="00F20477"/>
    <w:rsid w:val="00F24CCD"/>
    <w:rsid w:val="00F25DFB"/>
    <w:rsid w:val="00F3173E"/>
    <w:rsid w:val="00F42624"/>
    <w:rsid w:val="00F476CD"/>
    <w:rsid w:val="00F600F4"/>
    <w:rsid w:val="00F76592"/>
    <w:rsid w:val="00F85D18"/>
    <w:rsid w:val="00F87FCB"/>
    <w:rsid w:val="00F90FCB"/>
    <w:rsid w:val="00F94598"/>
    <w:rsid w:val="00FB059C"/>
    <w:rsid w:val="00FB4C81"/>
    <w:rsid w:val="00FC693F"/>
    <w:rsid w:val="00FC6D2D"/>
    <w:rsid w:val="00FD77D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42A315"/>
  <w15:docId w15:val="{96DF75AD-2E93-41B8-BDCE-486DA63E5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rPr>
  </w:style>
  <w:style w:type="paragraph" w:styleId="Heading1">
    <w:name w:val="heading 1"/>
    <w:basedOn w:val="Normal"/>
    <w:next w:val="Normal"/>
    <w:link w:val="Heading1Char"/>
    <w:autoRedefine/>
    <w:uiPriority w:val="9"/>
    <w:qFormat/>
    <w:rsid w:val="00066EB0"/>
    <w:pPr>
      <w:keepNext/>
      <w:keepLines/>
      <w:spacing w:before="120"/>
      <w:jc w:val="center"/>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795C5A"/>
    <w:pPr>
      <w:keepNext/>
      <w:keepLines/>
      <w:spacing w:before="120"/>
      <w:jc w:val="left"/>
      <w:outlineLvl w:val="1"/>
    </w:pPr>
    <w:rPr>
      <w:rFonts w:cs="Arial"/>
      <w:b/>
      <w:bCs/>
      <w:color w:val="000000" w:themeColor="text1"/>
      <w:sz w:val="28"/>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17365D"/>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2DA2BF"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16505E"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16505E"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2DA2BF"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066EB0"/>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795C5A"/>
    <w:rPr>
      <w:rFonts w:ascii="Arial" w:eastAsia="Arial" w:hAnsi="Arial" w:cs="Arial"/>
      <w:b/>
      <w:bCs/>
      <w:color w:val="000000" w:themeColor="text1"/>
      <w:sz w:val="28"/>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2DA2BF" w:themeColor="accent1"/>
    </w:rPr>
  </w:style>
  <w:style w:type="paragraph" w:styleId="Title">
    <w:name w:val="Title"/>
    <w:basedOn w:val="Normal"/>
    <w:next w:val="Normal"/>
    <w:link w:val="TitleChar"/>
    <w:uiPriority w:val="10"/>
    <w:qFormat/>
    <w:rsid w:val="00FC693F"/>
    <w:pPr>
      <w:pBdr>
        <w:bottom w:val="single" w:sz="8" w:space="4" w:color="2DA2BF" w:themeColor="accent1"/>
      </w:pBdr>
      <w:spacing w:before="200" w:after="100" w:line="240" w:lineRule="auto"/>
      <w:contextualSpacing/>
    </w:pPr>
    <w:rPr>
      <w:rFonts w:asciiTheme="majorHAnsi" w:eastAsiaTheme="majorEastAsia" w:hAnsiTheme="majorHAnsi" w:cstheme="majorBidi"/>
      <w:b/>
      <w:color w:val="17365D"/>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343434"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spacing w:before="200" w:after="100"/>
    </w:pPr>
    <w:rPr>
      <w:rFonts w:asciiTheme="majorHAnsi" w:eastAsiaTheme="majorEastAsia" w:hAnsiTheme="majorHAnsi" w:cstheme="majorBidi"/>
      <w:b/>
      <w:i/>
      <w:iCs/>
      <w:color w:val="365F9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2DA2BF"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2DA2BF"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16505E"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16505E"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2DA2BF"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2DA2BF"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2DA2BF" w:themeColor="accent1"/>
      </w:pBdr>
      <w:spacing w:before="200" w:after="280"/>
      <w:ind w:left="936" w:right="936"/>
    </w:pPr>
    <w:rPr>
      <w:b/>
      <w:bCs/>
      <w:i/>
      <w:iCs/>
      <w:color w:val="2DA2BF" w:themeColor="accent1"/>
    </w:rPr>
  </w:style>
  <w:style w:type="character" w:customStyle="1" w:styleId="IntenseQuoteChar">
    <w:name w:val="Intense Quote Char"/>
    <w:basedOn w:val="DefaultParagraphFont"/>
    <w:link w:val="IntenseQuote"/>
    <w:uiPriority w:val="30"/>
    <w:rsid w:val="00FC693F"/>
    <w:rPr>
      <w:b/>
      <w:bCs/>
      <w:i/>
      <w:iCs/>
      <w:color w:val="2DA2BF"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2DA2BF" w:themeColor="accent1"/>
    </w:rPr>
  </w:style>
  <w:style w:type="character" w:styleId="SubtleReference">
    <w:name w:val="Subtle Reference"/>
    <w:basedOn w:val="DefaultParagraphFont"/>
    <w:uiPriority w:val="31"/>
    <w:qFormat/>
    <w:rsid w:val="00FC693F"/>
    <w:rPr>
      <w:smallCaps/>
      <w:color w:val="DA1F28" w:themeColor="accent2"/>
      <w:u w:val="single"/>
    </w:rPr>
  </w:style>
  <w:style w:type="character" w:styleId="IntenseReference">
    <w:name w:val="Intense Reference"/>
    <w:basedOn w:val="DefaultParagraphFont"/>
    <w:uiPriority w:val="32"/>
    <w:qFormat/>
    <w:rsid w:val="00FC693F"/>
    <w:rPr>
      <w:b/>
      <w:bCs/>
      <w:smallCaps/>
      <w:color w:val="DA1F28"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21798E" w:themeColor="accent1" w:themeShade="BF"/>
    </w:rPr>
    <w:tblPr>
      <w:tblStyleRowBandSize w:val="1"/>
      <w:tblStyleColBandSize w:val="1"/>
      <w:tblBorders>
        <w:top w:val="single" w:sz="8" w:space="0" w:color="2DA2BF" w:themeColor="accent1"/>
        <w:bottom w:val="single" w:sz="8" w:space="0" w:color="2DA2BF" w:themeColor="accent1"/>
      </w:tblBorders>
    </w:tblPr>
    <w:tblStylePr w:type="firstRow">
      <w:pPr>
        <w:spacing w:before="0" w:after="0" w:line="240" w:lineRule="auto"/>
      </w:pPr>
      <w:rPr>
        <w:b/>
        <w:bCs/>
      </w:rPr>
      <w:tblPr/>
      <w:tcPr>
        <w:tcBorders>
          <w:top w:val="single" w:sz="8" w:space="0" w:color="2DA2BF" w:themeColor="accent1"/>
          <w:left w:val="nil"/>
          <w:bottom w:val="single" w:sz="8" w:space="0" w:color="2DA2BF" w:themeColor="accent1"/>
          <w:right w:val="nil"/>
          <w:insideH w:val="nil"/>
          <w:insideV w:val="nil"/>
        </w:tcBorders>
      </w:tcPr>
    </w:tblStylePr>
    <w:tblStylePr w:type="lastRow">
      <w:pPr>
        <w:spacing w:before="0" w:after="0" w:line="240" w:lineRule="auto"/>
      </w:pPr>
      <w:rPr>
        <w:b/>
        <w:bCs/>
      </w:rPr>
      <w:tblPr/>
      <w:tcPr>
        <w:tcBorders>
          <w:top w:val="single" w:sz="8" w:space="0" w:color="2DA2BF" w:themeColor="accent1"/>
          <w:left w:val="nil"/>
          <w:bottom w:val="single" w:sz="8" w:space="0" w:color="2DA2BF"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7E9F2" w:themeFill="accent1" w:themeFillTint="3F"/>
      </w:tcPr>
    </w:tblStylePr>
    <w:tblStylePr w:type="band1Horz">
      <w:tblPr/>
      <w:tcPr>
        <w:tcBorders>
          <w:left w:val="nil"/>
          <w:right w:val="nil"/>
          <w:insideH w:val="nil"/>
          <w:insideV w:val="nil"/>
        </w:tcBorders>
        <w:shd w:val="clear" w:color="auto" w:fill="C7E9F2" w:themeFill="accent1" w:themeFillTint="3F"/>
      </w:tcPr>
    </w:tblStylePr>
  </w:style>
  <w:style w:type="table" w:styleId="LightShading-Accent2">
    <w:name w:val="Light Shading Accent 2"/>
    <w:basedOn w:val="TableNormal"/>
    <w:uiPriority w:val="60"/>
    <w:rsid w:val="00FC693F"/>
    <w:pPr>
      <w:spacing w:after="0" w:line="240" w:lineRule="auto"/>
    </w:pPr>
    <w:rPr>
      <w:color w:val="A3171D" w:themeColor="accent2" w:themeShade="BF"/>
    </w:rPr>
    <w:tblPr>
      <w:tblStyleRowBandSize w:val="1"/>
      <w:tblStyleColBandSize w:val="1"/>
      <w:tblBorders>
        <w:top w:val="single" w:sz="8" w:space="0" w:color="DA1F28" w:themeColor="accent2"/>
        <w:bottom w:val="single" w:sz="8" w:space="0" w:color="DA1F28" w:themeColor="accent2"/>
      </w:tblBorders>
    </w:tblPr>
    <w:tblStylePr w:type="firstRow">
      <w:pPr>
        <w:spacing w:before="0" w:after="0" w:line="240" w:lineRule="auto"/>
      </w:pPr>
      <w:rPr>
        <w:b/>
        <w:bCs/>
      </w:rPr>
      <w:tblPr/>
      <w:tcPr>
        <w:tcBorders>
          <w:top w:val="single" w:sz="8" w:space="0" w:color="DA1F28" w:themeColor="accent2"/>
          <w:left w:val="nil"/>
          <w:bottom w:val="single" w:sz="8" w:space="0" w:color="DA1F28" w:themeColor="accent2"/>
          <w:right w:val="nil"/>
          <w:insideH w:val="nil"/>
          <w:insideV w:val="nil"/>
        </w:tcBorders>
      </w:tcPr>
    </w:tblStylePr>
    <w:tblStylePr w:type="lastRow">
      <w:pPr>
        <w:spacing w:before="0" w:after="0" w:line="240" w:lineRule="auto"/>
      </w:pPr>
      <w:rPr>
        <w:b/>
        <w:bCs/>
      </w:rPr>
      <w:tblPr/>
      <w:tcPr>
        <w:tcBorders>
          <w:top w:val="single" w:sz="8" w:space="0" w:color="DA1F28" w:themeColor="accent2"/>
          <w:left w:val="nil"/>
          <w:bottom w:val="single" w:sz="8" w:space="0" w:color="DA1F2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C6C8" w:themeFill="accent2" w:themeFillTint="3F"/>
      </w:tcPr>
    </w:tblStylePr>
    <w:tblStylePr w:type="band1Horz">
      <w:tblPr/>
      <w:tcPr>
        <w:tcBorders>
          <w:left w:val="nil"/>
          <w:right w:val="nil"/>
          <w:insideH w:val="nil"/>
          <w:insideV w:val="nil"/>
        </w:tcBorders>
        <w:shd w:val="clear" w:color="auto" w:fill="F7C6C8" w:themeFill="accent2" w:themeFillTint="3F"/>
      </w:tcPr>
    </w:tblStylePr>
  </w:style>
  <w:style w:type="table" w:styleId="LightShading-Accent3">
    <w:name w:val="Light Shading Accent 3"/>
    <w:basedOn w:val="TableNormal"/>
    <w:uiPriority w:val="60"/>
    <w:rsid w:val="00FC693F"/>
    <w:pPr>
      <w:spacing w:after="0" w:line="240" w:lineRule="auto"/>
    </w:pPr>
    <w:rPr>
      <w:color w:val="B4490F" w:themeColor="accent3" w:themeShade="BF"/>
    </w:rPr>
    <w:tblPr>
      <w:tblStyleRowBandSize w:val="1"/>
      <w:tblStyleColBandSize w:val="1"/>
      <w:tblBorders>
        <w:top w:val="single" w:sz="8" w:space="0" w:color="EB641B" w:themeColor="accent3"/>
        <w:bottom w:val="single" w:sz="8" w:space="0" w:color="EB641B" w:themeColor="accent3"/>
      </w:tblBorders>
    </w:tblPr>
    <w:tblStylePr w:type="firstRow">
      <w:pPr>
        <w:spacing w:before="0" w:after="0" w:line="240" w:lineRule="auto"/>
      </w:pPr>
      <w:rPr>
        <w:b/>
        <w:bCs/>
      </w:rPr>
      <w:tblPr/>
      <w:tcPr>
        <w:tcBorders>
          <w:top w:val="single" w:sz="8" w:space="0" w:color="EB641B" w:themeColor="accent3"/>
          <w:left w:val="nil"/>
          <w:bottom w:val="single" w:sz="8" w:space="0" w:color="EB641B" w:themeColor="accent3"/>
          <w:right w:val="nil"/>
          <w:insideH w:val="nil"/>
          <w:insideV w:val="nil"/>
        </w:tcBorders>
      </w:tcPr>
    </w:tblStylePr>
    <w:tblStylePr w:type="lastRow">
      <w:pPr>
        <w:spacing w:before="0" w:after="0" w:line="240" w:lineRule="auto"/>
      </w:pPr>
      <w:rPr>
        <w:b/>
        <w:bCs/>
      </w:rPr>
      <w:tblPr/>
      <w:tcPr>
        <w:tcBorders>
          <w:top w:val="single" w:sz="8" w:space="0" w:color="EB641B" w:themeColor="accent3"/>
          <w:left w:val="nil"/>
          <w:bottom w:val="single" w:sz="8" w:space="0" w:color="EB641B"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8C6" w:themeFill="accent3" w:themeFillTint="3F"/>
      </w:tcPr>
    </w:tblStylePr>
    <w:tblStylePr w:type="band1Horz">
      <w:tblPr/>
      <w:tcPr>
        <w:tcBorders>
          <w:left w:val="nil"/>
          <w:right w:val="nil"/>
          <w:insideH w:val="nil"/>
          <w:insideV w:val="nil"/>
        </w:tcBorders>
        <w:shd w:val="clear" w:color="auto" w:fill="FAD8C6" w:themeFill="accent3" w:themeFillTint="3F"/>
      </w:tcPr>
    </w:tblStylePr>
  </w:style>
  <w:style w:type="table" w:styleId="LightShading-Accent4">
    <w:name w:val="Light Shading Accent 4"/>
    <w:basedOn w:val="TableNormal"/>
    <w:uiPriority w:val="60"/>
    <w:rsid w:val="00FC693F"/>
    <w:pPr>
      <w:spacing w:after="0" w:line="240" w:lineRule="auto"/>
    </w:pPr>
    <w:rPr>
      <w:color w:val="2A4975" w:themeColor="accent4" w:themeShade="BF"/>
    </w:rPr>
    <w:tblPr>
      <w:tblStyleRowBandSize w:val="1"/>
      <w:tblStyleColBandSize w:val="1"/>
      <w:tblBorders>
        <w:top w:val="single" w:sz="8" w:space="0" w:color="39639D" w:themeColor="accent4"/>
        <w:bottom w:val="single" w:sz="8" w:space="0" w:color="39639D" w:themeColor="accent4"/>
      </w:tblBorders>
    </w:tblPr>
    <w:tblStylePr w:type="firstRow">
      <w:pPr>
        <w:spacing w:before="0" w:after="0" w:line="240" w:lineRule="auto"/>
      </w:pPr>
      <w:rPr>
        <w:b/>
        <w:bCs/>
      </w:rPr>
      <w:tblPr/>
      <w:tcPr>
        <w:tcBorders>
          <w:top w:val="single" w:sz="8" w:space="0" w:color="39639D" w:themeColor="accent4"/>
          <w:left w:val="nil"/>
          <w:bottom w:val="single" w:sz="8" w:space="0" w:color="39639D" w:themeColor="accent4"/>
          <w:right w:val="nil"/>
          <w:insideH w:val="nil"/>
          <w:insideV w:val="nil"/>
        </w:tcBorders>
      </w:tcPr>
    </w:tblStylePr>
    <w:tblStylePr w:type="lastRow">
      <w:pPr>
        <w:spacing w:before="0" w:after="0" w:line="240" w:lineRule="auto"/>
      </w:pPr>
      <w:rPr>
        <w:b/>
        <w:bCs/>
      </w:rPr>
      <w:tblPr/>
      <w:tcPr>
        <w:tcBorders>
          <w:top w:val="single" w:sz="8" w:space="0" w:color="39639D" w:themeColor="accent4"/>
          <w:left w:val="nil"/>
          <w:bottom w:val="single" w:sz="8" w:space="0" w:color="39639D"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9D7EB" w:themeFill="accent4" w:themeFillTint="3F"/>
      </w:tcPr>
    </w:tblStylePr>
    <w:tblStylePr w:type="band1Horz">
      <w:tblPr/>
      <w:tcPr>
        <w:tcBorders>
          <w:left w:val="nil"/>
          <w:right w:val="nil"/>
          <w:insideH w:val="nil"/>
          <w:insideV w:val="nil"/>
        </w:tcBorders>
        <w:shd w:val="clear" w:color="auto" w:fill="C9D7EB" w:themeFill="accent4" w:themeFillTint="3F"/>
      </w:tcPr>
    </w:tblStylePr>
  </w:style>
  <w:style w:type="table" w:styleId="LightShading-Accent5">
    <w:name w:val="Light Shading Accent 5"/>
    <w:basedOn w:val="TableNormal"/>
    <w:uiPriority w:val="60"/>
    <w:rsid w:val="00FC693F"/>
    <w:pPr>
      <w:spacing w:after="0" w:line="240" w:lineRule="auto"/>
    </w:pPr>
    <w:rPr>
      <w:color w:val="353859" w:themeColor="accent5" w:themeShade="BF"/>
    </w:rPr>
    <w:tblPr>
      <w:tblStyleRowBandSize w:val="1"/>
      <w:tblStyleColBandSize w:val="1"/>
      <w:tblBorders>
        <w:top w:val="single" w:sz="8" w:space="0" w:color="474B78" w:themeColor="accent5"/>
        <w:bottom w:val="single" w:sz="8" w:space="0" w:color="474B78" w:themeColor="accent5"/>
      </w:tblBorders>
    </w:tblPr>
    <w:tblStylePr w:type="firstRow">
      <w:pPr>
        <w:spacing w:before="0" w:after="0" w:line="240" w:lineRule="auto"/>
      </w:pPr>
      <w:rPr>
        <w:b/>
        <w:bCs/>
      </w:rPr>
      <w:tblPr/>
      <w:tcPr>
        <w:tcBorders>
          <w:top w:val="single" w:sz="8" w:space="0" w:color="474B78" w:themeColor="accent5"/>
          <w:left w:val="nil"/>
          <w:bottom w:val="single" w:sz="8" w:space="0" w:color="474B78" w:themeColor="accent5"/>
          <w:right w:val="nil"/>
          <w:insideH w:val="nil"/>
          <w:insideV w:val="nil"/>
        </w:tcBorders>
      </w:tcPr>
    </w:tblStylePr>
    <w:tblStylePr w:type="lastRow">
      <w:pPr>
        <w:spacing w:before="0" w:after="0" w:line="240" w:lineRule="auto"/>
      </w:pPr>
      <w:rPr>
        <w:b/>
        <w:bCs/>
      </w:rPr>
      <w:tblPr/>
      <w:tcPr>
        <w:tcBorders>
          <w:top w:val="single" w:sz="8" w:space="0" w:color="474B78" w:themeColor="accent5"/>
          <w:left w:val="nil"/>
          <w:bottom w:val="single" w:sz="8" w:space="0" w:color="474B78"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DCEE1" w:themeFill="accent5" w:themeFillTint="3F"/>
      </w:tcPr>
    </w:tblStylePr>
    <w:tblStylePr w:type="band1Horz">
      <w:tblPr/>
      <w:tcPr>
        <w:tcBorders>
          <w:left w:val="nil"/>
          <w:right w:val="nil"/>
          <w:insideH w:val="nil"/>
          <w:insideV w:val="nil"/>
        </w:tcBorders>
        <w:shd w:val="clear" w:color="auto" w:fill="CDCEE1" w:themeFill="accent5" w:themeFillTint="3F"/>
      </w:tcPr>
    </w:tblStylePr>
  </w:style>
  <w:style w:type="table" w:styleId="LightShading-Accent6">
    <w:name w:val="Light Shading Accent 6"/>
    <w:basedOn w:val="TableNormal"/>
    <w:uiPriority w:val="60"/>
    <w:rsid w:val="00FC693F"/>
    <w:pPr>
      <w:spacing w:after="0" w:line="240" w:lineRule="auto"/>
    </w:pPr>
    <w:rPr>
      <w:color w:val="5D2D37" w:themeColor="accent6" w:themeShade="BF"/>
    </w:rPr>
    <w:tblPr>
      <w:tblStyleRowBandSize w:val="1"/>
      <w:tblStyleColBandSize w:val="1"/>
      <w:tblBorders>
        <w:top w:val="single" w:sz="8" w:space="0" w:color="7D3C4A" w:themeColor="accent6"/>
        <w:bottom w:val="single" w:sz="8" w:space="0" w:color="7D3C4A" w:themeColor="accent6"/>
      </w:tblBorders>
    </w:tblPr>
    <w:tblStylePr w:type="firstRow">
      <w:pPr>
        <w:spacing w:before="0" w:after="0" w:line="240" w:lineRule="auto"/>
      </w:pPr>
      <w:rPr>
        <w:b/>
        <w:bCs/>
      </w:rPr>
      <w:tblPr/>
      <w:tcPr>
        <w:tcBorders>
          <w:top w:val="single" w:sz="8" w:space="0" w:color="7D3C4A" w:themeColor="accent6"/>
          <w:left w:val="nil"/>
          <w:bottom w:val="single" w:sz="8" w:space="0" w:color="7D3C4A" w:themeColor="accent6"/>
          <w:right w:val="nil"/>
          <w:insideH w:val="nil"/>
          <w:insideV w:val="nil"/>
        </w:tcBorders>
      </w:tcPr>
    </w:tblStylePr>
    <w:tblStylePr w:type="lastRow">
      <w:pPr>
        <w:spacing w:before="0" w:after="0" w:line="240" w:lineRule="auto"/>
      </w:pPr>
      <w:rPr>
        <w:b/>
        <w:bCs/>
      </w:rPr>
      <w:tblPr/>
      <w:tcPr>
        <w:tcBorders>
          <w:top w:val="single" w:sz="8" w:space="0" w:color="7D3C4A" w:themeColor="accent6"/>
          <w:left w:val="nil"/>
          <w:bottom w:val="single" w:sz="8" w:space="0" w:color="7D3C4A"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C8CE" w:themeFill="accent6" w:themeFillTint="3F"/>
      </w:tcPr>
    </w:tblStylePr>
    <w:tblStylePr w:type="band1Horz">
      <w:tblPr/>
      <w:tcPr>
        <w:tcBorders>
          <w:left w:val="nil"/>
          <w:right w:val="nil"/>
          <w:insideH w:val="nil"/>
          <w:insideV w:val="nil"/>
        </w:tcBorders>
        <w:shd w:val="clear" w:color="auto" w:fill="E5C8CE"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2DA2BF" w:themeColor="accent1"/>
        <w:left w:val="single" w:sz="8" w:space="0" w:color="2DA2BF" w:themeColor="accent1"/>
        <w:bottom w:val="single" w:sz="8" w:space="0" w:color="2DA2BF" w:themeColor="accent1"/>
        <w:right w:val="single" w:sz="8" w:space="0" w:color="2DA2BF" w:themeColor="accent1"/>
      </w:tblBorders>
    </w:tblPr>
    <w:tblStylePr w:type="firstRow">
      <w:pPr>
        <w:spacing w:before="0" w:after="0" w:line="240" w:lineRule="auto"/>
      </w:pPr>
      <w:rPr>
        <w:b/>
        <w:bCs/>
        <w:color w:val="FFFFFF" w:themeColor="background1"/>
      </w:rPr>
      <w:tblPr/>
      <w:tcPr>
        <w:shd w:val="clear" w:color="auto" w:fill="2DA2BF" w:themeFill="accent1"/>
      </w:tcPr>
    </w:tblStylePr>
    <w:tblStylePr w:type="lastRow">
      <w:pPr>
        <w:spacing w:before="0" w:after="0" w:line="240" w:lineRule="auto"/>
      </w:pPr>
      <w:rPr>
        <w:b/>
        <w:bCs/>
      </w:rPr>
      <w:tblPr/>
      <w:tcPr>
        <w:tcBorders>
          <w:top w:val="double" w:sz="6" w:space="0" w:color="2DA2BF" w:themeColor="accent1"/>
          <w:left w:val="single" w:sz="8" w:space="0" w:color="2DA2BF" w:themeColor="accent1"/>
          <w:bottom w:val="single" w:sz="8" w:space="0" w:color="2DA2BF" w:themeColor="accent1"/>
          <w:right w:val="single" w:sz="8" w:space="0" w:color="2DA2BF" w:themeColor="accent1"/>
        </w:tcBorders>
      </w:tcPr>
    </w:tblStylePr>
    <w:tblStylePr w:type="firstCol">
      <w:rPr>
        <w:b/>
        <w:bCs/>
      </w:rPr>
    </w:tblStylePr>
    <w:tblStylePr w:type="lastCol">
      <w:rPr>
        <w:b/>
        <w:bCs/>
      </w:rPr>
    </w:tblStylePr>
    <w:tblStylePr w:type="band1Vert">
      <w:tblPr/>
      <w:tcPr>
        <w:tcBorders>
          <w:top w:val="single" w:sz="8" w:space="0" w:color="2DA2BF" w:themeColor="accent1"/>
          <w:left w:val="single" w:sz="8" w:space="0" w:color="2DA2BF" w:themeColor="accent1"/>
          <w:bottom w:val="single" w:sz="8" w:space="0" w:color="2DA2BF" w:themeColor="accent1"/>
          <w:right w:val="single" w:sz="8" w:space="0" w:color="2DA2BF" w:themeColor="accent1"/>
        </w:tcBorders>
      </w:tcPr>
    </w:tblStylePr>
    <w:tblStylePr w:type="band1Horz">
      <w:tblPr/>
      <w:tcPr>
        <w:tcBorders>
          <w:top w:val="single" w:sz="8" w:space="0" w:color="2DA2BF" w:themeColor="accent1"/>
          <w:left w:val="single" w:sz="8" w:space="0" w:color="2DA2BF" w:themeColor="accent1"/>
          <w:bottom w:val="single" w:sz="8" w:space="0" w:color="2DA2BF" w:themeColor="accent1"/>
          <w:right w:val="single" w:sz="8" w:space="0" w:color="2DA2BF"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DA1F28" w:themeColor="accent2"/>
        <w:left w:val="single" w:sz="8" w:space="0" w:color="DA1F28" w:themeColor="accent2"/>
        <w:bottom w:val="single" w:sz="8" w:space="0" w:color="DA1F28" w:themeColor="accent2"/>
        <w:right w:val="single" w:sz="8" w:space="0" w:color="DA1F28" w:themeColor="accent2"/>
      </w:tblBorders>
    </w:tblPr>
    <w:tblStylePr w:type="firstRow">
      <w:pPr>
        <w:spacing w:before="0" w:after="0" w:line="240" w:lineRule="auto"/>
      </w:pPr>
      <w:rPr>
        <w:b/>
        <w:bCs/>
        <w:color w:val="FFFFFF" w:themeColor="background1"/>
      </w:rPr>
      <w:tblPr/>
      <w:tcPr>
        <w:shd w:val="clear" w:color="auto" w:fill="DA1F28" w:themeFill="accent2"/>
      </w:tcPr>
    </w:tblStylePr>
    <w:tblStylePr w:type="lastRow">
      <w:pPr>
        <w:spacing w:before="0" w:after="0" w:line="240" w:lineRule="auto"/>
      </w:pPr>
      <w:rPr>
        <w:b/>
        <w:bCs/>
      </w:rPr>
      <w:tblPr/>
      <w:tcPr>
        <w:tcBorders>
          <w:top w:val="double" w:sz="6" w:space="0" w:color="DA1F28" w:themeColor="accent2"/>
          <w:left w:val="single" w:sz="8" w:space="0" w:color="DA1F28" w:themeColor="accent2"/>
          <w:bottom w:val="single" w:sz="8" w:space="0" w:color="DA1F28" w:themeColor="accent2"/>
          <w:right w:val="single" w:sz="8" w:space="0" w:color="DA1F28" w:themeColor="accent2"/>
        </w:tcBorders>
      </w:tcPr>
    </w:tblStylePr>
    <w:tblStylePr w:type="firstCol">
      <w:rPr>
        <w:b/>
        <w:bCs/>
      </w:rPr>
    </w:tblStylePr>
    <w:tblStylePr w:type="lastCol">
      <w:rPr>
        <w:b/>
        <w:bCs/>
      </w:rPr>
    </w:tblStylePr>
    <w:tblStylePr w:type="band1Vert">
      <w:tblPr/>
      <w:tcPr>
        <w:tcBorders>
          <w:top w:val="single" w:sz="8" w:space="0" w:color="DA1F28" w:themeColor="accent2"/>
          <w:left w:val="single" w:sz="8" w:space="0" w:color="DA1F28" w:themeColor="accent2"/>
          <w:bottom w:val="single" w:sz="8" w:space="0" w:color="DA1F28" w:themeColor="accent2"/>
          <w:right w:val="single" w:sz="8" w:space="0" w:color="DA1F28" w:themeColor="accent2"/>
        </w:tcBorders>
      </w:tcPr>
    </w:tblStylePr>
    <w:tblStylePr w:type="band1Horz">
      <w:tblPr/>
      <w:tcPr>
        <w:tcBorders>
          <w:top w:val="single" w:sz="8" w:space="0" w:color="DA1F28" w:themeColor="accent2"/>
          <w:left w:val="single" w:sz="8" w:space="0" w:color="DA1F28" w:themeColor="accent2"/>
          <w:bottom w:val="single" w:sz="8" w:space="0" w:color="DA1F28" w:themeColor="accent2"/>
          <w:right w:val="single" w:sz="8" w:space="0" w:color="DA1F28"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EB641B" w:themeColor="accent3"/>
        <w:left w:val="single" w:sz="8" w:space="0" w:color="EB641B" w:themeColor="accent3"/>
        <w:bottom w:val="single" w:sz="8" w:space="0" w:color="EB641B" w:themeColor="accent3"/>
        <w:right w:val="single" w:sz="8" w:space="0" w:color="EB641B" w:themeColor="accent3"/>
      </w:tblBorders>
    </w:tblPr>
    <w:tblStylePr w:type="firstRow">
      <w:pPr>
        <w:spacing w:before="0" w:after="0" w:line="240" w:lineRule="auto"/>
      </w:pPr>
      <w:rPr>
        <w:b/>
        <w:bCs/>
        <w:color w:val="FFFFFF" w:themeColor="background1"/>
      </w:rPr>
      <w:tblPr/>
      <w:tcPr>
        <w:shd w:val="clear" w:color="auto" w:fill="EB641B" w:themeFill="accent3"/>
      </w:tcPr>
    </w:tblStylePr>
    <w:tblStylePr w:type="lastRow">
      <w:pPr>
        <w:spacing w:before="0" w:after="0" w:line="240" w:lineRule="auto"/>
      </w:pPr>
      <w:rPr>
        <w:b/>
        <w:bCs/>
      </w:rPr>
      <w:tblPr/>
      <w:tcPr>
        <w:tcBorders>
          <w:top w:val="double" w:sz="6" w:space="0" w:color="EB641B" w:themeColor="accent3"/>
          <w:left w:val="single" w:sz="8" w:space="0" w:color="EB641B" w:themeColor="accent3"/>
          <w:bottom w:val="single" w:sz="8" w:space="0" w:color="EB641B" w:themeColor="accent3"/>
          <w:right w:val="single" w:sz="8" w:space="0" w:color="EB641B" w:themeColor="accent3"/>
        </w:tcBorders>
      </w:tcPr>
    </w:tblStylePr>
    <w:tblStylePr w:type="firstCol">
      <w:rPr>
        <w:b/>
        <w:bCs/>
      </w:rPr>
    </w:tblStylePr>
    <w:tblStylePr w:type="lastCol">
      <w:rPr>
        <w:b/>
        <w:bCs/>
      </w:rPr>
    </w:tblStylePr>
    <w:tblStylePr w:type="band1Vert">
      <w:tblPr/>
      <w:tcPr>
        <w:tcBorders>
          <w:top w:val="single" w:sz="8" w:space="0" w:color="EB641B" w:themeColor="accent3"/>
          <w:left w:val="single" w:sz="8" w:space="0" w:color="EB641B" w:themeColor="accent3"/>
          <w:bottom w:val="single" w:sz="8" w:space="0" w:color="EB641B" w:themeColor="accent3"/>
          <w:right w:val="single" w:sz="8" w:space="0" w:color="EB641B" w:themeColor="accent3"/>
        </w:tcBorders>
      </w:tcPr>
    </w:tblStylePr>
    <w:tblStylePr w:type="band1Horz">
      <w:tblPr/>
      <w:tcPr>
        <w:tcBorders>
          <w:top w:val="single" w:sz="8" w:space="0" w:color="EB641B" w:themeColor="accent3"/>
          <w:left w:val="single" w:sz="8" w:space="0" w:color="EB641B" w:themeColor="accent3"/>
          <w:bottom w:val="single" w:sz="8" w:space="0" w:color="EB641B" w:themeColor="accent3"/>
          <w:right w:val="single" w:sz="8" w:space="0" w:color="EB641B"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39639D" w:themeColor="accent4"/>
        <w:left w:val="single" w:sz="8" w:space="0" w:color="39639D" w:themeColor="accent4"/>
        <w:bottom w:val="single" w:sz="8" w:space="0" w:color="39639D" w:themeColor="accent4"/>
        <w:right w:val="single" w:sz="8" w:space="0" w:color="39639D" w:themeColor="accent4"/>
      </w:tblBorders>
    </w:tblPr>
    <w:tblStylePr w:type="firstRow">
      <w:pPr>
        <w:spacing w:before="0" w:after="0" w:line="240" w:lineRule="auto"/>
      </w:pPr>
      <w:rPr>
        <w:b/>
        <w:bCs/>
        <w:color w:val="FFFFFF" w:themeColor="background1"/>
      </w:rPr>
      <w:tblPr/>
      <w:tcPr>
        <w:shd w:val="clear" w:color="auto" w:fill="39639D" w:themeFill="accent4"/>
      </w:tcPr>
    </w:tblStylePr>
    <w:tblStylePr w:type="lastRow">
      <w:pPr>
        <w:spacing w:before="0" w:after="0" w:line="240" w:lineRule="auto"/>
      </w:pPr>
      <w:rPr>
        <w:b/>
        <w:bCs/>
      </w:rPr>
      <w:tblPr/>
      <w:tcPr>
        <w:tcBorders>
          <w:top w:val="double" w:sz="6" w:space="0" w:color="39639D" w:themeColor="accent4"/>
          <w:left w:val="single" w:sz="8" w:space="0" w:color="39639D" w:themeColor="accent4"/>
          <w:bottom w:val="single" w:sz="8" w:space="0" w:color="39639D" w:themeColor="accent4"/>
          <w:right w:val="single" w:sz="8" w:space="0" w:color="39639D" w:themeColor="accent4"/>
        </w:tcBorders>
      </w:tcPr>
    </w:tblStylePr>
    <w:tblStylePr w:type="firstCol">
      <w:rPr>
        <w:b/>
        <w:bCs/>
      </w:rPr>
    </w:tblStylePr>
    <w:tblStylePr w:type="lastCol">
      <w:rPr>
        <w:b/>
        <w:bCs/>
      </w:rPr>
    </w:tblStylePr>
    <w:tblStylePr w:type="band1Vert">
      <w:tblPr/>
      <w:tcPr>
        <w:tcBorders>
          <w:top w:val="single" w:sz="8" w:space="0" w:color="39639D" w:themeColor="accent4"/>
          <w:left w:val="single" w:sz="8" w:space="0" w:color="39639D" w:themeColor="accent4"/>
          <w:bottom w:val="single" w:sz="8" w:space="0" w:color="39639D" w:themeColor="accent4"/>
          <w:right w:val="single" w:sz="8" w:space="0" w:color="39639D" w:themeColor="accent4"/>
        </w:tcBorders>
      </w:tcPr>
    </w:tblStylePr>
    <w:tblStylePr w:type="band1Horz">
      <w:tblPr/>
      <w:tcPr>
        <w:tcBorders>
          <w:top w:val="single" w:sz="8" w:space="0" w:color="39639D" w:themeColor="accent4"/>
          <w:left w:val="single" w:sz="8" w:space="0" w:color="39639D" w:themeColor="accent4"/>
          <w:bottom w:val="single" w:sz="8" w:space="0" w:color="39639D" w:themeColor="accent4"/>
          <w:right w:val="single" w:sz="8" w:space="0" w:color="39639D"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74B78" w:themeColor="accent5"/>
        <w:left w:val="single" w:sz="8" w:space="0" w:color="474B78" w:themeColor="accent5"/>
        <w:bottom w:val="single" w:sz="8" w:space="0" w:color="474B78" w:themeColor="accent5"/>
        <w:right w:val="single" w:sz="8" w:space="0" w:color="474B78" w:themeColor="accent5"/>
      </w:tblBorders>
    </w:tblPr>
    <w:tblStylePr w:type="firstRow">
      <w:pPr>
        <w:spacing w:before="0" w:after="0" w:line="240" w:lineRule="auto"/>
      </w:pPr>
      <w:rPr>
        <w:b/>
        <w:bCs/>
        <w:color w:val="FFFFFF" w:themeColor="background1"/>
      </w:rPr>
      <w:tblPr/>
      <w:tcPr>
        <w:shd w:val="clear" w:color="auto" w:fill="474B78" w:themeFill="accent5"/>
      </w:tcPr>
    </w:tblStylePr>
    <w:tblStylePr w:type="lastRow">
      <w:pPr>
        <w:spacing w:before="0" w:after="0" w:line="240" w:lineRule="auto"/>
      </w:pPr>
      <w:rPr>
        <w:b/>
        <w:bCs/>
      </w:rPr>
      <w:tblPr/>
      <w:tcPr>
        <w:tcBorders>
          <w:top w:val="double" w:sz="6" w:space="0" w:color="474B78" w:themeColor="accent5"/>
          <w:left w:val="single" w:sz="8" w:space="0" w:color="474B78" w:themeColor="accent5"/>
          <w:bottom w:val="single" w:sz="8" w:space="0" w:color="474B78" w:themeColor="accent5"/>
          <w:right w:val="single" w:sz="8" w:space="0" w:color="474B78" w:themeColor="accent5"/>
        </w:tcBorders>
      </w:tcPr>
    </w:tblStylePr>
    <w:tblStylePr w:type="firstCol">
      <w:rPr>
        <w:b/>
        <w:bCs/>
      </w:rPr>
    </w:tblStylePr>
    <w:tblStylePr w:type="lastCol">
      <w:rPr>
        <w:b/>
        <w:bCs/>
      </w:rPr>
    </w:tblStylePr>
    <w:tblStylePr w:type="band1Vert">
      <w:tblPr/>
      <w:tcPr>
        <w:tcBorders>
          <w:top w:val="single" w:sz="8" w:space="0" w:color="474B78" w:themeColor="accent5"/>
          <w:left w:val="single" w:sz="8" w:space="0" w:color="474B78" w:themeColor="accent5"/>
          <w:bottom w:val="single" w:sz="8" w:space="0" w:color="474B78" w:themeColor="accent5"/>
          <w:right w:val="single" w:sz="8" w:space="0" w:color="474B78" w:themeColor="accent5"/>
        </w:tcBorders>
      </w:tcPr>
    </w:tblStylePr>
    <w:tblStylePr w:type="band1Horz">
      <w:tblPr/>
      <w:tcPr>
        <w:tcBorders>
          <w:top w:val="single" w:sz="8" w:space="0" w:color="474B78" w:themeColor="accent5"/>
          <w:left w:val="single" w:sz="8" w:space="0" w:color="474B78" w:themeColor="accent5"/>
          <w:bottom w:val="single" w:sz="8" w:space="0" w:color="474B78" w:themeColor="accent5"/>
          <w:right w:val="single" w:sz="8" w:space="0" w:color="474B78"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7D3C4A" w:themeColor="accent6"/>
        <w:left w:val="single" w:sz="8" w:space="0" w:color="7D3C4A" w:themeColor="accent6"/>
        <w:bottom w:val="single" w:sz="8" w:space="0" w:color="7D3C4A" w:themeColor="accent6"/>
        <w:right w:val="single" w:sz="8" w:space="0" w:color="7D3C4A" w:themeColor="accent6"/>
      </w:tblBorders>
    </w:tblPr>
    <w:tblStylePr w:type="firstRow">
      <w:pPr>
        <w:spacing w:before="0" w:after="0" w:line="240" w:lineRule="auto"/>
      </w:pPr>
      <w:rPr>
        <w:b/>
        <w:bCs/>
        <w:color w:val="FFFFFF" w:themeColor="background1"/>
      </w:rPr>
      <w:tblPr/>
      <w:tcPr>
        <w:shd w:val="clear" w:color="auto" w:fill="7D3C4A" w:themeFill="accent6"/>
      </w:tcPr>
    </w:tblStylePr>
    <w:tblStylePr w:type="lastRow">
      <w:pPr>
        <w:spacing w:before="0" w:after="0" w:line="240" w:lineRule="auto"/>
      </w:pPr>
      <w:rPr>
        <w:b/>
        <w:bCs/>
      </w:rPr>
      <w:tblPr/>
      <w:tcPr>
        <w:tcBorders>
          <w:top w:val="double" w:sz="6" w:space="0" w:color="7D3C4A" w:themeColor="accent6"/>
          <w:left w:val="single" w:sz="8" w:space="0" w:color="7D3C4A" w:themeColor="accent6"/>
          <w:bottom w:val="single" w:sz="8" w:space="0" w:color="7D3C4A" w:themeColor="accent6"/>
          <w:right w:val="single" w:sz="8" w:space="0" w:color="7D3C4A" w:themeColor="accent6"/>
        </w:tcBorders>
      </w:tcPr>
    </w:tblStylePr>
    <w:tblStylePr w:type="firstCol">
      <w:rPr>
        <w:b/>
        <w:bCs/>
      </w:rPr>
    </w:tblStylePr>
    <w:tblStylePr w:type="lastCol">
      <w:rPr>
        <w:b/>
        <w:bCs/>
      </w:rPr>
    </w:tblStylePr>
    <w:tblStylePr w:type="band1Vert">
      <w:tblPr/>
      <w:tcPr>
        <w:tcBorders>
          <w:top w:val="single" w:sz="8" w:space="0" w:color="7D3C4A" w:themeColor="accent6"/>
          <w:left w:val="single" w:sz="8" w:space="0" w:color="7D3C4A" w:themeColor="accent6"/>
          <w:bottom w:val="single" w:sz="8" w:space="0" w:color="7D3C4A" w:themeColor="accent6"/>
          <w:right w:val="single" w:sz="8" w:space="0" w:color="7D3C4A" w:themeColor="accent6"/>
        </w:tcBorders>
      </w:tcPr>
    </w:tblStylePr>
    <w:tblStylePr w:type="band1Horz">
      <w:tblPr/>
      <w:tcPr>
        <w:tcBorders>
          <w:top w:val="single" w:sz="8" w:space="0" w:color="7D3C4A" w:themeColor="accent6"/>
          <w:left w:val="single" w:sz="8" w:space="0" w:color="7D3C4A" w:themeColor="accent6"/>
          <w:bottom w:val="single" w:sz="8" w:space="0" w:color="7D3C4A" w:themeColor="accent6"/>
          <w:right w:val="single" w:sz="8" w:space="0" w:color="7D3C4A"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2DA2BF" w:themeColor="accent1"/>
        <w:left w:val="single" w:sz="8" w:space="0" w:color="2DA2BF" w:themeColor="accent1"/>
        <w:bottom w:val="single" w:sz="8" w:space="0" w:color="2DA2BF" w:themeColor="accent1"/>
        <w:right w:val="single" w:sz="8" w:space="0" w:color="2DA2BF" w:themeColor="accent1"/>
        <w:insideH w:val="single" w:sz="8" w:space="0" w:color="2DA2BF" w:themeColor="accent1"/>
        <w:insideV w:val="single" w:sz="8" w:space="0" w:color="2DA2BF"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DA2BF" w:themeColor="accent1"/>
          <w:left w:val="single" w:sz="8" w:space="0" w:color="2DA2BF" w:themeColor="accent1"/>
          <w:bottom w:val="single" w:sz="18" w:space="0" w:color="2DA2BF" w:themeColor="accent1"/>
          <w:right w:val="single" w:sz="8" w:space="0" w:color="2DA2BF" w:themeColor="accent1"/>
          <w:insideH w:val="nil"/>
          <w:insideV w:val="single" w:sz="8" w:space="0" w:color="2DA2BF"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DA2BF" w:themeColor="accent1"/>
          <w:left w:val="single" w:sz="8" w:space="0" w:color="2DA2BF" w:themeColor="accent1"/>
          <w:bottom w:val="single" w:sz="8" w:space="0" w:color="2DA2BF" w:themeColor="accent1"/>
          <w:right w:val="single" w:sz="8" w:space="0" w:color="2DA2BF" w:themeColor="accent1"/>
          <w:insideH w:val="nil"/>
          <w:insideV w:val="single" w:sz="8" w:space="0" w:color="2DA2BF"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DA2BF" w:themeColor="accent1"/>
          <w:left w:val="single" w:sz="8" w:space="0" w:color="2DA2BF" w:themeColor="accent1"/>
          <w:bottom w:val="single" w:sz="8" w:space="0" w:color="2DA2BF" w:themeColor="accent1"/>
          <w:right w:val="single" w:sz="8" w:space="0" w:color="2DA2BF" w:themeColor="accent1"/>
        </w:tcBorders>
      </w:tcPr>
    </w:tblStylePr>
    <w:tblStylePr w:type="band1Vert">
      <w:tblPr/>
      <w:tcPr>
        <w:tcBorders>
          <w:top w:val="single" w:sz="8" w:space="0" w:color="2DA2BF" w:themeColor="accent1"/>
          <w:left w:val="single" w:sz="8" w:space="0" w:color="2DA2BF" w:themeColor="accent1"/>
          <w:bottom w:val="single" w:sz="8" w:space="0" w:color="2DA2BF" w:themeColor="accent1"/>
          <w:right w:val="single" w:sz="8" w:space="0" w:color="2DA2BF" w:themeColor="accent1"/>
        </w:tcBorders>
        <w:shd w:val="clear" w:color="auto" w:fill="C7E9F2" w:themeFill="accent1" w:themeFillTint="3F"/>
      </w:tcPr>
    </w:tblStylePr>
    <w:tblStylePr w:type="band1Horz">
      <w:tblPr/>
      <w:tcPr>
        <w:tcBorders>
          <w:top w:val="single" w:sz="8" w:space="0" w:color="2DA2BF" w:themeColor="accent1"/>
          <w:left w:val="single" w:sz="8" w:space="0" w:color="2DA2BF" w:themeColor="accent1"/>
          <w:bottom w:val="single" w:sz="8" w:space="0" w:color="2DA2BF" w:themeColor="accent1"/>
          <w:right w:val="single" w:sz="8" w:space="0" w:color="2DA2BF" w:themeColor="accent1"/>
          <w:insideV w:val="single" w:sz="8" w:space="0" w:color="2DA2BF" w:themeColor="accent1"/>
        </w:tcBorders>
        <w:shd w:val="clear" w:color="auto" w:fill="C7E9F2" w:themeFill="accent1" w:themeFillTint="3F"/>
      </w:tcPr>
    </w:tblStylePr>
    <w:tblStylePr w:type="band2Horz">
      <w:tblPr/>
      <w:tcPr>
        <w:tcBorders>
          <w:top w:val="single" w:sz="8" w:space="0" w:color="2DA2BF" w:themeColor="accent1"/>
          <w:left w:val="single" w:sz="8" w:space="0" w:color="2DA2BF" w:themeColor="accent1"/>
          <w:bottom w:val="single" w:sz="8" w:space="0" w:color="2DA2BF" w:themeColor="accent1"/>
          <w:right w:val="single" w:sz="8" w:space="0" w:color="2DA2BF" w:themeColor="accent1"/>
          <w:insideV w:val="single" w:sz="8" w:space="0" w:color="2DA2BF"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DA1F28" w:themeColor="accent2"/>
        <w:left w:val="single" w:sz="8" w:space="0" w:color="DA1F28" w:themeColor="accent2"/>
        <w:bottom w:val="single" w:sz="8" w:space="0" w:color="DA1F28" w:themeColor="accent2"/>
        <w:right w:val="single" w:sz="8" w:space="0" w:color="DA1F28" w:themeColor="accent2"/>
        <w:insideH w:val="single" w:sz="8" w:space="0" w:color="DA1F28" w:themeColor="accent2"/>
        <w:insideV w:val="single" w:sz="8" w:space="0" w:color="DA1F2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A1F28" w:themeColor="accent2"/>
          <w:left w:val="single" w:sz="8" w:space="0" w:color="DA1F28" w:themeColor="accent2"/>
          <w:bottom w:val="single" w:sz="18" w:space="0" w:color="DA1F28" w:themeColor="accent2"/>
          <w:right w:val="single" w:sz="8" w:space="0" w:color="DA1F28" w:themeColor="accent2"/>
          <w:insideH w:val="nil"/>
          <w:insideV w:val="single" w:sz="8" w:space="0" w:color="DA1F2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A1F28" w:themeColor="accent2"/>
          <w:left w:val="single" w:sz="8" w:space="0" w:color="DA1F28" w:themeColor="accent2"/>
          <w:bottom w:val="single" w:sz="8" w:space="0" w:color="DA1F28" w:themeColor="accent2"/>
          <w:right w:val="single" w:sz="8" w:space="0" w:color="DA1F28" w:themeColor="accent2"/>
          <w:insideH w:val="nil"/>
          <w:insideV w:val="single" w:sz="8" w:space="0" w:color="DA1F2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A1F28" w:themeColor="accent2"/>
          <w:left w:val="single" w:sz="8" w:space="0" w:color="DA1F28" w:themeColor="accent2"/>
          <w:bottom w:val="single" w:sz="8" w:space="0" w:color="DA1F28" w:themeColor="accent2"/>
          <w:right w:val="single" w:sz="8" w:space="0" w:color="DA1F28" w:themeColor="accent2"/>
        </w:tcBorders>
      </w:tcPr>
    </w:tblStylePr>
    <w:tblStylePr w:type="band1Vert">
      <w:tblPr/>
      <w:tcPr>
        <w:tcBorders>
          <w:top w:val="single" w:sz="8" w:space="0" w:color="DA1F28" w:themeColor="accent2"/>
          <w:left w:val="single" w:sz="8" w:space="0" w:color="DA1F28" w:themeColor="accent2"/>
          <w:bottom w:val="single" w:sz="8" w:space="0" w:color="DA1F28" w:themeColor="accent2"/>
          <w:right w:val="single" w:sz="8" w:space="0" w:color="DA1F28" w:themeColor="accent2"/>
        </w:tcBorders>
        <w:shd w:val="clear" w:color="auto" w:fill="F7C6C8" w:themeFill="accent2" w:themeFillTint="3F"/>
      </w:tcPr>
    </w:tblStylePr>
    <w:tblStylePr w:type="band1Horz">
      <w:tblPr/>
      <w:tcPr>
        <w:tcBorders>
          <w:top w:val="single" w:sz="8" w:space="0" w:color="DA1F28" w:themeColor="accent2"/>
          <w:left w:val="single" w:sz="8" w:space="0" w:color="DA1F28" w:themeColor="accent2"/>
          <w:bottom w:val="single" w:sz="8" w:space="0" w:color="DA1F28" w:themeColor="accent2"/>
          <w:right w:val="single" w:sz="8" w:space="0" w:color="DA1F28" w:themeColor="accent2"/>
          <w:insideV w:val="single" w:sz="8" w:space="0" w:color="DA1F28" w:themeColor="accent2"/>
        </w:tcBorders>
        <w:shd w:val="clear" w:color="auto" w:fill="F7C6C8" w:themeFill="accent2" w:themeFillTint="3F"/>
      </w:tcPr>
    </w:tblStylePr>
    <w:tblStylePr w:type="band2Horz">
      <w:tblPr/>
      <w:tcPr>
        <w:tcBorders>
          <w:top w:val="single" w:sz="8" w:space="0" w:color="DA1F28" w:themeColor="accent2"/>
          <w:left w:val="single" w:sz="8" w:space="0" w:color="DA1F28" w:themeColor="accent2"/>
          <w:bottom w:val="single" w:sz="8" w:space="0" w:color="DA1F28" w:themeColor="accent2"/>
          <w:right w:val="single" w:sz="8" w:space="0" w:color="DA1F28" w:themeColor="accent2"/>
          <w:insideV w:val="single" w:sz="8" w:space="0" w:color="DA1F28"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EB641B" w:themeColor="accent3"/>
        <w:left w:val="single" w:sz="8" w:space="0" w:color="EB641B" w:themeColor="accent3"/>
        <w:bottom w:val="single" w:sz="8" w:space="0" w:color="EB641B" w:themeColor="accent3"/>
        <w:right w:val="single" w:sz="8" w:space="0" w:color="EB641B" w:themeColor="accent3"/>
        <w:insideH w:val="single" w:sz="8" w:space="0" w:color="EB641B" w:themeColor="accent3"/>
        <w:insideV w:val="single" w:sz="8" w:space="0" w:color="EB641B"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B641B" w:themeColor="accent3"/>
          <w:left w:val="single" w:sz="8" w:space="0" w:color="EB641B" w:themeColor="accent3"/>
          <w:bottom w:val="single" w:sz="18" w:space="0" w:color="EB641B" w:themeColor="accent3"/>
          <w:right w:val="single" w:sz="8" w:space="0" w:color="EB641B" w:themeColor="accent3"/>
          <w:insideH w:val="nil"/>
          <w:insideV w:val="single" w:sz="8" w:space="0" w:color="EB641B"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B641B" w:themeColor="accent3"/>
          <w:left w:val="single" w:sz="8" w:space="0" w:color="EB641B" w:themeColor="accent3"/>
          <w:bottom w:val="single" w:sz="8" w:space="0" w:color="EB641B" w:themeColor="accent3"/>
          <w:right w:val="single" w:sz="8" w:space="0" w:color="EB641B" w:themeColor="accent3"/>
          <w:insideH w:val="nil"/>
          <w:insideV w:val="single" w:sz="8" w:space="0" w:color="EB641B"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B641B" w:themeColor="accent3"/>
          <w:left w:val="single" w:sz="8" w:space="0" w:color="EB641B" w:themeColor="accent3"/>
          <w:bottom w:val="single" w:sz="8" w:space="0" w:color="EB641B" w:themeColor="accent3"/>
          <w:right w:val="single" w:sz="8" w:space="0" w:color="EB641B" w:themeColor="accent3"/>
        </w:tcBorders>
      </w:tcPr>
    </w:tblStylePr>
    <w:tblStylePr w:type="band1Vert">
      <w:tblPr/>
      <w:tcPr>
        <w:tcBorders>
          <w:top w:val="single" w:sz="8" w:space="0" w:color="EB641B" w:themeColor="accent3"/>
          <w:left w:val="single" w:sz="8" w:space="0" w:color="EB641B" w:themeColor="accent3"/>
          <w:bottom w:val="single" w:sz="8" w:space="0" w:color="EB641B" w:themeColor="accent3"/>
          <w:right w:val="single" w:sz="8" w:space="0" w:color="EB641B" w:themeColor="accent3"/>
        </w:tcBorders>
        <w:shd w:val="clear" w:color="auto" w:fill="FAD8C6" w:themeFill="accent3" w:themeFillTint="3F"/>
      </w:tcPr>
    </w:tblStylePr>
    <w:tblStylePr w:type="band1Horz">
      <w:tblPr/>
      <w:tcPr>
        <w:tcBorders>
          <w:top w:val="single" w:sz="8" w:space="0" w:color="EB641B" w:themeColor="accent3"/>
          <w:left w:val="single" w:sz="8" w:space="0" w:color="EB641B" w:themeColor="accent3"/>
          <w:bottom w:val="single" w:sz="8" w:space="0" w:color="EB641B" w:themeColor="accent3"/>
          <w:right w:val="single" w:sz="8" w:space="0" w:color="EB641B" w:themeColor="accent3"/>
          <w:insideV w:val="single" w:sz="8" w:space="0" w:color="EB641B" w:themeColor="accent3"/>
        </w:tcBorders>
        <w:shd w:val="clear" w:color="auto" w:fill="FAD8C6" w:themeFill="accent3" w:themeFillTint="3F"/>
      </w:tcPr>
    </w:tblStylePr>
    <w:tblStylePr w:type="band2Horz">
      <w:tblPr/>
      <w:tcPr>
        <w:tcBorders>
          <w:top w:val="single" w:sz="8" w:space="0" w:color="EB641B" w:themeColor="accent3"/>
          <w:left w:val="single" w:sz="8" w:space="0" w:color="EB641B" w:themeColor="accent3"/>
          <w:bottom w:val="single" w:sz="8" w:space="0" w:color="EB641B" w:themeColor="accent3"/>
          <w:right w:val="single" w:sz="8" w:space="0" w:color="EB641B" w:themeColor="accent3"/>
          <w:insideV w:val="single" w:sz="8" w:space="0" w:color="EB641B"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39639D" w:themeColor="accent4"/>
        <w:left w:val="single" w:sz="8" w:space="0" w:color="39639D" w:themeColor="accent4"/>
        <w:bottom w:val="single" w:sz="8" w:space="0" w:color="39639D" w:themeColor="accent4"/>
        <w:right w:val="single" w:sz="8" w:space="0" w:color="39639D" w:themeColor="accent4"/>
        <w:insideH w:val="single" w:sz="8" w:space="0" w:color="39639D" w:themeColor="accent4"/>
        <w:insideV w:val="single" w:sz="8" w:space="0" w:color="39639D"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9639D" w:themeColor="accent4"/>
          <w:left w:val="single" w:sz="8" w:space="0" w:color="39639D" w:themeColor="accent4"/>
          <w:bottom w:val="single" w:sz="18" w:space="0" w:color="39639D" w:themeColor="accent4"/>
          <w:right w:val="single" w:sz="8" w:space="0" w:color="39639D" w:themeColor="accent4"/>
          <w:insideH w:val="nil"/>
          <w:insideV w:val="single" w:sz="8" w:space="0" w:color="39639D"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9639D" w:themeColor="accent4"/>
          <w:left w:val="single" w:sz="8" w:space="0" w:color="39639D" w:themeColor="accent4"/>
          <w:bottom w:val="single" w:sz="8" w:space="0" w:color="39639D" w:themeColor="accent4"/>
          <w:right w:val="single" w:sz="8" w:space="0" w:color="39639D" w:themeColor="accent4"/>
          <w:insideH w:val="nil"/>
          <w:insideV w:val="single" w:sz="8" w:space="0" w:color="39639D"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9639D" w:themeColor="accent4"/>
          <w:left w:val="single" w:sz="8" w:space="0" w:color="39639D" w:themeColor="accent4"/>
          <w:bottom w:val="single" w:sz="8" w:space="0" w:color="39639D" w:themeColor="accent4"/>
          <w:right w:val="single" w:sz="8" w:space="0" w:color="39639D" w:themeColor="accent4"/>
        </w:tcBorders>
      </w:tcPr>
    </w:tblStylePr>
    <w:tblStylePr w:type="band1Vert">
      <w:tblPr/>
      <w:tcPr>
        <w:tcBorders>
          <w:top w:val="single" w:sz="8" w:space="0" w:color="39639D" w:themeColor="accent4"/>
          <w:left w:val="single" w:sz="8" w:space="0" w:color="39639D" w:themeColor="accent4"/>
          <w:bottom w:val="single" w:sz="8" w:space="0" w:color="39639D" w:themeColor="accent4"/>
          <w:right w:val="single" w:sz="8" w:space="0" w:color="39639D" w:themeColor="accent4"/>
        </w:tcBorders>
        <w:shd w:val="clear" w:color="auto" w:fill="C9D7EB" w:themeFill="accent4" w:themeFillTint="3F"/>
      </w:tcPr>
    </w:tblStylePr>
    <w:tblStylePr w:type="band1Horz">
      <w:tblPr/>
      <w:tcPr>
        <w:tcBorders>
          <w:top w:val="single" w:sz="8" w:space="0" w:color="39639D" w:themeColor="accent4"/>
          <w:left w:val="single" w:sz="8" w:space="0" w:color="39639D" w:themeColor="accent4"/>
          <w:bottom w:val="single" w:sz="8" w:space="0" w:color="39639D" w:themeColor="accent4"/>
          <w:right w:val="single" w:sz="8" w:space="0" w:color="39639D" w:themeColor="accent4"/>
          <w:insideV w:val="single" w:sz="8" w:space="0" w:color="39639D" w:themeColor="accent4"/>
        </w:tcBorders>
        <w:shd w:val="clear" w:color="auto" w:fill="C9D7EB" w:themeFill="accent4" w:themeFillTint="3F"/>
      </w:tcPr>
    </w:tblStylePr>
    <w:tblStylePr w:type="band2Horz">
      <w:tblPr/>
      <w:tcPr>
        <w:tcBorders>
          <w:top w:val="single" w:sz="8" w:space="0" w:color="39639D" w:themeColor="accent4"/>
          <w:left w:val="single" w:sz="8" w:space="0" w:color="39639D" w:themeColor="accent4"/>
          <w:bottom w:val="single" w:sz="8" w:space="0" w:color="39639D" w:themeColor="accent4"/>
          <w:right w:val="single" w:sz="8" w:space="0" w:color="39639D" w:themeColor="accent4"/>
          <w:insideV w:val="single" w:sz="8" w:space="0" w:color="39639D"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74B78" w:themeColor="accent5"/>
        <w:left w:val="single" w:sz="8" w:space="0" w:color="474B78" w:themeColor="accent5"/>
        <w:bottom w:val="single" w:sz="8" w:space="0" w:color="474B78" w:themeColor="accent5"/>
        <w:right w:val="single" w:sz="8" w:space="0" w:color="474B78" w:themeColor="accent5"/>
        <w:insideH w:val="single" w:sz="8" w:space="0" w:color="474B78" w:themeColor="accent5"/>
        <w:insideV w:val="single" w:sz="8" w:space="0" w:color="474B78"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74B78" w:themeColor="accent5"/>
          <w:left w:val="single" w:sz="8" w:space="0" w:color="474B78" w:themeColor="accent5"/>
          <w:bottom w:val="single" w:sz="18" w:space="0" w:color="474B78" w:themeColor="accent5"/>
          <w:right w:val="single" w:sz="8" w:space="0" w:color="474B78" w:themeColor="accent5"/>
          <w:insideH w:val="nil"/>
          <w:insideV w:val="single" w:sz="8" w:space="0" w:color="474B78"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74B78" w:themeColor="accent5"/>
          <w:left w:val="single" w:sz="8" w:space="0" w:color="474B78" w:themeColor="accent5"/>
          <w:bottom w:val="single" w:sz="8" w:space="0" w:color="474B78" w:themeColor="accent5"/>
          <w:right w:val="single" w:sz="8" w:space="0" w:color="474B78" w:themeColor="accent5"/>
          <w:insideH w:val="nil"/>
          <w:insideV w:val="single" w:sz="8" w:space="0" w:color="474B78"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74B78" w:themeColor="accent5"/>
          <w:left w:val="single" w:sz="8" w:space="0" w:color="474B78" w:themeColor="accent5"/>
          <w:bottom w:val="single" w:sz="8" w:space="0" w:color="474B78" w:themeColor="accent5"/>
          <w:right w:val="single" w:sz="8" w:space="0" w:color="474B78" w:themeColor="accent5"/>
        </w:tcBorders>
      </w:tcPr>
    </w:tblStylePr>
    <w:tblStylePr w:type="band1Vert">
      <w:tblPr/>
      <w:tcPr>
        <w:tcBorders>
          <w:top w:val="single" w:sz="8" w:space="0" w:color="474B78" w:themeColor="accent5"/>
          <w:left w:val="single" w:sz="8" w:space="0" w:color="474B78" w:themeColor="accent5"/>
          <w:bottom w:val="single" w:sz="8" w:space="0" w:color="474B78" w:themeColor="accent5"/>
          <w:right w:val="single" w:sz="8" w:space="0" w:color="474B78" w:themeColor="accent5"/>
        </w:tcBorders>
        <w:shd w:val="clear" w:color="auto" w:fill="CDCEE1" w:themeFill="accent5" w:themeFillTint="3F"/>
      </w:tcPr>
    </w:tblStylePr>
    <w:tblStylePr w:type="band1Horz">
      <w:tblPr/>
      <w:tcPr>
        <w:tcBorders>
          <w:top w:val="single" w:sz="8" w:space="0" w:color="474B78" w:themeColor="accent5"/>
          <w:left w:val="single" w:sz="8" w:space="0" w:color="474B78" w:themeColor="accent5"/>
          <w:bottom w:val="single" w:sz="8" w:space="0" w:color="474B78" w:themeColor="accent5"/>
          <w:right w:val="single" w:sz="8" w:space="0" w:color="474B78" w:themeColor="accent5"/>
          <w:insideV w:val="single" w:sz="8" w:space="0" w:color="474B78" w:themeColor="accent5"/>
        </w:tcBorders>
        <w:shd w:val="clear" w:color="auto" w:fill="CDCEE1" w:themeFill="accent5" w:themeFillTint="3F"/>
      </w:tcPr>
    </w:tblStylePr>
    <w:tblStylePr w:type="band2Horz">
      <w:tblPr/>
      <w:tcPr>
        <w:tcBorders>
          <w:top w:val="single" w:sz="8" w:space="0" w:color="474B78" w:themeColor="accent5"/>
          <w:left w:val="single" w:sz="8" w:space="0" w:color="474B78" w:themeColor="accent5"/>
          <w:bottom w:val="single" w:sz="8" w:space="0" w:color="474B78" w:themeColor="accent5"/>
          <w:right w:val="single" w:sz="8" w:space="0" w:color="474B78" w:themeColor="accent5"/>
          <w:insideV w:val="single" w:sz="8" w:space="0" w:color="474B78"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7D3C4A" w:themeColor="accent6"/>
        <w:left w:val="single" w:sz="8" w:space="0" w:color="7D3C4A" w:themeColor="accent6"/>
        <w:bottom w:val="single" w:sz="8" w:space="0" w:color="7D3C4A" w:themeColor="accent6"/>
        <w:right w:val="single" w:sz="8" w:space="0" w:color="7D3C4A" w:themeColor="accent6"/>
        <w:insideH w:val="single" w:sz="8" w:space="0" w:color="7D3C4A" w:themeColor="accent6"/>
        <w:insideV w:val="single" w:sz="8" w:space="0" w:color="7D3C4A"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D3C4A" w:themeColor="accent6"/>
          <w:left w:val="single" w:sz="8" w:space="0" w:color="7D3C4A" w:themeColor="accent6"/>
          <w:bottom w:val="single" w:sz="18" w:space="0" w:color="7D3C4A" w:themeColor="accent6"/>
          <w:right w:val="single" w:sz="8" w:space="0" w:color="7D3C4A" w:themeColor="accent6"/>
          <w:insideH w:val="nil"/>
          <w:insideV w:val="single" w:sz="8" w:space="0" w:color="7D3C4A"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D3C4A" w:themeColor="accent6"/>
          <w:left w:val="single" w:sz="8" w:space="0" w:color="7D3C4A" w:themeColor="accent6"/>
          <w:bottom w:val="single" w:sz="8" w:space="0" w:color="7D3C4A" w:themeColor="accent6"/>
          <w:right w:val="single" w:sz="8" w:space="0" w:color="7D3C4A" w:themeColor="accent6"/>
          <w:insideH w:val="nil"/>
          <w:insideV w:val="single" w:sz="8" w:space="0" w:color="7D3C4A"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D3C4A" w:themeColor="accent6"/>
          <w:left w:val="single" w:sz="8" w:space="0" w:color="7D3C4A" w:themeColor="accent6"/>
          <w:bottom w:val="single" w:sz="8" w:space="0" w:color="7D3C4A" w:themeColor="accent6"/>
          <w:right w:val="single" w:sz="8" w:space="0" w:color="7D3C4A" w:themeColor="accent6"/>
        </w:tcBorders>
      </w:tcPr>
    </w:tblStylePr>
    <w:tblStylePr w:type="band1Vert">
      <w:tblPr/>
      <w:tcPr>
        <w:tcBorders>
          <w:top w:val="single" w:sz="8" w:space="0" w:color="7D3C4A" w:themeColor="accent6"/>
          <w:left w:val="single" w:sz="8" w:space="0" w:color="7D3C4A" w:themeColor="accent6"/>
          <w:bottom w:val="single" w:sz="8" w:space="0" w:color="7D3C4A" w:themeColor="accent6"/>
          <w:right w:val="single" w:sz="8" w:space="0" w:color="7D3C4A" w:themeColor="accent6"/>
        </w:tcBorders>
        <w:shd w:val="clear" w:color="auto" w:fill="E5C8CE" w:themeFill="accent6" w:themeFillTint="3F"/>
      </w:tcPr>
    </w:tblStylePr>
    <w:tblStylePr w:type="band1Horz">
      <w:tblPr/>
      <w:tcPr>
        <w:tcBorders>
          <w:top w:val="single" w:sz="8" w:space="0" w:color="7D3C4A" w:themeColor="accent6"/>
          <w:left w:val="single" w:sz="8" w:space="0" w:color="7D3C4A" w:themeColor="accent6"/>
          <w:bottom w:val="single" w:sz="8" w:space="0" w:color="7D3C4A" w:themeColor="accent6"/>
          <w:right w:val="single" w:sz="8" w:space="0" w:color="7D3C4A" w:themeColor="accent6"/>
          <w:insideV w:val="single" w:sz="8" w:space="0" w:color="7D3C4A" w:themeColor="accent6"/>
        </w:tcBorders>
        <w:shd w:val="clear" w:color="auto" w:fill="E5C8CE" w:themeFill="accent6" w:themeFillTint="3F"/>
      </w:tcPr>
    </w:tblStylePr>
    <w:tblStylePr w:type="band2Horz">
      <w:tblPr/>
      <w:tcPr>
        <w:tcBorders>
          <w:top w:val="single" w:sz="8" w:space="0" w:color="7D3C4A" w:themeColor="accent6"/>
          <w:left w:val="single" w:sz="8" w:space="0" w:color="7D3C4A" w:themeColor="accent6"/>
          <w:bottom w:val="single" w:sz="8" w:space="0" w:color="7D3C4A" w:themeColor="accent6"/>
          <w:right w:val="single" w:sz="8" w:space="0" w:color="7D3C4A" w:themeColor="accent6"/>
          <w:insideV w:val="single" w:sz="8" w:space="0" w:color="7D3C4A"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58BED7" w:themeColor="accent1" w:themeTint="BF"/>
        <w:left w:val="single" w:sz="8" w:space="0" w:color="58BED7" w:themeColor="accent1" w:themeTint="BF"/>
        <w:bottom w:val="single" w:sz="8" w:space="0" w:color="58BED7" w:themeColor="accent1" w:themeTint="BF"/>
        <w:right w:val="single" w:sz="8" w:space="0" w:color="58BED7" w:themeColor="accent1" w:themeTint="BF"/>
        <w:insideH w:val="single" w:sz="8" w:space="0" w:color="58BED7" w:themeColor="accent1" w:themeTint="BF"/>
      </w:tblBorders>
    </w:tblPr>
    <w:tblStylePr w:type="firstRow">
      <w:pPr>
        <w:spacing w:before="0" w:after="0" w:line="240" w:lineRule="auto"/>
      </w:pPr>
      <w:rPr>
        <w:b/>
        <w:bCs/>
        <w:color w:val="FFFFFF" w:themeColor="background1"/>
      </w:rPr>
      <w:tblPr/>
      <w:tcPr>
        <w:tcBorders>
          <w:top w:val="single" w:sz="8" w:space="0" w:color="58BED7" w:themeColor="accent1" w:themeTint="BF"/>
          <w:left w:val="single" w:sz="8" w:space="0" w:color="58BED7" w:themeColor="accent1" w:themeTint="BF"/>
          <w:bottom w:val="single" w:sz="8" w:space="0" w:color="58BED7" w:themeColor="accent1" w:themeTint="BF"/>
          <w:right w:val="single" w:sz="8" w:space="0" w:color="58BED7" w:themeColor="accent1" w:themeTint="BF"/>
          <w:insideH w:val="nil"/>
          <w:insideV w:val="nil"/>
        </w:tcBorders>
        <w:shd w:val="clear" w:color="auto" w:fill="2DA2BF" w:themeFill="accent1"/>
      </w:tcPr>
    </w:tblStylePr>
    <w:tblStylePr w:type="lastRow">
      <w:pPr>
        <w:spacing w:before="0" w:after="0" w:line="240" w:lineRule="auto"/>
      </w:pPr>
      <w:rPr>
        <w:b/>
        <w:bCs/>
      </w:rPr>
      <w:tblPr/>
      <w:tcPr>
        <w:tcBorders>
          <w:top w:val="double" w:sz="6" w:space="0" w:color="58BED7" w:themeColor="accent1" w:themeTint="BF"/>
          <w:left w:val="single" w:sz="8" w:space="0" w:color="58BED7" w:themeColor="accent1" w:themeTint="BF"/>
          <w:bottom w:val="single" w:sz="8" w:space="0" w:color="58BED7" w:themeColor="accent1" w:themeTint="BF"/>
          <w:right w:val="single" w:sz="8" w:space="0" w:color="58BED7" w:themeColor="accent1" w:themeTint="BF"/>
          <w:insideH w:val="nil"/>
          <w:insideV w:val="nil"/>
        </w:tcBorders>
      </w:tcPr>
    </w:tblStylePr>
    <w:tblStylePr w:type="firstCol">
      <w:rPr>
        <w:b/>
        <w:bCs/>
      </w:rPr>
    </w:tblStylePr>
    <w:tblStylePr w:type="lastCol">
      <w:rPr>
        <w:b/>
        <w:bCs/>
      </w:rPr>
    </w:tblStylePr>
    <w:tblStylePr w:type="band1Vert">
      <w:tblPr/>
      <w:tcPr>
        <w:shd w:val="clear" w:color="auto" w:fill="C7E9F2" w:themeFill="accent1" w:themeFillTint="3F"/>
      </w:tcPr>
    </w:tblStylePr>
    <w:tblStylePr w:type="band1Horz">
      <w:tblPr/>
      <w:tcPr>
        <w:tcBorders>
          <w:insideH w:val="nil"/>
          <w:insideV w:val="nil"/>
        </w:tcBorders>
        <w:shd w:val="clear" w:color="auto" w:fill="C7E9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E6535A" w:themeColor="accent2" w:themeTint="BF"/>
        <w:left w:val="single" w:sz="8" w:space="0" w:color="E6535A" w:themeColor="accent2" w:themeTint="BF"/>
        <w:bottom w:val="single" w:sz="8" w:space="0" w:color="E6535A" w:themeColor="accent2" w:themeTint="BF"/>
        <w:right w:val="single" w:sz="8" w:space="0" w:color="E6535A" w:themeColor="accent2" w:themeTint="BF"/>
        <w:insideH w:val="single" w:sz="8" w:space="0" w:color="E6535A" w:themeColor="accent2" w:themeTint="BF"/>
      </w:tblBorders>
    </w:tblPr>
    <w:tblStylePr w:type="firstRow">
      <w:pPr>
        <w:spacing w:before="0" w:after="0" w:line="240" w:lineRule="auto"/>
      </w:pPr>
      <w:rPr>
        <w:b/>
        <w:bCs/>
        <w:color w:val="FFFFFF" w:themeColor="background1"/>
      </w:rPr>
      <w:tblPr/>
      <w:tcPr>
        <w:tcBorders>
          <w:top w:val="single" w:sz="8" w:space="0" w:color="E6535A" w:themeColor="accent2" w:themeTint="BF"/>
          <w:left w:val="single" w:sz="8" w:space="0" w:color="E6535A" w:themeColor="accent2" w:themeTint="BF"/>
          <w:bottom w:val="single" w:sz="8" w:space="0" w:color="E6535A" w:themeColor="accent2" w:themeTint="BF"/>
          <w:right w:val="single" w:sz="8" w:space="0" w:color="E6535A" w:themeColor="accent2" w:themeTint="BF"/>
          <w:insideH w:val="nil"/>
          <w:insideV w:val="nil"/>
        </w:tcBorders>
        <w:shd w:val="clear" w:color="auto" w:fill="DA1F28" w:themeFill="accent2"/>
      </w:tcPr>
    </w:tblStylePr>
    <w:tblStylePr w:type="lastRow">
      <w:pPr>
        <w:spacing w:before="0" w:after="0" w:line="240" w:lineRule="auto"/>
      </w:pPr>
      <w:rPr>
        <w:b/>
        <w:bCs/>
      </w:rPr>
      <w:tblPr/>
      <w:tcPr>
        <w:tcBorders>
          <w:top w:val="double" w:sz="6" w:space="0" w:color="E6535A" w:themeColor="accent2" w:themeTint="BF"/>
          <w:left w:val="single" w:sz="8" w:space="0" w:color="E6535A" w:themeColor="accent2" w:themeTint="BF"/>
          <w:bottom w:val="single" w:sz="8" w:space="0" w:color="E6535A" w:themeColor="accent2" w:themeTint="BF"/>
          <w:right w:val="single" w:sz="8" w:space="0" w:color="E6535A" w:themeColor="accent2" w:themeTint="BF"/>
          <w:insideH w:val="nil"/>
          <w:insideV w:val="nil"/>
        </w:tcBorders>
      </w:tcPr>
    </w:tblStylePr>
    <w:tblStylePr w:type="firstCol">
      <w:rPr>
        <w:b/>
        <w:bCs/>
      </w:rPr>
    </w:tblStylePr>
    <w:tblStylePr w:type="lastCol">
      <w:rPr>
        <w:b/>
        <w:bCs/>
      </w:rPr>
    </w:tblStylePr>
    <w:tblStylePr w:type="band1Vert">
      <w:tblPr/>
      <w:tcPr>
        <w:shd w:val="clear" w:color="auto" w:fill="F7C6C8" w:themeFill="accent2" w:themeFillTint="3F"/>
      </w:tcPr>
    </w:tblStylePr>
    <w:tblStylePr w:type="band1Horz">
      <w:tblPr/>
      <w:tcPr>
        <w:tcBorders>
          <w:insideH w:val="nil"/>
          <w:insideV w:val="nil"/>
        </w:tcBorders>
        <w:shd w:val="clear" w:color="auto" w:fill="F7C6C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F08A54" w:themeColor="accent3" w:themeTint="BF"/>
        <w:left w:val="single" w:sz="8" w:space="0" w:color="F08A54" w:themeColor="accent3" w:themeTint="BF"/>
        <w:bottom w:val="single" w:sz="8" w:space="0" w:color="F08A54" w:themeColor="accent3" w:themeTint="BF"/>
        <w:right w:val="single" w:sz="8" w:space="0" w:color="F08A54" w:themeColor="accent3" w:themeTint="BF"/>
        <w:insideH w:val="single" w:sz="8" w:space="0" w:color="F08A54" w:themeColor="accent3" w:themeTint="BF"/>
      </w:tblBorders>
    </w:tblPr>
    <w:tblStylePr w:type="firstRow">
      <w:pPr>
        <w:spacing w:before="0" w:after="0" w:line="240" w:lineRule="auto"/>
      </w:pPr>
      <w:rPr>
        <w:b/>
        <w:bCs/>
        <w:color w:val="FFFFFF" w:themeColor="background1"/>
      </w:rPr>
      <w:tblPr/>
      <w:tcPr>
        <w:tcBorders>
          <w:top w:val="single" w:sz="8" w:space="0" w:color="F08A54" w:themeColor="accent3" w:themeTint="BF"/>
          <w:left w:val="single" w:sz="8" w:space="0" w:color="F08A54" w:themeColor="accent3" w:themeTint="BF"/>
          <w:bottom w:val="single" w:sz="8" w:space="0" w:color="F08A54" w:themeColor="accent3" w:themeTint="BF"/>
          <w:right w:val="single" w:sz="8" w:space="0" w:color="F08A54" w:themeColor="accent3" w:themeTint="BF"/>
          <w:insideH w:val="nil"/>
          <w:insideV w:val="nil"/>
        </w:tcBorders>
        <w:shd w:val="clear" w:color="auto" w:fill="EB641B" w:themeFill="accent3"/>
      </w:tcPr>
    </w:tblStylePr>
    <w:tblStylePr w:type="lastRow">
      <w:pPr>
        <w:spacing w:before="0" w:after="0" w:line="240" w:lineRule="auto"/>
      </w:pPr>
      <w:rPr>
        <w:b/>
        <w:bCs/>
      </w:rPr>
      <w:tblPr/>
      <w:tcPr>
        <w:tcBorders>
          <w:top w:val="double" w:sz="6" w:space="0" w:color="F08A54" w:themeColor="accent3" w:themeTint="BF"/>
          <w:left w:val="single" w:sz="8" w:space="0" w:color="F08A54" w:themeColor="accent3" w:themeTint="BF"/>
          <w:bottom w:val="single" w:sz="8" w:space="0" w:color="F08A54" w:themeColor="accent3" w:themeTint="BF"/>
          <w:right w:val="single" w:sz="8" w:space="0" w:color="F08A54" w:themeColor="accent3" w:themeTint="BF"/>
          <w:insideH w:val="nil"/>
          <w:insideV w:val="nil"/>
        </w:tcBorders>
      </w:tcPr>
    </w:tblStylePr>
    <w:tblStylePr w:type="firstCol">
      <w:rPr>
        <w:b/>
        <w:bCs/>
      </w:rPr>
    </w:tblStylePr>
    <w:tblStylePr w:type="lastCol">
      <w:rPr>
        <w:b/>
        <w:bCs/>
      </w:rPr>
    </w:tblStylePr>
    <w:tblStylePr w:type="band1Vert">
      <w:tblPr/>
      <w:tcPr>
        <w:shd w:val="clear" w:color="auto" w:fill="FAD8C6" w:themeFill="accent3" w:themeFillTint="3F"/>
      </w:tcPr>
    </w:tblStylePr>
    <w:tblStylePr w:type="band1Horz">
      <w:tblPr/>
      <w:tcPr>
        <w:tcBorders>
          <w:insideH w:val="nil"/>
          <w:insideV w:val="nil"/>
        </w:tcBorders>
        <w:shd w:val="clear" w:color="auto" w:fill="FAD8C6"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5C87C3" w:themeColor="accent4" w:themeTint="BF"/>
        <w:left w:val="single" w:sz="8" w:space="0" w:color="5C87C3" w:themeColor="accent4" w:themeTint="BF"/>
        <w:bottom w:val="single" w:sz="8" w:space="0" w:color="5C87C3" w:themeColor="accent4" w:themeTint="BF"/>
        <w:right w:val="single" w:sz="8" w:space="0" w:color="5C87C3" w:themeColor="accent4" w:themeTint="BF"/>
        <w:insideH w:val="single" w:sz="8" w:space="0" w:color="5C87C3" w:themeColor="accent4" w:themeTint="BF"/>
      </w:tblBorders>
    </w:tblPr>
    <w:tblStylePr w:type="firstRow">
      <w:pPr>
        <w:spacing w:before="0" w:after="0" w:line="240" w:lineRule="auto"/>
      </w:pPr>
      <w:rPr>
        <w:b/>
        <w:bCs/>
        <w:color w:val="FFFFFF" w:themeColor="background1"/>
      </w:rPr>
      <w:tblPr/>
      <w:tcPr>
        <w:tcBorders>
          <w:top w:val="single" w:sz="8" w:space="0" w:color="5C87C3" w:themeColor="accent4" w:themeTint="BF"/>
          <w:left w:val="single" w:sz="8" w:space="0" w:color="5C87C3" w:themeColor="accent4" w:themeTint="BF"/>
          <w:bottom w:val="single" w:sz="8" w:space="0" w:color="5C87C3" w:themeColor="accent4" w:themeTint="BF"/>
          <w:right w:val="single" w:sz="8" w:space="0" w:color="5C87C3" w:themeColor="accent4" w:themeTint="BF"/>
          <w:insideH w:val="nil"/>
          <w:insideV w:val="nil"/>
        </w:tcBorders>
        <w:shd w:val="clear" w:color="auto" w:fill="39639D" w:themeFill="accent4"/>
      </w:tcPr>
    </w:tblStylePr>
    <w:tblStylePr w:type="lastRow">
      <w:pPr>
        <w:spacing w:before="0" w:after="0" w:line="240" w:lineRule="auto"/>
      </w:pPr>
      <w:rPr>
        <w:b/>
        <w:bCs/>
      </w:rPr>
      <w:tblPr/>
      <w:tcPr>
        <w:tcBorders>
          <w:top w:val="double" w:sz="6" w:space="0" w:color="5C87C3" w:themeColor="accent4" w:themeTint="BF"/>
          <w:left w:val="single" w:sz="8" w:space="0" w:color="5C87C3" w:themeColor="accent4" w:themeTint="BF"/>
          <w:bottom w:val="single" w:sz="8" w:space="0" w:color="5C87C3" w:themeColor="accent4" w:themeTint="BF"/>
          <w:right w:val="single" w:sz="8" w:space="0" w:color="5C87C3" w:themeColor="accent4" w:themeTint="BF"/>
          <w:insideH w:val="nil"/>
          <w:insideV w:val="nil"/>
        </w:tcBorders>
      </w:tcPr>
    </w:tblStylePr>
    <w:tblStylePr w:type="firstCol">
      <w:rPr>
        <w:b/>
        <w:bCs/>
      </w:rPr>
    </w:tblStylePr>
    <w:tblStylePr w:type="lastCol">
      <w:rPr>
        <w:b/>
        <w:bCs/>
      </w:rPr>
    </w:tblStylePr>
    <w:tblStylePr w:type="band1Vert">
      <w:tblPr/>
      <w:tcPr>
        <w:shd w:val="clear" w:color="auto" w:fill="C9D7EB" w:themeFill="accent4" w:themeFillTint="3F"/>
      </w:tcPr>
    </w:tblStylePr>
    <w:tblStylePr w:type="band1Horz">
      <w:tblPr/>
      <w:tcPr>
        <w:tcBorders>
          <w:insideH w:val="nil"/>
          <w:insideV w:val="nil"/>
        </w:tcBorders>
        <w:shd w:val="clear" w:color="auto" w:fill="C9D7E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686DA6" w:themeColor="accent5" w:themeTint="BF"/>
        <w:left w:val="single" w:sz="8" w:space="0" w:color="686DA6" w:themeColor="accent5" w:themeTint="BF"/>
        <w:bottom w:val="single" w:sz="8" w:space="0" w:color="686DA6" w:themeColor="accent5" w:themeTint="BF"/>
        <w:right w:val="single" w:sz="8" w:space="0" w:color="686DA6" w:themeColor="accent5" w:themeTint="BF"/>
        <w:insideH w:val="single" w:sz="8" w:space="0" w:color="686DA6" w:themeColor="accent5" w:themeTint="BF"/>
      </w:tblBorders>
    </w:tblPr>
    <w:tblStylePr w:type="firstRow">
      <w:pPr>
        <w:spacing w:before="0" w:after="0" w:line="240" w:lineRule="auto"/>
      </w:pPr>
      <w:rPr>
        <w:b/>
        <w:bCs/>
        <w:color w:val="FFFFFF" w:themeColor="background1"/>
      </w:rPr>
      <w:tblPr/>
      <w:tcPr>
        <w:tcBorders>
          <w:top w:val="single" w:sz="8" w:space="0" w:color="686DA6" w:themeColor="accent5" w:themeTint="BF"/>
          <w:left w:val="single" w:sz="8" w:space="0" w:color="686DA6" w:themeColor="accent5" w:themeTint="BF"/>
          <w:bottom w:val="single" w:sz="8" w:space="0" w:color="686DA6" w:themeColor="accent5" w:themeTint="BF"/>
          <w:right w:val="single" w:sz="8" w:space="0" w:color="686DA6" w:themeColor="accent5" w:themeTint="BF"/>
          <w:insideH w:val="nil"/>
          <w:insideV w:val="nil"/>
        </w:tcBorders>
        <w:shd w:val="clear" w:color="auto" w:fill="474B78" w:themeFill="accent5"/>
      </w:tcPr>
    </w:tblStylePr>
    <w:tblStylePr w:type="lastRow">
      <w:pPr>
        <w:spacing w:before="0" w:after="0" w:line="240" w:lineRule="auto"/>
      </w:pPr>
      <w:rPr>
        <w:b/>
        <w:bCs/>
      </w:rPr>
      <w:tblPr/>
      <w:tcPr>
        <w:tcBorders>
          <w:top w:val="double" w:sz="6" w:space="0" w:color="686DA6" w:themeColor="accent5" w:themeTint="BF"/>
          <w:left w:val="single" w:sz="8" w:space="0" w:color="686DA6" w:themeColor="accent5" w:themeTint="BF"/>
          <w:bottom w:val="single" w:sz="8" w:space="0" w:color="686DA6" w:themeColor="accent5" w:themeTint="BF"/>
          <w:right w:val="single" w:sz="8" w:space="0" w:color="686DA6" w:themeColor="accent5" w:themeTint="BF"/>
          <w:insideH w:val="nil"/>
          <w:insideV w:val="nil"/>
        </w:tcBorders>
      </w:tcPr>
    </w:tblStylePr>
    <w:tblStylePr w:type="firstCol">
      <w:rPr>
        <w:b/>
        <w:bCs/>
      </w:rPr>
    </w:tblStylePr>
    <w:tblStylePr w:type="lastCol">
      <w:rPr>
        <w:b/>
        <w:bCs/>
      </w:rPr>
    </w:tblStylePr>
    <w:tblStylePr w:type="band1Vert">
      <w:tblPr/>
      <w:tcPr>
        <w:shd w:val="clear" w:color="auto" w:fill="CDCEE1" w:themeFill="accent5" w:themeFillTint="3F"/>
      </w:tcPr>
    </w:tblStylePr>
    <w:tblStylePr w:type="band1Horz">
      <w:tblPr/>
      <w:tcPr>
        <w:tcBorders>
          <w:insideH w:val="nil"/>
          <w:insideV w:val="nil"/>
        </w:tcBorders>
        <w:shd w:val="clear" w:color="auto" w:fill="CDCEE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B05A6C" w:themeColor="accent6" w:themeTint="BF"/>
        <w:left w:val="single" w:sz="8" w:space="0" w:color="B05A6C" w:themeColor="accent6" w:themeTint="BF"/>
        <w:bottom w:val="single" w:sz="8" w:space="0" w:color="B05A6C" w:themeColor="accent6" w:themeTint="BF"/>
        <w:right w:val="single" w:sz="8" w:space="0" w:color="B05A6C" w:themeColor="accent6" w:themeTint="BF"/>
        <w:insideH w:val="single" w:sz="8" w:space="0" w:color="B05A6C" w:themeColor="accent6" w:themeTint="BF"/>
      </w:tblBorders>
    </w:tblPr>
    <w:tblStylePr w:type="firstRow">
      <w:pPr>
        <w:spacing w:before="0" w:after="0" w:line="240" w:lineRule="auto"/>
      </w:pPr>
      <w:rPr>
        <w:b/>
        <w:bCs/>
        <w:color w:val="FFFFFF" w:themeColor="background1"/>
      </w:rPr>
      <w:tblPr/>
      <w:tcPr>
        <w:tcBorders>
          <w:top w:val="single" w:sz="8" w:space="0" w:color="B05A6C" w:themeColor="accent6" w:themeTint="BF"/>
          <w:left w:val="single" w:sz="8" w:space="0" w:color="B05A6C" w:themeColor="accent6" w:themeTint="BF"/>
          <w:bottom w:val="single" w:sz="8" w:space="0" w:color="B05A6C" w:themeColor="accent6" w:themeTint="BF"/>
          <w:right w:val="single" w:sz="8" w:space="0" w:color="B05A6C" w:themeColor="accent6" w:themeTint="BF"/>
          <w:insideH w:val="nil"/>
          <w:insideV w:val="nil"/>
        </w:tcBorders>
        <w:shd w:val="clear" w:color="auto" w:fill="7D3C4A" w:themeFill="accent6"/>
      </w:tcPr>
    </w:tblStylePr>
    <w:tblStylePr w:type="lastRow">
      <w:pPr>
        <w:spacing w:before="0" w:after="0" w:line="240" w:lineRule="auto"/>
      </w:pPr>
      <w:rPr>
        <w:b/>
        <w:bCs/>
      </w:rPr>
      <w:tblPr/>
      <w:tcPr>
        <w:tcBorders>
          <w:top w:val="double" w:sz="6" w:space="0" w:color="B05A6C" w:themeColor="accent6" w:themeTint="BF"/>
          <w:left w:val="single" w:sz="8" w:space="0" w:color="B05A6C" w:themeColor="accent6" w:themeTint="BF"/>
          <w:bottom w:val="single" w:sz="8" w:space="0" w:color="B05A6C" w:themeColor="accent6" w:themeTint="BF"/>
          <w:right w:val="single" w:sz="8" w:space="0" w:color="B05A6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5C8CE" w:themeFill="accent6" w:themeFillTint="3F"/>
      </w:tcPr>
    </w:tblStylePr>
    <w:tblStylePr w:type="band1Horz">
      <w:tblPr/>
      <w:tcPr>
        <w:tcBorders>
          <w:insideH w:val="nil"/>
          <w:insideV w:val="nil"/>
        </w:tcBorders>
        <w:shd w:val="clear" w:color="auto" w:fill="E5C8CE"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DA2BF"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2DA2BF" w:themeFill="accent1"/>
      </w:tcPr>
    </w:tblStylePr>
    <w:tblStylePr w:type="lastCol">
      <w:rPr>
        <w:b/>
        <w:bCs/>
        <w:color w:val="FFFFFF" w:themeColor="background1"/>
      </w:rPr>
      <w:tblPr/>
      <w:tcPr>
        <w:tcBorders>
          <w:left w:val="nil"/>
          <w:right w:val="nil"/>
          <w:insideH w:val="nil"/>
          <w:insideV w:val="nil"/>
        </w:tcBorders>
        <w:shd w:val="clear" w:color="auto" w:fill="2DA2BF"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A1F2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DA1F28" w:themeFill="accent2"/>
      </w:tcPr>
    </w:tblStylePr>
    <w:tblStylePr w:type="lastCol">
      <w:rPr>
        <w:b/>
        <w:bCs/>
        <w:color w:val="FFFFFF" w:themeColor="background1"/>
      </w:rPr>
      <w:tblPr/>
      <w:tcPr>
        <w:tcBorders>
          <w:left w:val="nil"/>
          <w:right w:val="nil"/>
          <w:insideH w:val="nil"/>
          <w:insideV w:val="nil"/>
        </w:tcBorders>
        <w:shd w:val="clear" w:color="auto" w:fill="DA1F2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B641B"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B641B" w:themeFill="accent3"/>
      </w:tcPr>
    </w:tblStylePr>
    <w:tblStylePr w:type="lastCol">
      <w:rPr>
        <w:b/>
        <w:bCs/>
        <w:color w:val="FFFFFF" w:themeColor="background1"/>
      </w:rPr>
      <w:tblPr/>
      <w:tcPr>
        <w:tcBorders>
          <w:left w:val="nil"/>
          <w:right w:val="nil"/>
          <w:insideH w:val="nil"/>
          <w:insideV w:val="nil"/>
        </w:tcBorders>
        <w:shd w:val="clear" w:color="auto" w:fill="EB641B"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9639D"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39639D" w:themeFill="accent4"/>
      </w:tcPr>
    </w:tblStylePr>
    <w:tblStylePr w:type="lastCol">
      <w:rPr>
        <w:b/>
        <w:bCs/>
        <w:color w:val="FFFFFF" w:themeColor="background1"/>
      </w:rPr>
      <w:tblPr/>
      <w:tcPr>
        <w:tcBorders>
          <w:left w:val="nil"/>
          <w:right w:val="nil"/>
          <w:insideH w:val="nil"/>
          <w:insideV w:val="nil"/>
        </w:tcBorders>
        <w:shd w:val="clear" w:color="auto" w:fill="39639D"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74B78"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74B78" w:themeFill="accent5"/>
      </w:tcPr>
    </w:tblStylePr>
    <w:tblStylePr w:type="lastCol">
      <w:rPr>
        <w:b/>
        <w:bCs/>
        <w:color w:val="FFFFFF" w:themeColor="background1"/>
      </w:rPr>
      <w:tblPr/>
      <w:tcPr>
        <w:tcBorders>
          <w:left w:val="nil"/>
          <w:right w:val="nil"/>
          <w:insideH w:val="nil"/>
          <w:insideV w:val="nil"/>
        </w:tcBorders>
        <w:shd w:val="clear" w:color="auto" w:fill="474B78"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D3C4A"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D3C4A" w:themeFill="accent6"/>
      </w:tcPr>
    </w:tblStylePr>
    <w:tblStylePr w:type="lastCol">
      <w:rPr>
        <w:b/>
        <w:bCs/>
        <w:color w:val="FFFFFF" w:themeColor="background1"/>
      </w:rPr>
      <w:tblPr/>
      <w:tcPr>
        <w:tcBorders>
          <w:left w:val="nil"/>
          <w:right w:val="nil"/>
          <w:insideH w:val="nil"/>
          <w:insideV w:val="nil"/>
        </w:tcBorders>
        <w:shd w:val="clear" w:color="auto" w:fill="7D3C4A"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6464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2DA2BF" w:themeColor="accent1"/>
        <w:bottom w:val="single" w:sz="8" w:space="0" w:color="2DA2BF" w:themeColor="accent1"/>
      </w:tblBorders>
    </w:tblPr>
    <w:tblStylePr w:type="firstRow">
      <w:rPr>
        <w:rFonts w:asciiTheme="majorHAnsi" w:eastAsiaTheme="majorEastAsia" w:hAnsiTheme="majorHAnsi" w:cstheme="majorBidi"/>
      </w:rPr>
      <w:tblPr/>
      <w:tcPr>
        <w:tcBorders>
          <w:top w:val="nil"/>
          <w:bottom w:val="single" w:sz="8" w:space="0" w:color="2DA2BF" w:themeColor="accent1"/>
        </w:tcBorders>
      </w:tcPr>
    </w:tblStylePr>
    <w:tblStylePr w:type="lastRow">
      <w:rPr>
        <w:b/>
        <w:bCs/>
        <w:color w:val="464646" w:themeColor="text2"/>
      </w:rPr>
      <w:tblPr/>
      <w:tcPr>
        <w:tcBorders>
          <w:top w:val="single" w:sz="8" w:space="0" w:color="2DA2BF" w:themeColor="accent1"/>
          <w:bottom w:val="single" w:sz="8" w:space="0" w:color="2DA2BF" w:themeColor="accent1"/>
        </w:tcBorders>
      </w:tcPr>
    </w:tblStylePr>
    <w:tblStylePr w:type="firstCol">
      <w:rPr>
        <w:b/>
        <w:bCs/>
      </w:rPr>
    </w:tblStylePr>
    <w:tblStylePr w:type="lastCol">
      <w:rPr>
        <w:b/>
        <w:bCs/>
      </w:rPr>
      <w:tblPr/>
      <w:tcPr>
        <w:tcBorders>
          <w:top w:val="single" w:sz="8" w:space="0" w:color="2DA2BF" w:themeColor="accent1"/>
          <w:bottom w:val="single" w:sz="8" w:space="0" w:color="2DA2BF" w:themeColor="accent1"/>
        </w:tcBorders>
      </w:tcPr>
    </w:tblStylePr>
    <w:tblStylePr w:type="band1Vert">
      <w:tblPr/>
      <w:tcPr>
        <w:shd w:val="clear" w:color="auto" w:fill="C7E9F2" w:themeFill="accent1" w:themeFillTint="3F"/>
      </w:tcPr>
    </w:tblStylePr>
    <w:tblStylePr w:type="band1Horz">
      <w:tblPr/>
      <w:tcPr>
        <w:shd w:val="clear" w:color="auto" w:fill="C7E9F2"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DA1F28" w:themeColor="accent2"/>
        <w:bottom w:val="single" w:sz="8" w:space="0" w:color="DA1F28" w:themeColor="accent2"/>
      </w:tblBorders>
    </w:tblPr>
    <w:tblStylePr w:type="firstRow">
      <w:rPr>
        <w:rFonts w:asciiTheme="majorHAnsi" w:eastAsiaTheme="majorEastAsia" w:hAnsiTheme="majorHAnsi" w:cstheme="majorBidi"/>
      </w:rPr>
      <w:tblPr/>
      <w:tcPr>
        <w:tcBorders>
          <w:top w:val="nil"/>
          <w:bottom w:val="single" w:sz="8" w:space="0" w:color="DA1F28" w:themeColor="accent2"/>
        </w:tcBorders>
      </w:tcPr>
    </w:tblStylePr>
    <w:tblStylePr w:type="lastRow">
      <w:rPr>
        <w:b/>
        <w:bCs/>
        <w:color w:val="464646" w:themeColor="text2"/>
      </w:rPr>
      <w:tblPr/>
      <w:tcPr>
        <w:tcBorders>
          <w:top w:val="single" w:sz="8" w:space="0" w:color="DA1F28" w:themeColor="accent2"/>
          <w:bottom w:val="single" w:sz="8" w:space="0" w:color="DA1F28" w:themeColor="accent2"/>
        </w:tcBorders>
      </w:tcPr>
    </w:tblStylePr>
    <w:tblStylePr w:type="firstCol">
      <w:rPr>
        <w:b/>
        <w:bCs/>
      </w:rPr>
    </w:tblStylePr>
    <w:tblStylePr w:type="lastCol">
      <w:rPr>
        <w:b/>
        <w:bCs/>
      </w:rPr>
      <w:tblPr/>
      <w:tcPr>
        <w:tcBorders>
          <w:top w:val="single" w:sz="8" w:space="0" w:color="DA1F28" w:themeColor="accent2"/>
          <w:bottom w:val="single" w:sz="8" w:space="0" w:color="DA1F28" w:themeColor="accent2"/>
        </w:tcBorders>
      </w:tcPr>
    </w:tblStylePr>
    <w:tblStylePr w:type="band1Vert">
      <w:tblPr/>
      <w:tcPr>
        <w:shd w:val="clear" w:color="auto" w:fill="F7C6C8" w:themeFill="accent2" w:themeFillTint="3F"/>
      </w:tcPr>
    </w:tblStylePr>
    <w:tblStylePr w:type="band1Horz">
      <w:tblPr/>
      <w:tcPr>
        <w:shd w:val="clear" w:color="auto" w:fill="F7C6C8"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EB641B" w:themeColor="accent3"/>
        <w:bottom w:val="single" w:sz="8" w:space="0" w:color="EB641B" w:themeColor="accent3"/>
      </w:tblBorders>
    </w:tblPr>
    <w:tblStylePr w:type="firstRow">
      <w:rPr>
        <w:rFonts w:asciiTheme="majorHAnsi" w:eastAsiaTheme="majorEastAsia" w:hAnsiTheme="majorHAnsi" w:cstheme="majorBidi"/>
      </w:rPr>
      <w:tblPr/>
      <w:tcPr>
        <w:tcBorders>
          <w:top w:val="nil"/>
          <w:bottom w:val="single" w:sz="8" w:space="0" w:color="EB641B" w:themeColor="accent3"/>
        </w:tcBorders>
      </w:tcPr>
    </w:tblStylePr>
    <w:tblStylePr w:type="lastRow">
      <w:rPr>
        <w:b/>
        <w:bCs/>
        <w:color w:val="464646" w:themeColor="text2"/>
      </w:rPr>
      <w:tblPr/>
      <w:tcPr>
        <w:tcBorders>
          <w:top w:val="single" w:sz="8" w:space="0" w:color="EB641B" w:themeColor="accent3"/>
          <w:bottom w:val="single" w:sz="8" w:space="0" w:color="EB641B" w:themeColor="accent3"/>
        </w:tcBorders>
      </w:tcPr>
    </w:tblStylePr>
    <w:tblStylePr w:type="firstCol">
      <w:rPr>
        <w:b/>
        <w:bCs/>
      </w:rPr>
    </w:tblStylePr>
    <w:tblStylePr w:type="lastCol">
      <w:rPr>
        <w:b/>
        <w:bCs/>
      </w:rPr>
      <w:tblPr/>
      <w:tcPr>
        <w:tcBorders>
          <w:top w:val="single" w:sz="8" w:space="0" w:color="EB641B" w:themeColor="accent3"/>
          <w:bottom w:val="single" w:sz="8" w:space="0" w:color="EB641B" w:themeColor="accent3"/>
        </w:tcBorders>
      </w:tcPr>
    </w:tblStylePr>
    <w:tblStylePr w:type="band1Vert">
      <w:tblPr/>
      <w:tcPr>
        <w:shd w:val="clear" w:color="auto" w:fill="FAD8C6" w:themeFill="accent3" w:themeFillTint="3F"/>
      </w:tcPr>
    </w:tblStylePr>
    <w:tblStylePr w:type="band1Horz">
      <w:tblPr/>
      <w:tcPr>
        <w:shd w:val="clear" w:color="auto" w:fill="FAD8C6"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39639D" w:themeColor="accent4"/>
        <w:bottom w:val="single" w:sz="8" w:space="0" w:color="39639D" w:themeColor="accent4"/>
      </w:tblBorders>
    </w:tblPr>
    <w:tblStylePr w:type="firstRow">
      <w:rPr>
        <w:rFonts w:asciiTheme="majorHAnsi" w:eastAsiaTheme="majorEastAsia" w:hAnsiTheme="majorHAnsi" w:cstheme="majorBidi"/>
      </w:rPr>
      <w:tblPr/>
      <w:tcPr>
        <w:tcBorders>
          <w:top w:val="nil"/>
          <w:bottom w:val="single" w:sz="8" w:space="0" w:color="39639D" w:themeColor="accent4"/>
        </w:tcBorders>
      </w:tcPr>
    </w:tblStylePr>
    <w:tblStylePr w:type="lastRow">
      <w:rPr>
        <w:b/>
        <w:bCs/>
        <w:color w:val="464646" w:themeColor="text2"/>
      </w:rPr>
      <w:tblPr/>
      <w:tcPr>
        <w:tcBorders>
          <w:top w:val="single" w:sz="8" w:space="0" w:color="39639D" w:themeColor="accent4"/>
          <w:bottom w:val="single" w:sz="8" w:space="0" w:color="39639D" w:themeColor="accent4"/>
        </w:tcBorders>
      </w:tcPr>
    </w:tblStylePr>
    <w:tblStylePr w:type="firstCol">
      <w:rPr>
        <w:b/>
        <w:bCs/>
      </w:rPr>
    </w:tblStylePr>
    <w:tblStylePr w:type="lastCol">
      <w:rPr>
        <w:b/>
        <w:bCs/>
      </w:rPr>
      <w:tblPr/>
      <w:tcPr>
        <w:tcBorders>
          <w:top w:val="single" w:sz="8" w:space="0" w:color="39639D" w:themeColor="accent4"/>
          <w:bottom w:val="single" w:sz="8" w:space="0" w:color="39639D" w:themeColor="accent4"/>
        </w:tcBorders>
      </w:tcPr>
    </w:tblStylePr>
    <w:tblStylePr w:type="band1Vert">
      <w:tblPr/>
      <w:tcPr>
        <w:shd w:val="clear" w:color="auto" w:fill="C9D7EB" w:themeFill="accent4" w:themeFillTint="3F"/>
      </w:tcPr>
    </w:tblStylePr>
    <w:tblStylePr w:type="band1Horz">
      <w:tblPr/>
      <w:tcPr>
        <w:shd w:val="clear" w:color="auto" w:fill="C9D7EB"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74B78" w:themeColor="accent5"/>
        <w:bottom w:val="single" w:sz="8" w:space="0" w:color="474B78" w:themeColor="accent5"/>
      </w:tblBorders>
    </w:tblPr>
    <w:tblStylePr w:type="firstRow">
      <w:rPr>
        <w:rFonts w:asciiTheme="majorHAnsi" w:eastAsiaTheme="majorEastAsia" w:hAnsiTheme="majorHAnsi" w:cstheme="majorBidi"/>
      </w:rPr>
      <w:tblPr/>
      <w:tcPr>
        <w:tcBorders>
          <w:top w:val="nil"/>
          <w:bottom w:val="single" w:sz="8" w:space="0" w:color="474B78" w:themeColor="accent5"/>
        </w:tcBorders>
      </w:tcPr>
    </w:tblStylePr>
    <w:tblStylePr w:type="lastRow">
      <w:rPr>
        <w:b/>
        <w:bCs/>
        <w:color w:val="464646" w:themeColor="text2"/>
      </w:rPr>
      <w:tblPr/>
      <w:tcPr>
        <w:tcBorders>
          <w:top w:val="single" w:sz="8" w:space="0" w:color="474B78" w:themeColor="accent5"/>
          <w:bottom w:val="single" w:sz="8" w:space="0" w:color="474B78" w:themeColor="accent5"/>
        </w:tcBorders>
      </w:tcPr>
    </w:tblStylePr>
    <w:tblStylePr w:type="firstCol">
      <w:rPr>
        <w:b/>
        <w:bCs/>
      </w:rPr>
    </w:tblStylePr>
    <w:tblStylePr w:type="lastCol">
      <w:rPr>
        <w:b/>
        <w:bCs/>
      </w:rPr>
      <w:tblPr/>
      <w:tcPr>
        <w:tcBorders>
          <w:top w:val="single" w:sz="8" w:space="0" w:color="474B78" w:themeColor="accent5"/>
          <w:bottom w:val="single" w:sz="8" w:space="0" w:color="474B78" w:themeColor="accent5"/>
        </w:tcBorders>
      </w:tcPr>
    </w:tblStylePr>
    <w:tblStylePr w:type="band1Vert">
      <w:tblPr/>
      <w:tcPr>
        <w:shd w:val="clear" w:color="auto" w:fill="CDCEE1" w:themeFill="accent5" w:themeFillTint="3F"/>
      </w:tcPr>
    </w:tblStylePr>
    <w:tblStylePr w:type="band1Horz">
      <w:tblPr/>
      <w:tcPr>
        <w:shd w:val="clear" w:color="auto" w:fill="CDCEE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7D3C4A" w:themeColor="accent6"/>
        <w:bottom w:val="single" w:sz="8" w:space="0" w:color="7D3C4A" w:themeColor="accent6"/>
      </w:tblBorders>
    </w:tblPr>
    <w:tblStylePr w:type="firstRow">
      <w:rPr>
        <w:rFonts w:asciiTheme="majorHAnsi" w:eastAsiaTheme="majorEastAsia" w:hAnsiTheme="majorHAnsi" w:cstheme="majorBidi"/>
      </w:rPr>
      <w:tblPr/>
      <w:tcPr>
        <w:tcBorders>
          <w:top w:val="nil"/>
          <w:bottom w:val="single" w:sz="8" w:space="0" w:color="7D3C4A" w:themeColor="accent6"/>
        </w:tcBorders>
      </w:tcPr>
    </w:tblStylePr>
    <w:tblStylePr w:type="lastRow">
      <w:rPr>
        <w:b/>
        <w:bCs/>
        <w:color w:val="464646" w:themeColor="text2"/>
      </w:rPr>
      <w:tblPr/>
      <w:tcPr>
        <w:tcBorders>
          <w:top w:val="single" w:sz="8" w:space="0" w:color="7D3C4A" w:themeColor="accent6"/>
          <w:bottom w:val="single" w:sz="8" w:space="0" w:color="7D3C4A" w:themeColor="accent6"/>
        </w:tcBorders>
      </w:tcPr>
    </w:tblStylePr>
    <w:tblStylePr w:type="firstCol">
      <w:rPr>
        <w:b/>
        <w:bCs/>
      </w:rPr>
    </w:tblStylePr>
    <w:tblStylePr w:type="lastCol">
      <w:rPr>
        <w:b/>
        <w:bCs/>
      </w:rPr>
      <w:tblPr/>
      <w:tcPr>
        <w:tcBorders>
          <w:top w:val="single" w:sz="8" w:space="0" w:color="7D3C4A" w:themeColor="accent6"/>
          <w:bottom w:val="single" w:sz="8" w:space="0" w:color="7D3C4A" w:themeColor="accent6"/>
        </w:tcBorders>
      </w:tcPr>
    </w:tblStylePr>
    <w:tblStylePr w:type="band1Vert">
      <w:tblPr/>
      <w:tcPr>
        <w:shd w:val="clear" w:color="auto" w:fill="E5C8CE" w:themeFill="accent6" w:themeFillTint="3F"/>
      </w:tcPr>
    </w:tblStylePr>
    <w:tblStylePr w:type="band1Horz">
      <w:tblPr/>
      <w:tcPr>
        <w:shd w:val="clear" w:color="auto" w:fill="E5C8CE"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DA2BF" w:themeColor="accent1"/>
        <w:left w:val="single" w:sz="8" w:space="0" w:color="2DA2BF" w:themeColor="accent1"/>
        <w:bottom w:val="single" w:sz="8" w:space="0" w:color="2DA2BF" w:themeColor="accent1"/>
        <w:right w:val="single" w:sz="8" w:space="0" w:color="2DA2BF" w:themeColor="accent1"/>
      </w:tblBorders>
    </w:tblPr>
    <w:tblStylePr w:type="firstRow">
      <w:rPr>
        <w:sz w:val="24"/>
        <w:szCs w:val="24"/>
      </w:rPr>
      <w:tblPr/>
      <w:tcPr>
        <w:tcBorders>
          <w:top w:val="nil"/>
          <w:left w:val="nil"/>
          <w:bottom w:val="single" w:sz="24" w:space="0" w:color="2DA2BF" w:themeColor="accent1"/>
          <w:right w:val="nil"/>
          <w:insideH w:val="nil"/>
          <w:insideV w:val="nil"/>
        </w:tcBorders>
        <w:shd w:val="clear" w:color="auto" w:fill="FFFFFF" w:themeFill="background1"/>
      </w:tcPr>
    </w:tblStylePr>
    <w:tblStylePr w:type="lastRow">
      <w:tblPr/>
      <w:tcPr>
        <w:tcBorders>
          <w:top w:val="single" w:sz="8" w:space="0" w:color="2DA2BF"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DA2BF" w:themeColor="accent1"/>
          <w:insideH w:val="nil"/>
          <w:insideV w:val="nil"/>
        </w:tcBorders>
        <w:shd w:val="clear" w:color="auto" w:fill="FFFFFF" w:themeFill="background1"/>
      </w:tcPr>
    </w:tblStylePr>
    <w:tblStylePr w:type="lastCol">
      <w:tblPr/>
      <w:tcPr>
        <w:tcBorders>
          <w:top w:val="nil"/>
          <w:left w:val="single" w:sz="8" w:space="0" w:color="2DA2BF"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7E9F2" w:themeFill="accent1" w:themeFillTint="3F"/>
      </w:tcPr>
    </w:tblStylePr>
    <w:tblStylePr w:type="band1Horz">
      <w:tblPr/>
      <w:tcPr>
        <w:tcBorders>
          <w:top w:val="nil"/>
          <w:bottom w:val="nil"/>
          <w:insideH w:val="nil"/>
          <w:insideV w:val="nil"/>
        </w:tcBorders>
        <w:shd w:val="clear" w:color="auto" w:fill="C7E9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A1F28" w:themeColor="accent2"/>
        <w:left w:val="single" w:sz="8" w:space="0" w:color="DA1F28" w:themeColor="accent2"/>
        <w:bottom w:val="single" w:sz="8" w:space="0" w:color="DA1F28" w:themeColor="accent2"/>
        <w:right w:val="single" w:sz="8" w:space="0" w:color="DA1F28" w:themeColor="accent2"/>
      </w:tblBorders>
    </w:tblPr>
    <w:tblStylePr w:type="firstRow">
      <w:rPr>
        <w:sz w:val="24"/>
        <w:szCs w:val="24"/>
      </w:rPr>
      <w:tblPr/>
      <w:tcPr>
        <w:tcBorders>
          <w:top w:val="nil"/>
          <w:left w:val="nil"/>
          <w:bottom w:val="single" w:sz="24" w:space="0" w:color="DA1F28" w:themeColor="accent2"/>
          <w:right w:val="nil"/>
          <w:insideH w:val="nil"/>
          <w:insideV w:val="nil"/>
        </w:tcBorders>
        <w:shd w:val="clear" w:color="auto" w:fill="FFFFFF" w:themeFill="background1"/>
      </w:tcPr>
    </w:tblStylePr>
    <w:tblStylePr w:type="lastRow">
      <w:tblPr/>
      <w:tcPr>
        <w:tcBorders>
          <w:top w:val="single" w:sz="8" w:space="0" w:color="DA1F28"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A1F28" w:themeColor="accent2"/>
          <w:insideH w:val="nil"/>
          <w:insideV w:val="nil"/>
        </w:tcBorders>
        <w:shd w:val="clear" w:color="auto" w:fill="FFFFFF" w:themeFill="background1"/>
      </w:tcPr>
    </w:tblStylePr>
    <w:tblStylePr w:type="lastCol">
      <w:tblPr/>
      <w:tcPr>
        <w:tcBorders>
          <w:top w:val="nil"/>
          <w:left w:val="single" w:sz="8" w:space="0" w:color="DA1F2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C6C8" w:themeFill="accent2" w:themeFillTint="3F"/>
      </w:tcPr>
    </w:tblStylePr>
    <w:tblStylePr w:type="band1Horz">
      <w:tblPr/>
      <w:tcPr>
        <w:tcBorders>
          <w:top w:val="nil"/>
          <w:bottom w:val="nil"/>
          <w:insideH w:val="nil"/>
          <w:insideV w:val="nil"/>
        </w:tcBorders>
        <w:shd w:val="clear" w:color="auto" w:fill="F7C6C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B641B" w:themeColor="accent3"/>
        <w:left w:val="single" w:sz="8" w:space="0" w:color="EB641B" w:themeColor="accent3"/>
        <w:bottom w:val="single" w:sz="8" w:space="0" w:color="EB641B" w:themeColor="accent3"/>
        <w:right w:val="single" w:sz="8" w:space="0" w:color="EB641B" w:themeColor="accent3"/>
      </w:tblBorders>
    </w:tblPr>
    <w:tblStylePr w:type="firstRow">
      <w:rPr>
        <w:sz w:val="24"/>
        <w:szCs w:val="24"/>
      </w:rPr>
      <w:tblPr/>
      <w:tcPr>
        <w:tcBorders>
          <w:top w:val="nil"/>
          <w:left w:val="nil"/>
          <w:bottom w:val="single" w:sz="24" w:space="0" w:color="EB641B" w:themeColor="accent3"/>
          <w:right w:val="nil"/>
          <w:insideH w:val="nil"/>
          <w:insideV w:val="nil"/>
        </w:tcBorders>
        <w:shd w:val="clear" w:color="auto" w:fill="FFFFFF" w:themeFill="background1"/>
      </w:tcPr>
    </w:tblStylePr>
    <w:tblStylePr w:type="lastRow">
      <w:tblPr/>
      <w:tcPr>
        <w:tcBorders>
          <w:top w:val="single" w:sz="8" w:space="0" w:color="EB641B"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B641B" w:themeColor="accent3"/>
          <w:insideH w:val="nil"/>
          <w:insideV w:val="nil"/>
        </w:tcBorders>
        <w:shd w:val="clear" w:color="auto" w:fill="FFFFFF" w:themeFill="background1"/>
      </w:tcPr>
    </w:tblStylePr>
    <w:tblStylePr w:type="lastCol">
      <w:tblPr/>
      <w:tcPr>
        <w:tcBorders>
          <w:top w:val="nil"/>
          <w:left w:val="single" w:sz="8" w:space="0" w:color="EB641B"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8C6" w:themeFill="accent3" w:themeFillTint="3F"/>
      </w:tcPr>
    </w:tblStylePr>
    <w:tblStylePr w:type="band1Horz">
      <w:tblPr/>
      <w:tcPr>
        <w:tcBorders>
          <w:top w:val="nil"/>
          <w:bottom w:val="nil"/>
          <w:insideH w:val="nil"/>
          <w:insideV w:val="nil"/>
        </w:tcBorders>
        <w:shd w:val="clear" w:color="auto" w:fill="FAD8C6"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9639D" w:themeColor="accent4"/>
        <w:left w:val="single" w:sz="8" w:space="0" w:color="39639D" w:themeColor="accent4"/>
        <w:bottom w:val="single" w:sz="8" w:space="0" w:color="39639D" w:themeColor="accent4"/>
        <w:right w:val="single" w:sz="8" w:space="0" w:color="39639D" w:themeColor="accent4"/>
      </w:tblBorders>
    </w:tblPr>
    <w:tblStylePr w:type="firstRow">
      <w:rPr>
        <w:sz w:val="24"/>
        <w:szCs w:val="24"/>
      </w:rPr>
      <w:tblPr/>
      <w:tcPr>
        <w:tcBorders>
          <w:top w:val="nil"/>
          <w:left w:val="nil"/>
          <w:bottom w:val="single" w:sz="24" w:space="0" w:color="39639D" w:themeColor="accent4"/>
          <w:right w:val="nil"/>
          <w:insideH w:val="nil"/>
          <w:insideV w:val="nil"/>
        </w:tcBorders>
        <w:shd w:val="clear" w:color="auto" w:fill="FFFFFF" w:themeFill="background1"/>
      </w:tcPr>
    </w:tblStylePr>
    <w:tblStylePr w:type="lastRow">
      <w:tblPr/>
      <w:tcPr>
        <w:tcBorders>
          <w:top w:val="single" w:sz="8" w:space="0" w:color="39639D"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9639D" w:themeColor="accent4"/>
          <w:insideH w:val="nil"/>
          <w:insideV w:val="nil"/>
        </w:tcBorders>
        <w:shd w:val="clear" w:color="auto" w:fill="FFFFFF" w:themeFill="background1"/>
      </w:tcPr>
    </w:tblStylePr>
    <w:tblStylePr w:type="lastCol">
      <w:tblPr/>
      <w:tcPr>
        <w:tcBorders>
          <w:top w:val="nil"/>
          <w:left w:val="single" w:sz="8" w:space="0" w:color="39639D"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9D7EB" w:themeFill="accent4" w:themeFillTint="3F"/>
      </w:tcPr>
    </w:tblStylePr>
    <w:tblStylePr w:type="band1Horz">
      <w:tblPr/>
      <w:tcPr>
        <w:tcBorders>
          <w:top w:val="nil"/>
          <w:bottom w:val="nil"/>
          <w:insideH w:val="nil"/>
          <w:insideV w:val="nil"/>
        </w:tcBorders>
        <w:shd w:val="clear" w:color="auto" w:fill="C9D7E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74B78" w:themeColor="accent5"/>
        <w:left w:val="single" w:sz="8" w:space="0" w:color="474B78" w:themeColor="accent5"/>
        <w:bottom w:val="single" w:sz="8" w:space="0" w:color="474B78" w:themeColor="accent5"/>
        <w:right w:val="single" w:sz="8" w:space="0" w:color="474B78" w:themeColor="accent5"/>
      </w:tblBorders>
    </w:tblPr>
    <w:tblStylePr w:type="firstRow">
      <w:rPr>
        <w:sz w:val="24"/>
        <w:szCs w:val="24"/>
      </w:rPr>
      <w:tblPr/>
      <w:tcPr>
        <w:tcBorders>
          <w:top w:val="nil"/>
          <w:left w:val="nil"/>
          <w:bottom w:val="single" w:sz="24" w:space="0" w:color="474B78" w:themeColor="accent5"/>
          <w:right w:val="nil"/>
          <w:insideH w:val="nil"/>
          <w:insideV w:val="nil"/>
        </w:tcBorders>
        <w:shd w:val="clear" w:color="auto" w:fill="FFFFFF" w:themeFill="background1"/>
      </w:tcPr>
    </w:tblStylePr>
    <w:tblStylePr w:type="lastRow">
      <w:tblPr/>
      <w:tcPr>
        <w:tcBorders>
          <w:top w:val="single" w:sz="8" w:space="0" w:color="474B78"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74B78" w:themeColor="accent5"/>
          <w:insideH w:val="nil"/>
          <w:insideV w:val="nil"/>
        </w:tcBorders>
        <w:shd w:val="clear" w:color="auto" w:fill="FFFFFF" w:themeFill="background1"/>
      </w:tcPr>
    </w:tblStylePr>
    <w:tblStylePr w:type="lastCol">
      <w:tblPr/>
      <w:tcPr>
        <w:tcBorders>
          <w:top w:val="nil"/>
          <w:left w:val="single" w:sz="8" w:space="0" w:color="474B78"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DCEE1" w:themeFill="accent5" w:themeFillTint="3F"/>
      </w:tcPr>
    </w:tblStylePr>
    <w:tblStylePr w:type="band1Horz">
      <w:tblPr/>
      <w:tcPr>
        <w:tcBorders>
          <w:top w:val="nil"/>
          <w:bottom w:val="nil"/>
          <w:insideH w:val="nil"/>
          <w:insideV w:val="nil"/>
        </w:tcBorders>
        <w:shd w:val="clear" w:color="auto" w:fill="CDCEE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D3C4A" w:themeColor="accent6"/>
        <w:left w:val="single" w:sz="8" w:space="0" w:color="7D3C4A" w:themeColor="accent6"/>
        <w:bottom w:val="single" w:sz="8" w:space="0" w:color="7D3C4A" w:themeColor="accent6"/>
        <w:right w:val="single" w:sz="8" w:space="0" w:color="7D3C4A" w:themeColor="accent6"/>
      </w:tblBorders>
    </w:tblPr>
    <w:tblStylePr w:type="firstRow">
      <w:rPr>
        <w:sz w:val="24"/>
        <w:szCs w:val="24"/>
      </w:rPr>
      <w:tblPr/>
      <w:tcPr>
        <w:tcBorders>
          <w:top w:val="nil"/>
          <w:left w:val="nil"/>
          <w:bottom w:val="single" w:sz="24" w:space="0" w:color="7D3C4A" w:themeColor="accent6"/>
          <w:right w:val="nil"/>
          <w:insideH w:val="nil"/>
          <w:insideV w:val="nil"/>
        </w:tcBorders>
        <w:shd w:val="clear" w:color="auto" w:fill="FFFFFF" w:themeFill="background1"/>
      </w:tcPr>
    </w:tblStylePr>
    <w:tblStylePr w:type="lastRow">
      <w:tblPr/>
      <w:tcPr>
        <w:tcBorders>
          <w:top w:val="single" w:sz="8" w:space="0" w:color="7D3C4A"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D3C4A" w:themeColor="accent6"/>
          <w:insideH w:val="nil"/>
          <w:insideV w:val="nil"/>
        </w:tcBorders>
        <w:shd w:val="clear" w:color="auto" w:fill="FFFFFF" w:themeFill="background1"/>
      </w:tcPr>
    </w:tblStylePr>
    <w:tblStylePr w:type="lastCol">
      <w:tblPr/>
      <w:tcPr>
        <w:tcBorders>
          <w:top w:val="nil"/>
          <w:left w:val="single" w:sz="8" w:space="0" w:color="7D3C4A"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C8CE" w:themeFill="accent6" w:themeFillTint="3F"/>
      </w:tcPr>
    </w:tblStylePr>
    <w:tblStylePr w:type="band1Horz">
      <w:tblPr/>
      <w:tcPr>
        <w:tcBorders>
          <w:top w:val="nil"/>
          <w:bottom w:val="nil"/>
          <w:insideH w:val="nil"/>
          <w:insideV w:val="nil"/>
        </w:tcBorders>
        <w:shd w:val="clear" w:color="auto" w:fill="E5C8CE"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58BED7" w:themeColor="accent1" w:themeTint="BF"/>
        <w:left w:val="single" w:sz="8" w:space="0" w:color="58BED7" w:themeColor="accent1" w:themeTint="BF"/>
        <w:bottom w:val="single" w:sz="8" w:space="0" w:color="58BED7" w:themeColor="accent1" w:themeTint="BF"/>
        <w:right w:val="single" w:sz="8" w:space="0" w:color="58BED7" w:themeColor="accent1" w:themeTint="BF"/>
        <w:insideH w:val="single" w:sz="8" w:space="0" w:color="58BED7" w:themeColor="accent1" w:themeTint="BF"/>
        <w:insideV w:val="single" w:sz="8" w:space="0" w:color="58BED7" w:themeColor="accent1" w:themeTint="BF"/>
      </w:tblBorders>
    </w:tblPr>
    <w:tcPr>
      <w:shd w:val="clear" w:color="auto" w:fill="C7E9F2" w:themeFill="accent1" w:themeFillTint="3F"/>
    </w:tcPr>
    <w:tblStylePr w:type="firstRow">
      <w:rPr>
        <w:b/>
        <w:bCs/>
      </w:rPr>
    </w:tblStylePr>
    <w:tblStylePr w:type="lastRow">
      <w:rPr>
        <w:b/>
        <w:bCs/>
      </w:rPr>
      <w:tblPr/>
      <w:tcPr>
        <w:tcBorders>
          <w:top w:val="single" w:sz="18" w:space="0" w:color="58BED7" w:themeColor="accent1" w:themeTint="BF"/>
        </w:tcBorders>
      </w:tcPr>
    </w:tblStylePr>
    <w:tblStylePr w:type="firstCol">
      <w:rPr>
        <w:b/>
        <w:bCs/>
      </w:rPr>
    </w:tblStylePr>
    <w:tblStylePr w:type="lastCol">
      <w:rPr>
        <w:b/>
        <w:bCs/>
      </w:rPr>
    </w:tblStylePr>
    <w:tblStylePr w:type="band1Vert">
      <w:tblPr/>
      <w:tcPr>
        <w:shd w:val="clear" w:color="auto" w:fill="90D4E5" w:themeFill="accent1" w:themeFillTint="7F"/>
      </w:tcPr>
    </w:tblStylePr>
    <w:tblStylePr w:type="band1Horz">
      <w:tblPr/>
      <w:tcPr>
        <w:shd w:val="clear" w:color="auto" w:fill="90D4E5"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E6535A" w:themeColor="accent2" w:themeTint="BF"/>
        <w:left w:val="single" w:sz="8" w:space="0" w:color="E6535A" w:themeColor="accent2" w:themeTint="BF"/>
        <w:bottom w:val="single" w:sz="8" w:space="0" w:color="E6535A" w:themeColor="accent2" w:themeTint="BF"/>
        <w:right w:val="single" w:sz="8" w:space="0" w:color="E6535A" w:themeColor="accent2" w:themeTint="BF"/>
        <w:insideH w:val="single" w:sz="8" w:space="0" w:color="E6535A" w:themeColor="accent2" w:themeTint="BF"/>
        <w:insideV w:val="single" w:sz="8" w:space="0" w:color="E6535A" w:themeColor="accent2" w:themeTint="BF"/>
      </w:tblBorders>
    </w:tblPr>
    <w:tcPr>
      <w:shd w:val="clear" w:color="auto" w:fill="F7C6C8" w:themeFill="accent2" w:themeFillTint="3F"/>
    </w:tcPr>
    <w:tblStylePr w:type="firstRow">
      <w:rPr>
        <w:b/>
        <w:bCs/>
      </w:rPr>
    </w:tblStylePr>
    <w:tblStylePr w:type="lastRow">
      <w:rPr>
        <w:b/>
        <w:bCs/>
      </w:rPr>
      <w:tblPr/>
      <w:tcPr>
        <w:tcBorders>
          <w:top w:val="single" w:sz="18" w:space="0" w:color="E6535A" w:themeColor="accent2" w:themeTint="BF"/>
        </w:tcBorders>
      </w:tcPr>
    </w:tblStylePr>
    <w:tblStylePr w:type="firstCol">
      <w:rPr>
        <w:b/>
        <w:bCs/>
      </w:rPr>
    </w:tblStylePr>
    <w:tblStylePr w:type="lastCol">
      <w:rPr>
        <w:b/>
        <w:bCs/>
      </w:rPr>
    </w:tblStylePr>
    <w:tblStylePr w:type="band1Vert">
      <w:tblPr/>
      <w:tcPr>
        <w:shd w:val="clear" w:color="auto" w:fill="EE8D91" w:themeFill="accent2" w:themeFillTint="7F"/>
      </w:tcPr>
    </w:tblStylePr>
    <w:tblStylePr w:type="band1Horz">
      <w:tblPr/>
      <w:tcPr>
        <w:shd w:val="clear" w:color="auto" w:fill="EE8D91"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F08A54" w:themeColor="accent3" w:themeTint="BF"/>
        <w:left w:val="single" w:sz="8" w:space="0" w:color="F08A54" w:themeColor="accent3" w:themeTint="BF"/>
        <w:bottom w:val="single" w:sz="8" w:space="0" w:color="F08A54" w:themeColor="accent3" w:themeTint="BF"/>
        <w:right w:val="single" w:sz="8" w:space="0" w:color="F08A54" w:themeColor="accent3" w:themeTint="BF"/>
        <w:insideH w:val="single" w:sz="8" w:space="0" w:color="F08A54" w:themeColor="accent3" w:themeTint="BF"/>
        <w:insideV w:val="single" w:sz="8" w:space="0" w:color="F08A54" w:themeColor="accent3" w:themeTint="BF"/>
      </w:tblBorders>
    </w:tblPr>
    <w:tcPr>
      <w:shd w:val="clear" w:color="auto" w:fill="FAD8C6" w:themeFill="accent3" w:themeFillTint="3F"/>
    </w:tcPr>
    <w:tblStylePr w:type="firstRow">
      <w:rPr>
        <w:b/>
        <w:bCs/>
      </w:rPr>
    </w:tblStylePr>
    <w:tblStylePr w:type="lastRow">
      <w:rPr>
        <w:b/>
        <w:bCs/>
      </w:rPr>
      <w:tblPr/>
      <w:tcPr>
        <w:tcBorders>
          <w:top w:val="single" w:sz="18" w:space="0" w:color="F08A54" w:themeColor="accent3" w:themeTint="BF"/>
        </w:tcBorders>
      </w:tcPr>
    </w:tblStylePr>
    <w:tblStylePr w:type="firstCol">
      <w:rPr>
        <w:b/>
        <w:bCs/>
      </w:rPr>
    </w:tblStylePr>
    <w:tblStylePr w:type="lastCol">
      <w:rPr>
        <w:b/>
        <w:bCs/>
      </w:rPr>
    </w:tblStylePr>
    <w:tblStylePr w:type="band1Vert">
      <w:tblPr/>
      <w:tcPr>
        <w:shd w:val="clear" w:color="auto" w:fill="F5B18D" w:themeFill="accent3" w:themeFillTint="7F"/>
      </w:tcPr>
    </w:tblStylePr>
    <w:tblStylePr w:type="band1Horz">
      <w:tblPr/>
      <w:tcPr>
        <w:shd w:val="clear" w:color="auto" w:fill="F5B18D"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5C87C3" w:themeColor="accent4" w:themeTint="BF"/>
        <w:left w:val="single" w:sz="8" w:space="0" w:color="5C87C3" w:themeColor="accent4" w:themeTint="BF"/>
        <w:bottom w:val="single" w:sz="8" w:space="0" w:color="5C87C3" w:themeColor="accent4" w:themeTint="BF"/>
        <w:right w:val="single" w:sz="8" w:space="0" w:color="5C87C3" w:themeColor="accent4" w:themeTint="BF"/>
        <w:insideH w:val="single" w:sz="8" w:space="0" w:color="5C87C3" w:themeColor="accent4" w:themeTint="BF"/>
        <w:insideV w:val="single" w:sz="8" w:space="0" w:color="5C87C3" w:themeColor="accent4" w:themeTint="BF"/>
      </w:tblBorders>
    </w:tblPr>
    <w:tcPr>
      <w:shd w:val="clear" w:color="auto" w:fill="C9D7EB" w:themeFill="accent4" w:themeFillTint="3F"/>
    </w:tcPr>
    <w:tblStylePr w:type="firstRow">
      <w:rPr>
        <w:b/>
        <w:bCs/>
      </w:rPr>
    </w:tblStylePr>
    <w:tblStylePr w:type="lastRow">
      <w:rPr>
        <w:b/>
        <w:bCs/>
      </w:rPr>
      <w:tblPr/>
      <w:tcPr>
        <w:tcBorders>
          <w:top w:val="single" w:sz="18" w:space="0" w:color="5C87C3" w:themeColor="accent4" w:themeTint="BF"/>
        </w:tcBorders>
      </w:tcPr>
    </w:tblStylePr>
    <w:tblStylePr w:type="firstCol">
      <w:rPr>
        <w:b/>
        <w:bCs/>
      </w:rPr>
    </w:tblStylePr>
    <w:tblStylePr w:type="lastCol">
      <w:rPr>
        <w:b/>
        <w:bCs/>
      </w:rPr>
    </w:tblStylePr>
    <w:tblStylePr w:type="band1Vert">
      <w:tblPr/>
      <w:tcPr>
        <w:shd w:val="clear" w:color="auto" w:fill="92AFD7" w:themeFill="accent4" w:themeFillTint="7F"/>
      </w:tcPr>
    </w:tblStylePr>
    <w:tblStylePr w:type="band1Horz">
      <w:tblPr/>
      <w:tcPr>
        <w:shd w:val="clear" w:color="auto" w:fill="92AFD7"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686DA6" w:themeColor="accent5" w:themeTint="BF"/>
        <w:left w:val="single" w:sz="8" w:space="0" w:color="686DA6" w:themeColor="accent5" w:themeTint="BF"/>
        <w:bottom w:val="single" w:sz="8" w:space="0" w:color="686DA6" w:themeColor="accent5" w:themeTint="BF"/>
        <w:right w:val="single" w:sz="8" w:space="0" w:color="686DA6" w:themeColor="accent5" w:themeTint="BF"/>
        <w:insideH w:val="single" w:sz="8" w:space="0" w:color="686DA6" w:themeColor="accent5" w:themeTint="BF"/>
        <w:insideV w:val="single" w:sz="8" w:space="0" w:color="686DA6" w:themeColor="accent5" w:themeTint="BF"/>
      </w:tblBorders>
    </w:tblPr>
    <w:tcPr>
      <w:shd w:val="clear" w:color="auto" w:fill="CDCEE1" w:themeFill="accent5" w:themeFillTint="3F"/>
    </w:tcPr>
    <w:tblStylePr w:type="firstRow">
      <w:rPr>
        <w:b/>
        <w:bCs/>
      </w:rPr>
    </w:tblStylePr>
    <w:tblStylePr w:type="lastRow">
      <w:rPr>
        <w:b/>
        <w:bCs/>
      </w:rPr>
      <w:tblPr/>
      <w:tcPr>
        <w:tcBorders>
          <w:top w:val="single" w:sz="18" w:space="0" w:color="686DA6" w:themeColor="accent5" w:themeTint="BF"/>
        </w:tcBorders>
      </w:tcPr>
    </w:tblStylePr>
    <w:tblStylePr w:type="firstCol">
      <w:rPr>
        <w:b/>
        <w:bCs/>
      </w:rPr>
    </w:tblStylePr>
    <w:tblStylePr w:type="lastCol">
      <w:rPr>
        <w:b/>
        <w:bCs/>
      </w:rPr>
    </w:tblStylePr>
    <w:tblStylePr w:type="band1Vert">
      <w:tblPr/>
      <w:tcPr>
        <w:shd w:val="clear" w:color="auto" w:fill="9B9EC4" w:themeFill="accent5" w:themeFillTint="7F"/>
      </w:tcPr>
    </w:tblStylePr>
    <w:tblStylePr w:type="band1Horz">
      <w:tblPr/>
      <w:tcPr>
        <w:shd w:val="clear" w:color="auto" w:fill="9B9EC4"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B05A6C" w:themeColor="accent6" w:themeTint="BF"/>
        <w:left w:val="single" w:sz="8" w:space="0" w:color="B05A6C" w:themeColor="accent6" w:themeTint="BF"/>
        <w:bottom w:val="single" w:sz="8" w:space="0" w:color="B05A6C" w:themeColor="accent6" w:themeTint="BF"/>
        <w:right w:val="single" w:sz="8" w:space="0" w:color="B05A6C" w:themeColor="accent6" w:themeTint="BF"/>
        <w:insideH w:val="single" w:sz="8" w:space="0" w:color="B05A6C" w:themeColor="accent6" w:themeTint="BF"/>
        <w:insideV w:val="single" w:sz="8" w:space="0" w:color="B05A6C" w:themeColor="accent6" w:themeTint="BF"/>
      </w:tblBorders>
    </w:tblPr>
    <w:tcPr>
      <w:shd w:val="clear" w:color="auto" w:fill="E5C8CE" w:themeFill="accent6" w:themeFillTint="3F"/>
    </w:tcPr>
    <w:tblStylePr w:type="firstRow">
      <w:rPr>
        <w:b/>
        <w:bCs/>
      </w:rPr>
    </w:tblStylePr>
    <w:tblStylePr w:type="lastRow">
      <w:rPr>
        <w:b/>
        <w:bCs/>
      </w:rPr>
      <w:tblPr/>
      <w:tcPr>
        <w:tcBorders>
          <w:top w:val="single" w:sz="18" w:space="0" w:color="B05A6C" w:themeColor="accent6" w:themeTint="BF"/>
        </w:tcBorders>
      </w:tcPr>
    </w:tblStylePr>
    <w:tblStylePr w:type="firstCol">
      <w:rPr>
        <w:b/>
        <w:bCs/>
      </w:rPr>
    </w:tblStylePr>
    <w:tblStylePr w:type="lastCol">
      <w:rPr>
        <w:b/>
        <w:bCs/>
      </w:rPr>
    </w:tblStylePr>
    <w:tblStylePr w:type="band1Vert">
      <w:tblPr/>
      <w:tcPr>
        <w:shd w:val="clear" w:color="auto" w:fill="CA919D" w:themeFill="accent6" w:themeFillTint="7F"/>
      </w:tcPr>
    </w:tblStylePr>
    <w:tblStylePr w:type="band1Horz">
      <w:tblPr/>
      <w:tcPr>
        <w:shd w:val="clear" w:color="auto" w:fill="CA919D"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DA2BF" w:themeColor="accent1"/>
        <w:left w:val="single" w:sz="8" w:space="0" w:color="2DA2BF" w:themeColor="accent1"/>
        <w:bottom w:val="single" w:sz="8" w:space="0" w:color="2DA2BF" w:themeColor="accent1"/>
        <w:right w:val="single" w:sz="8" w:space="0" w:color="2DA2BF" w:themeColor="accent1"/>
        <w:insideH w:val="single" w:sz="8" w:space="0" w:color="2DA2BF" w:themeColor="accent1"/>
        <w:insideV w:val="single" w:sz="8" w:space="0" w:color="2DA2BF" w:themeColor="accent1"/>
      </w:tblBorders>
    </w:tblPr>
    <w:tcPr>
      <w:shd w:val="clear" w:color="auto" w:fill="C7E9F2" w:themeFill="accent1" w:themeFillTint="3F"/>
    </w:tcPr>
    <w:tblStylePr w:type="firstRow">
      <w:rPr>
        <w:b/>
        <w:bCs/>
        <w:color w:val="000000" w:themeColor="text1"/>
      </w:rPr>
      <w:tblPr/>
      <w:tcPr>
        <w:shd w:val="clear" w:color="auto" w:fill="E9F6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2EDF4" w:themeFill="accent1" w:themeFillTint="33"/>
      </w:tcPr>
    </w:tblStylePr>
    <w:tblStylePr w:type="band1Vert">
      <w:tblPr/>
      <w:tcPr>
        <w:shd w:val="clear" w:color="auto" w:fill="90D4E5" w:themeFill="accent1" w:themeFillTint="7F"/>
      </w:tcPr>
    </w:tblStylePr>
    <w:tblStylePr w:type="band1Horz">
      <w:tblPr/>
      <w:tcPr>
        <w:tcBorders>
          <w:insideH w:val="single" w:sz="6" w:space="0" w:color="2DA2BF" w:themeColor="accent1"/>
          <w:insideV w:val="single" w:sz="6" w:space="0" w:color="2DA2BF" w:themeColor="accent1"/>
        </w:tcBorders>
        <w:shd w:val="clear" w:color="auto" w:fill="90D4E5"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A1F28" w:themeColor="accent2"/>
        <w:left w:val="single" w:sz="8" w:space="0" w:color="DA1F28" w:themeColor="accent2"/>
        <w:bottom w:val="single" w:sz="8" w:space="0" w:color="DA1F28" w:themeColor="accent2"/>
        <w:right w:val="single" w:sz="8" w:space="0" w:color="DA1F28" w:themeColor="accent2"/>
        <w:insideH w:val="single" w:sz="8" w:space="0" w:color="DA1F28" w:themeColor="accent2"/>
        <w:insideV w:val="single" w:sz="8" w:space="0" w:color="DA1F28" w:themeColor="accent2"/>
      </w:tblBorders>
    </w:tblPr>
    <w:tcPr>
      <w:shd w:val="clear" w:color="auto" w:fill="F7C6C8" w:themeFill="accent2" w:themeFillTint="3F"/>
    </w:tcPr>
    <w:tblStylePr w:type="firstRow">
      <w:rPr>
        <w:b/>
        <w:bCs/>
        <w:color w:val="000000" w:themeColor="text1"/>
      </w:rPr>
      <w:tblPr/>
      <w:tcPr>
        <w:shd w:val="clear" w:color="auto" w:fill="FBE8E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1D3" w:themeFill="accent2" w:themeFillTint="33"/>
      </w:tcPr>
    </w:tblStylePr>
    <w:tblStylePr w:type="band1Vert">
      <w:tblPr/>
      <w:tcPr>
        <w:shd w:val="clear" w:color="auto" w:fill="EE8D91" w:themeFill="accent2" w:themeFillTint="7F"/>
      </w:tcPr>
    </w:tblStylePr>
    <w:tblStylePr w:type="band1Horz">
      <w:tblPr/>
      <w:tcPr>
        <w:tcBorders>
          <w:insideH w:val="single" w:sz="6" w:space="0" w:color="DA1F28" w:themeColor="accent2"/>
          <w:insideV w:val="single" w:sz="6" w:space="0" w:color="DA1F28" w:themeColor="accent2"/>
        </w:tcBorders>
        <w:shd w:val="clear" w:color="auto" w:fill="EE8D9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B641B" w:themeColor="accent3"/>
        <w:left w:val="single" w:sz="8" w:space="0" w:color="EB641B" w:themeColor="accent3"/>
        <w:bottom w:val="single" w:sz="8" w:space="0" w:color="EB641B" w:themeColor="accent3"/>
        <w:right w:val="single" w:sz="8" w:space="0" w:color="EB641B" w:themeColor="accent3"/>
        <w:insideH w:val="single" w:sz="8" w:space="0" w:color="EB641B" w:themeColor="accent3"/>
        <w:insideV w:val="single" w:sz="8" w:space="0" w:color="EB641B" w:themeColor="accent3"/>
      </w:tblBorders>
    </w:tblPr>
    <w:tcPr>
      <w:shd w:val="clear" w:color="auto" w:fill="FAD8C6" w:themeFill="accent3" w:themeFillTint="3F"/>
    </w:tcPr>
    <w:tblStylePr w:type="firstRow">
      <w:rPr>
        <w:b/>
        <w:bCs/>
        <w:color w:val="000000" w:themeColor="text1"/>
      </w:rPr>
      <w:tblPr/>
      <w:tcPr>
        <w:shd w:val="clear" w:color="auto" w:fill="FDEF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DFD1" w:themeFill="accent3" w:themeFillTint="33"/>
      </w:tcPr>
    </w:tblStylePr>
    <w:tblStylePr w:type="band1Vert">
      <w:tblPr/>
      <w:tcPr>
        <w:shd w:val="clear" w:color="auto" w:fill="F5B18D" w:themeFill="accent3" w:themeFillTint="7F"/>
      </w:tcPr>
    </w:tblStylePr>
    <w:tblStylePr w:type="band1Horz">
      <w:tblPr/>
      <w:tcPr>
        <w:tcBorders>
          <w:insideH w:val="single" w:sz="6" w:space="0" w:color="EB641B" w:themeColor="accent3"/>
          <w:insideV w:val="single" w:sz="6" w:space="0" w:color="EB641B" w:themeColor="accent3"/>
        </w:tcBorders>
        <w:shd w:val="clear" w:color="auto" w:fill="F5B18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9639D" w:themeColor="accent4"/>
        <w:left w:val="single" w:sz="8" w:space="0" w:color="39639D" w:themeColor="accent4"/>
        <w:bottom w:val="single" w:sz="8" w:space="0" w:color="39639D" w:themeColor="accent4"/>
        <w:right w:val="single" w:sz="8" w:space="0" w:color="39639D" w:themeColor="accent4"/>
        <w:insideH w:val="single" w:sz="8" w:space="0" w:color="39639D" w:themeColor="accent4"/>
        <w:insideV w:val="single" w:sz="8" w:space="0" w:color="39639D" w:themeColor="accent4"/>
      </w:tblBorders>
    </w:tblPr>
    <w:tcPr>
      <w:shd w:val="clear" w:color="auto" w:fill="C9D7EB" w:themeFill="accent4" w:themeFillTint="3F"/>
    </w:tcPr>
    <w:tblStylePr w:type="firstRow">
      <w:rPr>
        <w:b/>
        <w:bCs/>
        <w:color w:val="000000" w:themeColor="text1"/>
      </w:rPr>
      <w:tblPr/>
      <w:tcPr>
        <w:shd w:val="clear" w:color="auto" w:fill="E9EFF7"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3DFEF" w:themeFill="accent4" w:themeFillTint="33"/>
      </w:tcPr>
    </w:tblStylePr>
    <w:tblStylePr w:type="band1Vert">
      <w:tblPr/>
      <w:tcPr>
        <w:shd w:val="clear" w:color="auto" w:fill="92AFD7" w:themeFill="accent4" w:themeFillTint="7F"/>
      </w:tcPr>
    </w:tblStylePr>
    <w:tblStylePr w:type="band1Horz">
      <w:tblPr/>
      <w:tcPr>
        <w:tcBorders>
          <w:insideH w:val="single" w:sz="6" w:space="0" w:color="39639D" w:themeColor="accent4"/>
          <w:insideV w:val="single" w:sz="6" w:space="0" w:color="39639D" w:themeColor="accent4"/>
        </w:tcBorders>
        <w:shd w:val="clear" w:color="auto" w:fill="92AFD7"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74B78" w:themeColor="accent5"/>
        <w:left w:val="single" w:sz="8" w:space="0" w:color="474B78" w:themeColor="accent5"/>
        <w:bottom w:val="single" w:sz="8" w:space="0" w:color="474B78" w:themeColor="accent5"/>
        <w:right w:val="single" w:sz="8" w:space="0" w:color="474B78" w:themeColor="accent5"/>
        <w:insideH w:val="single" w:sz="8" w:space="0" w:color="474B78" w:themeColor="accent5"/>
        <w:insideV w:val="single" w:sz="8" w:space="0" w:color="474B78" w:themeColor="accent5"/>
      </w:tblBorders>
    </w:tblPr>
    <w:tcPr>
      <w:shd w:val="clear" w:color="auto" w:fill="CDCEE1" w:themeFill="accent5" w:themeFillTint="3F"/>
    </w:tcPr>
    <w:tblStylePr w:type="firstRow">
      <w:rPr>
        <w:b/>
        <w:bCs/>
        <w:color w:val="000000" w:themeColor="text1"/>
      </w:rPr>
      <w:tblPr/>
      <w:tcPr>
        <w:shd w:val="clear" w:color="auto" w:fill="EBEBF3"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6D7E7" w:themeFill="accent5" w:themeFillTint="33"/>
      </w:tcPr>
    </w:tblStylePr>
    <w:tblStylePr w:type="band1Vert">
      <w:tblPr/>
      <w:tcPr>
        <w:shd w:val="clear" w:color="auto" w:fill="9B9EC4" w:themeFill="accent5" w:themeFillTint="7F"/>
      </w:tcPr>
    </w:tblStylePr>
    <w:tblStylePr w:type="band1Horz">
      <w:tblPr/>
      <w:tcPr>
        <w:tcBorders>
          <w:insideH w:val="single" w:sz="6" w:space="0" w:color="474B78" w:themeColor="accent5"/>
          <w:insideV w:val="single" w:sz="6" w:space="0" w:color="474B78" w:themeColor="accent5"/>
        </w:tcBorders>
        <w:shd w:val="clear" w:color="auto" w:fill="9B9EC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D3C4A" w:themeColor="accent6"/>
        <w:left w:val="single" w:sz="8" w:space="0" w:color="7D3C4A" w:themeColor="accent6"/>
        <w:bottom w:val="single" w:sz="8" w:space="0" w:color="7D3C4A" w:themeColor="accent6"/>
        <w:right w:val="single" w:sz="8" w:space="0" w:color="7D3C4A" w:themeColor="accent6"/>
        <w:insideH w:val="single" w:sz="8" w:space="0" w:color="7D3C4A" w:themeColor="accent6"/>
        <w:insideV w:val="single" w:sz="8" w:space="0" w:color="7D3C4A" w:themeColor="accent6"/>
      </w:tblBorders>
    </w:tblPr>
    <w:tcPr>
      <w:shd w:val="clear" w:color="auto" w:fill="E5C8CE" w:themeFill="accent6" w:themeFillTint="3F"/>
    </w:tcPr>
    <w:tblStylePr w:type="firstRow">
      <w:rPr>
        <w:b/>
        <w:bCs/>
        <w:color w:val="000000" w:themeColor="text1"/>
      </w:rPr>
      <w:tblPr/>
      <w:tcPr>
        <w:shd w:val="clear" w:color="auto" w:fill="F4E9EB"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D3D7" w:themeFill="accent6" w:themeFillTint="33"/>
      </w:tcPr>
    </w:tblStylePr>
    <w:tblStylePr w:type="band1Vert">
      <w:tblPr/>
      <w:tcPr>
        <w:shd w:val="clear" w:color="auto" w:fill="CA919D" w:themeFill="accent6" w:themeFillTint="7F"/>
      </w:tcPr>
    </w:tblStylePr>
    <w:tblStylePr w:type="band1Horz">
      <w:tblPr/>
      <w:tcPr>
        <w:tcBorders>
          <w:insideH w:val="single" w:sz="6" w:space="0" w:color="7D3C4A" w:themeColor="accent6"/>
          <w:insideV w:val="single" w:sz="6" w:space="0" w:color="7D3C4A" w:themeColor="accent6"/>
        </w:tcBorders>
        <w:shd w:val="clear" w:color="auto" w:fill="CA919D"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7E9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DA2BF"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DA2BF"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DA2BF"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DA2BF"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0D4E5"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0D4E5"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C6C8"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A1F2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A1F2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A1F2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A1F2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8D9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8D91"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8C6"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B641B"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B641B"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B641B"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B641B"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5B18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5B18D"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9D7E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9639D"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9639D"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9639D"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9639D"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2AFD7"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2AFD7"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DCEE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74B78"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74B78"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74B78"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74B78"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B9EC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B9EC4"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C8CE"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D3C4A"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D3C4A"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D3C4A"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D3C4A"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919D"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919D"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2DA2BF"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6505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1798E"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1798E" w:themeFill="accent1" w:themeFillShade="BF"/>
      </w:tcPr>
    </w:tblStylePr>
    <w:tblStylePr w:type="band1Vert">
      <w:tblPr/>
      <w:tcPr>
        <w:tcBorders>
          <w:top w:val="nil"/>
          <w:left w:val="nil"/>
          <w:bottom w:val="nil"/>
          <w:right w:val="nil"/>
          <w:insideH w:val="nil"/>
          <w:insideV w:val="nil"/>
        </w:tcBorders>
        <w:shd w:val="clear" w:color="auto" w:fill="21798E" w:themeFill="accent1" w:themeFillShade="BF"/>
      </w:tcPr>
    </w:tblStylePr>
    <w:tblStylePr w:type="band1Horz">
      <w:tblPr/>
      <w:tcPr>
        <w:tcBorders>
          <w:top w:val="nil"/>
          <w:left w:val="nil"/>
          <w:bottom w:val="nil"/>
          <w:right w:val="nil"/>
          <w:insideH w:val="nil"/>
          <w:insideV w:val="nil"/>
        </w:tcBorders>
        <w:shd w:val="clear" w:color="auto" w:fill="21798E"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DA1F2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C0F1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A3171D"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A3171D" w:themeFill="accent2" w:themeFillShade="BF"/>
      </w:tcPr>
    </w:tblStylePr>
    <w:tblStylePr w:type="band1Vert">
      <w:tblPr/>
      <w:tcPr>
        <w:tcBorders>
          <w:top w:val="nil"/>
          <w:left w:val="nil"/>
          <w:bottom w:val="nil"/>
          <w:right w:val="nil"/>
          <w:insideH w:val="nil"/>
          <w:insideV w:val="nil"/>
        </w:tcBorders>
        <w:shd w:val="clear" w:color="auto" w:fill="A3171D" w:themeFill="accent2" w:themeFillShade="BF"/>
      </w:tcPr>
    </w:tblStylePr>
    <w:tblStylePr w:type="band1Horz">
      <w:tblPr/>
      <w:tcPr>
        <w:tcBorders>
          <w:top w:val="nil"/>
          <w:left w:val="nil"/>
          <w:bottom w:val="nil"/>
          <w:right w:val="nil"/>
          <w:insideH w:val="nil"/>
          <w:insideV w:val="nil"/>
        </w:tcBorders>
        <w:shd w:val="clear" w:color="auto" w:fill="A3171D"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EB641B"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7300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4490F"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4490F" w:themeFill="accent3" w:themeFillShade="BF"/>
      </w:tcPr>
    </w:tblStylePr>
    <w:tblStylePr w:type="band1Vert">
      <w:tblPr/>
      <w:tcPr>
        <w:tcBorders>
          <w:top w:val="nil"/>
          <w:left w:val="nil"/>
          <w:bottom w:val="nil"/>
          <w:right w:val="nil"/>
          <w:insideH w:val="nil"/>
          <w:insideV w:val="nil"/>
        </w:tcBorders>
        <w:shd w:val="clear" w:color="auto" w:fill="B4490F" w:themeFill="accent3" w:themeFillShade="BF"/>
      </w:tcPr>
    </w:tblStylePr>
    <w:tblStylePr w:type="band1Horz">
      <w:tblPr/>
      <w:tcPr>
        <w:tcBorders>
          <w:top w:val="nil"/>
          <w:left w:val="nil"/>
          <w:bottom w:val="nil"/>
          <w:right w:val="nil"/>
          <w:insideH w:val="nil"/>
          <w:insideV w:val="nil"/>
        </w:tcBorders>
        <w:shd w:val="clear" w:color="auto" w:fill="B4490F"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39639D"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C314D"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2A4975"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2A4975" w:themeFill="accent4" w:themeFillShade="BF"/>
      </w:tcPr>
    </w:tblStylePr>
    <w:tblStylePr w:type="band1Vert">
      <w:tblPr/>
      <w:tcPr>
        <w:tcBorders>
          <w:top w:val="nil"/>
          <w:left w:val="nil"/>
          <w:bottom w:val="nil"/>
          <w:right w:val="nil"/>
          <w:insideH w:val="nil"/>
          <w:insideV w:val="nil"/>
        </w:tcBorders>
        <w:shd w:val="clear" w:color="auto" w:fill="2A4975" w:themeFill="accent4" w:themeFillShade="BF"/>
      </w:tcPr>
    </w:tblStylePr>
    <w:tblStylePr w:type="band1Horz">
      <w:tblPr/>
      <w:tcPr>
        <w:tcBorders>
          <w:top w:val="nil"/>
          <w:left w:val="nil"/>
          <w:bottom w:val="nil"/>
          <w:right w:val="nil"/>
          <w:insideH w:val="nil"/>
          <w:insideV w:val="nil"/>
        </w:tcBorders>
        <w:shd w:val="clear" w:color="auto" w:fill="2A4975"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74B78"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3253B"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53859"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53859" w:themeFill="accent5" w:themeFillShade="BF"/>
      </w:tcPr>
    </w:tblStylePr>
    <w:tblStylePr w:type="band1Vert">
      <w:tblPr/>
      <w:tcPr>
        <w:tcBorders>
          <w:top w:val="nil"/>
          <w:left w:val="nil"/>
          <w:bottom w:val="nil"/>
          <w:right w:val="nil"/>
          <w:insideH w:val="nil"/>
          <w:insideV w:val="nil"/>
        </w:tcBorders>
        <w:shd w:val="clear" w:color="auto" w:fill="353859" w:themeFill="accent5" w:themeFillShade="BF"/>
      </w:tcPr>
    </w:tblStylePr>
    <w:tblStylePr w:type="band1Horz">
      <w:tblPr/>
      <w:tcPr>
        <w:tcBorders>
          <w:top w:val="nil"/>
          <w:left w:val="nil"/>
          <w:bottom w:val="nil"/>
          <w:right w:val="nil"/>
          <w:insideH w:val="nil"/>
          <w:insideV w:val="nil"/>
        </w:tcBorders>
        <w:shd w:val="clear" w:color="auto" w:fill="353859"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7D3C4A"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E24"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D2D37"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D2D37" w:themeFill="accent6" w:themeFillShade="BF"/>
      </w:tcPr>
    </w:tblStylePr>
    <w:tblStylePr w:type="band1Vert">
      <w:tblPr/>
      <w:tcPr>
        <w:tcBorders>
          <w:top w:val="nil"/>
          <w:left w:val="nil"/>
          <w:bottom w:val="nil"/>
          <w:right w:val="nil"/>
          <w:insideH w:val="nil"/>
          <w:insideV w:val="nil"/>
        </w:tcBorders>
        <w:shd w:val="clear" w:color="auto" w:fill="5D2D37" w:themeFill="accent6" w:themeFillShade="BF"/>
      </w:tcPr>
    </w:tblStylePr>
    <w:tblStylePr w:type="band1Horz">
      <w:tblPr/>
      <w:tcPr>
        <w:tcBorders>
          <w:top w:val="nil"/>
          <w:left w:val="nil"/>
          <w:bottom w:val="nil"/>
          <w:right w:val="nil"/>
          <w:insideH w:val="nil"/>
          <w:insideV w:val="nil"/>
        </w:tcBorders>
        <w:shd w:val="clear" w:color="auto" w:fill="5D2D37"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DA1F2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A1F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DA1F28" w:themeColor="accent2"/>
        <w:left w:val="single" w:sz="4" w:space="0" w:color="2DA2BF" w:themeColor="accent1"/>
        <w:bottom w:val="single" w:sz="4" w:space="0" w:color="2DA2BF" w:themeColor="accent1"/>
        <w:right w:val="single" w:sz="4" w:space="0" w:color="2DA2BF" w:themeColor="accent1"/>
        <w:insideH w:val="single" w:sz="4" w:space="0" w:color="FFFFFF" w:themeColor="background1"/>
        <w:insideV w:val="single" w:sz="4" w:space="0" w:color="FFFFFF" w:themeColor="background1"/>
      </w:tblBorders>
    </w:tblPr>
    <w:tcPr>
      <w:shd w:val="clear" w:color="auto" w:fill="E9F6FA" w:themeFill="accent1" w:themeFillTint="19"/>
    </w:tcPr>
    <w:tblStylePr w:type="firstRow">
      <w:rPr>
        <w:b/>
        <w:bCs/>
      </w:rPr>
      <w:tblPr/>
      <w:tcPr>
        <w:tcBorders>
          <w:top w:val="nil"/>
          <w:left w:val="nil"/>
          <w:bottom w:val="single" w:sz="24" w:space="0" w:color="DA1F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B6072" w:themeFill="accent1" w:themeFillShade="99"/>
      </w:tcPr>
    </w:tblStylePr>
    <w:tblStylePr w:type="firstCol">
      <w:rPr>
        <w:color w:val="FFFFFF" w:themeColor="background1"/>
      </w:rPr>
      <w:tblPr/>
      <w:tcPr>
        <w:tcBorders>
          <w:top w:val="nil"/>
          <w:left w:val="nil"/>
          <w:bottom w:val="nil"/>
          <w:right w:val="nil"/>
          <w:insideH w:val="single" w:sz="4" w:space="0" w:color="1B6072" w:themeColor="accent1" w:themeShade="99"/>
          <w:insideV w:val="nil"/>
        </w:tcBorders>
        <w:shd w:val="clear" w:color="auto" w:fill="1B6072"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B6072" w:themeFill="accent1" w:themeFillShade="99"/>
      </w:tcPr>
    </w:tblStylePr>
    <w:tblStylePr w:type="band1Vert">
      <w:tblPr/>
      <w:tcPr>
        <w:shd w:val="clear" w:color="auto" w:fill="A6DCEA" w:themeFill="accent1" w:themeFillTint="66"/>
      </w:tcPr>
    </w:tblStylePr>
    <w:tblStylePr w:type="band1Horz">
      <w:tblPr/>
      <w:tcPr>
        <w:shd w:val="clear" w:color="auto" w:fill="90D4E5"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DA1F28" w:themeColor="accent2"/>
        <w:left w:val="single" w:sz="4" w:space="0" w:color="DA1F28" w:themeColor="accent2"/>
        <w:bottom w:val="single" w:sz="4" w:space="0" w:color="DA1F28" w:themeColor="accent2"/>
        <w:right w:val="single" w:sz="4" w:space="0" w:color="DA1F28" w:themeColor="accent2"/>
        <w:insideH w:val="single" w:sz="4" w:space="0" w:color="FFFFFF" w:themeColor="background1"/>
        <w:insideV w:val="single" w:sz="4" w:space="0" w:color="FFFFFF" w:themeColor="background1"/>
      </w:tblBorders>
    </w:tblPr>
    <w:tcPr>
      <w:shd w:val="clear" w:color="auto" w:fill="FBE8E9" w:themeFill="accent2" w:themeFillTint="19"/>
    </w:tcPr>
    <w:tblStylePr w:type="firstRow">
      <w:rPr>
        <w:b/>
        <w:bCs/>
      </w:rPr>
      <w:tblPr/>
      <w:tcPr>
        <w:tcBorders>
          <w:top w:val="nil"/>
          <w:left w:val="nil"/>
          <w:bottom w:val="single" w:sz="24" w:space="0" w:color="DA1F2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21217" w:themeFill="accent2" w:themeFillShade="99"/>
      </w:tcPr>
    </w:tblStylePr>
    <w:tblStylePr w:type="firstCol">
      <w:rPr>
        <w:color w:val="FFFFFF" w:themeColor="background1"/>
      </w:rPr>
      <w:tblPr/>
      <w:tcPr>
        <w:tcBorders>
          <w:top w:val="nil"/>
          <w:left w:val="nil"/>
          <w:bottom w:val="nil"/>
          <w:right w:val="nil"/>
          <w:insideH w:val="single" w:sz="4" w:space="0" w:color="821217" w:themeColor="accent2" w:themeShade="99"/>
          <w:insideV w:val="nil"/>
        </w:tcBorders>
        <w:shd w:val="clear" w:color="auto" w:fill="821217"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821217" w:themeFill="accent2" w:themeFillShade="99"/>
      </w:tcPr>
    </w:tblStylePr>
    <w:tblStylePr w:type="band1Vert">
      <w:tblPr/>
      <w:tcPr>
        <w:shd w:val="clear" w:color="auto" w:fill="F2A3A7" w:themeFill="accent2" w:themeFillTint="66"/>
      </w:tcPr>
    </w:tblStylePr>
    <w:tblStylePr w:type="band1Horz">
      <w:tblPr/>
      <w:tcPr>
        <w:shd w:val="clear" w:color="auto" w:fill="EE8D9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39639D" w:themeColor="accent4"/>
        <w:left w:val="single" w:sz="4" w:space="0" w:color="EB641B" w:themeColor="accent3"/>
        <w:bottom w:val="single" w:sz="4" w:space="0" w:color="EB641B" w:themeColor="accent3"/>
        <w:right w:val="single" w:sz="4" w:space="0" w:color="EB641B" w:themeColor="accent3"/>
        <w:insideH w:val="single" w:sz="4" w:space="0" w:color="FFFFFF" w:themeColor="background1"/>
        <w:insideV w:val="single" w:sz="4" w:space="0" w:color="FFFFFF" w:themeColor="background1"/>
      </w:tblBorders>
    </w:tblPr>
    <w:tcPr>
      <w:shd w:val="clear" w:color="auto" w:fill="FDEFE8" w:themeFill="accent3" w:themeFillTint="19"/>
    </w:tcPr>
    <w:tblStylePr w:type="firstRow">
      <w:rPr>
        <w:b/>
        <w:bCs/>
      </w:rPr>
      <w:tblPr/>
      <w:tcPr>
        <w:tcBorders>
          <w:top w:val="nil"/>
          <w:left w:val="nil"/>
          <w:bottom w:val="single" w:sz="24" w:space="0" w:color="39639D"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03A0C" w:themeFill="accent3" w:themeFillShade="99"/>
      </w:tcPr>
    </w:tblStylePr>
    <w:tblStylePr w:type="firstCol">
      <w:rPr>
        <w:color w:val="FFFFFF" w:themeColor="background1"/>
      </w:rPr>
      <w:tblPr/>
      <w:tcPr>
        <w:tcBorders>
          <w:top w:val="nil"/>
          <w:left w:val="nil"/>
          <w:bottom w:val="nil"/>
          <w:right w:val="nil"/>
          <w:insideH w:val="single" w:sz="4" w:space="0" w:color="903A0C" w:themeColor="accent3" w:themeShade="99"/>
          <w:insideV w:val="nil"/>
        </w:tcBorders>
        <w:shd w:val="clear" w:color="auto" w:fill="903A0C"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03A0C" w:themeFill="accent3" w:themeFillShade="99"/>
      </w:tcPr>
    </w:tblStylePr>
    <w:tblStylePr w:type="band1Vert">
      <w:tblPr/>
      <w:tcPr>
        <w:shd w:val="clear" w:color="auto" w:fill="F7C0A3" w:themeFill="accent3" w:themeFillTint="66"/>
      </w:tcPr>
    </w:tblStylePr>
    <w:tblStylePr w:type="band1Horz">
      <w:tblPr/>
      <w:tcPr>
        <w:shd w:val="clear" w:color="auto" w:fill="F5B18D"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EB641B" w:themeColor="accent3"/>
        <w:left w:val="single" w:sz="4" w:space="0" w:color="39639D" w:themeColor="accent4"/>
        <w:bottom w:val="single" w:sz="4" w:space="0" w:color="39639D" w:themeColor="accent4"/>
        <w:right w:val="single" w:sz="4" w:space="0" w:color="39639D" w:themeColor="accent4"/>
        <w:insideH w:val="single" w:sz="4" w:space="0" w:color="FFFFFF" w:themeColor="background1"/>
        <w:insideV w:val="single" w:sz="4" w:space="0" w:color="FFFFFF" w:themeColor="background1"/>
      </w:tblBorders>
    </w:tblPr>
    <w:tcPr>
      <w:shd w:val="clear" w:color="auto" w:fill="E9EFF7" w:themeFill="accent4" w:themeFillTint="19"/>
    </w:tcPr>
    <w:tblStylePr w:type="firstRow">
      <w:rPr>
        <w:b/>
        <w:bCs/>
      </w:rPr>
      <w:tblPr/>
      <w:tcPr>
        <w:tcBorders>
          <w:top w:val="nil"/>
          <w:left w:val="nil"/>
          <w:bottom w:val="single" w:sz="24" w:space="0" w:color="EB641B"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23B5E" w:themeFill="accent4" w:themeFillShade="99"/>
      </w:tcPr>
    </w:tblStylePr>
    <w:tblStylePr w:type="firstCol">
      <w:rPr>
        <w:color w:val="FFFFFF" w:themeColor="background1"/>
      </w:rPr>
      <w:tblPr/>
      <w:tcPr>
        <w:tcBorders>
          <w:top w:val="nil"/>
          <w:left w:val="nil"/>
          <w:bottom w:val="nil"/>
          <w:right w:val="nil"/>
          <w:insideH w:val="single" w:sz="4" w:space="0" w:color="223B5E" w:themeColor="accent4" w:themeShade="99"/>
          <w:insideV w:val="nil"/>
        </w:tcBorders>
        <w:shd w:val="clear" w:color="auto" w:fill="223B5E"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223B5E" w:themeFill="accent4" w:themeFillShade="99"/>
      </w:tcPr>
    </w:tblStylePr>
    <w:tblStylePr w:type="band1Vert">
      <w:tblPr/>
      <w:tcPr>
        <w:shd w:val="clear" w:color="auto" w:fill="A7BFDF" w:themeFill="accent4" w:themeFillTint="66"/>
      </w:tcPr>
    </w:tblStylePr>
    <w:tblStylePr w:type="band1Horz">
      <w:tblPr/>
      <w:tcPr>
        <w:shd w:val="clear" w:color="auto" w:fill="92AFD7"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7D3C4A" w:themeColor="accent6"/>
        <w:left w:val="single" w:sz="4" w:space="0" w:color="474B78" w:themeColor="accent5"/>
        <w:bottom w:val="single" w:sz="4" w:space="0" w:color="474B78" w:themeColor="accent5"/>
        <w:right w:val="single" w:sz="4" w:space="0" w:color="474B78" w:themeColor="accent5"/>
        <w:insideH w:val="single" w:sz="4" w:space="0" w:color="FFFFFF" w:themeColor="background1"/>
        <w:insideV w:val="single" w:sz="4" w:space="0" w:color="FFFFFF" w:themeColor="background1"/>
      </w:tblBorders>
    </w:tblPr>
    <w:tcPr>
      <w:shd w:val="clear" w:color="auto" w:fill="EBEBF3" w:themeFill="accent5" w:themeFillTint="19"/>
    </w:tcPr>
    <w:tblStylePr w:type="firstRow">
      <w:rPr>
        <w:b/>
        <w:bCs/>
      </w:rPr>
      <w:tblPr/>
      <w:tcPr>
        <w:tcBorders>
          <w:top w:val="nil"/>
          <w:left w:val="nil"/>
          <w:bottom w:val="single" w:sz="24" w:space="0" w:color="7D3C4A"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A2C47" w:themeFill="accent5" w:themeFillShade="99"/>
      </w:tcPr>
    </w:tblStylePr>
    <w:tblStylePr w:type="firstCol">
      <w:rPr>
        <w:color w:val="FFFFFF" w:themeColor="background1"/>
      </w:rPr>
      <w:tblPr/>
      <w:tcPr>
        <w:tcBorders>
          <w:top w:val="nil"/>
          <w:left w:val="nil"/>
          <w:bottom w:val="nil"/>
          <w:right w:val="nil"/>
          <w:insideH w:val="single" w:sz="4" w:space="0" w:color="2A2C47" w:themeColor="accent5" w:themeShade="99"/>
          <w:insideV w:val="nil"/>
        </w:tcBorders>
        <w:shd w:val="clear" w:color="auto" w:fill="2A2C4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A2C47" w:themeFill="accent5" w:themeFillShade="99"/>
      </w:tcPr>
    </w:tblStylePr>
    <w:tblStylePr w:type="band1Vert">
      <w:tblPr/>
      <w:tcPr>
        <w:shd w:val="clear" w:color="auto" w:fill="AEB1CF" w:themeFill="accent5" w:themeFillTint="66"/>
      </w:tcPr>
    </w:tblStylePr>
    <w:tblStylePr w:type="band1Horz">
      <w:tblPr/>
      <w:tcPr>
        <w:shd w:val="clear" w:color="auto" w:fill="9B9EC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74B78" w:themeColor="accent5"/>
        <w:left w:val="single" w:sz="4" w:space="0" w:color="7D3C4A" w:themeColor="accent6"/>
        <w:bottom w:val="single" w:sz="4" w:space="0" w:color="7D3C4A" w:themeColor="accent6"/>
        <w:right w:val="single" w:sz="4" w:space="0" w:color="7D3C4A" w:themeColor="accent6"/>
        <w:insideH w:val="single" w:sz="4" w:space="0" w:color="FFFFFF" w:themeColor="background1"/>
        <w:insideV w:val="single" w:sz="4" w:space="0" w:color="FFFFFF" w:themeColor="background1"/>
      </w:tblBorders>
    </w:tblPr>
    <w:tcPr>
      <w:shd w:val="clear" w:color="auto" w:fill="F4E9EB" w:themeFill="accent6" w:themeFillTint="19"/>
    </w:tcPr>
    <w:tblStylePr w:type="firstRow">
      <w:rPr>
        <w:b/>
        <w:bCs/>
      </w:rPr>
      <w:tblPr/>
      <w:tcPr>
        <w:tcBorders>
          <w:top w:val="nil"/>
          <w:left w:val="nil"/>
          <w:bottom w:val="single" w:sz="24" w:space="0" w:color="474B78"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A242C" w:themeFill="accent6" w:themeFillShade="99"/>
      </w:tcPr>
    </w:tblStylePr>
    <w:tblStylePr w:type="firstCol">
      <w:rPr>
        <w:color w:val="FFFFFF" w:themeColor="background1"/>
      </w:rPr>
      <w:tblPr/>
      <w:tcPr>
        <w:tcBorders>
          <w:top w:val="nil"/>
          <w:left w:val="nil"/>
          <w:bottom w:val="nil"/>
          <w:right w:val="nil"/>
          <w:insideH w:val="single" w:sz="4" w:space="0" w:color="4A242C" w:themeColor="accent6" w:themeShade="99"/>
          <w:insideV w:val="nil"/>
        </w:tcBorders>
        <w:shd w:val="clear" w:color="auto" w:fill="4A242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A242C" w:themeFill="accent6" w:themeFillShade="99"/>
      </w:tcPr>
    </w:tblStylePr>
    <w:tblStylePr w:type="band1Vert">
      <w:tblPr/>
      <w:tcPr>
        <w:shd w:val="clear" w:color="auto" w:fill="D4A7B0" w:themeFill="accent6" w:themeFillTint="66"/>
      </w:tcPr>
    </w:tblStylePr>
    <w:tblStylePr w:type="band1Horz">
      <w:tblPr/>
      <w:tcPr>
        <w:shd w:val="clear" w:color="auto" w:fill="CA919D"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E181F" w:themeFill="accent2" w:themeFillShade="CC"/>
      </w:tcPr>
    </w:tblStylePr>
    <w:tblStylePr w:type="lastRow">
      <w:rPr>
        <w:b/>
        <w:bCs/>
        <w:color w:val="AE181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9F6FA" w:themeFill="accent1" w:themeFillTint="19"/>
    </w:tcPr>
    <w:tblStylePr w:type="firstRow">
      <w:rPr>
        <w:b/>
        <w:bCs/>
        <w:color w:val="FFFFFF" w:themeColor="background1"/>
      </w:rPr>
      <w:tblPr/>
      <w:tcPr>
        <w:tcBorders>
          <w:bottom w:val="single" w:sz="12" w:space="0" w:color="FFFFFF" w:themeColor="background1"/>
        </w:tcBorders>
        <w:shd w:val="clear" w:color="auto" w:fill="AE181F" w:themeFill="accent2" w:themeFillShade="CC"/>
      </w:tcPr>
    </w:tblStylePr>
    <w:tblStylePr w:type="lastRow">
      <w:rPr>
        <w:b/>
        <w:bCs/>
        <w:color w:val="AE181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7E9F2" w:themeFill="accent1" w:themeFillTint="3F"/>
      </w:tcPr>
    </w:tblStylePr>
    <w:tblStylePr w:type="band1Horz">
      <w:tblPr/>
      <w:tcPr>
        <w:shd w:val="clear" w:color="auto" w:fill="D2EDF4"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BE8E9" w:themeFill="accent2" w:themeFillTint="19"/>
    </w:tcPr>
    <w:tblStylePr w:type="firstRow">
      <w:rPr>
        <w:b/>
        <w:bCs/>
        <w:color w:val="FFFFFF" w:themeColor="background1"/>
      </w:rPr>
      <w:tblPr/>
      <w:tcPr>
        <w:tcBorders>
          <w:bottom w:val="single" w:sz="12" w:space="0" w:color="FFFFFF" w:themeColor="background1"/>
        </w:tcBorders>
        <w:shd w:val="clear" w:color="auto" w:fill="AE181F" w:themeFill="accent2" w:themeFillShade="CC"/>
      </w:tcPr>
    </w:tblStylePr>
    <w:tblStylePr w:type="lastRow">
      <w:rPr>
        <w:b/>
        <w:bCs/>
        <w:color w:val="AE181F"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C6C8" w:themeFill="accent2" w:themeFillTint="3F"/>
      </w:tcPr>
    </w:tblStylePr>
    <w:tblStylePr w:type="band1Horz">
      <w:tblPr/>
      <w:tcPr>
        <w:shd w:val="clear" w:color="auto" w:fill="F8D1D3"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DEFE8" w:themeFill="accent3" w:themeFillTint="19"/>
    </w:tcPr>
    <w:tblStylePr w:type="firstRow">
      <w:rPr>
        <w:b/>
        <w:bCs/>
        <w:color w:val="FFFFFF" w:themeColor="background1"/>
      </w:rPr>
      <w:tblPr/>
      <w:tcPr>
        <w:tcBorders>
          <w:bottom w:val="single" w:sz="12" w:space="0" w:color="FFFFFF" w:themeColor="background1"/>
        </w:tcBorders>
        <w:shd w:val="clear" w:color="auto" w:fill="2D4F7D" w:themeFill="accent4" w:themeFillShade="CC"/>
      </w:tcPr>
    </w:tblStylePr>
    <w:tblStylePr w:type="lastRow">
      <w:rPr>
        <w:b/>
        <w:bCs/>
        <w:color w:val="2D4F7D"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8C6" w:themeFill="accent3" w:themeFillTint="3F"/>
      </w:tcPr>
    </w:tblStylePr>
    <w:tblStylePr w:type="band1Horz">
      <w:tblPr/>
      <w:tcPr>
        <w:shd w:val="clear" w:color="auto" w:fill="FBDFD1"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E9EFF7" w:themeFill="accent4" w:themeFillTint="19"/>
    </w:tcPr>
    <w:tblStylePr w:type="firstRow">
      <w:rPr>
        <w:b/>
        <w:bCs/>
        <w:color w:val="FFFFFF" w:themeColor="background1"/>
      </w:rPr>
      <w:tblPr/>
      <w:tcPr>
        <w:tcBorders>
          <w:bottom w:val="single" w:sz="12" w:space="0" w:color="FFFFFF" w:themeColor="background1"/>
        </w:tcBorders>
        <w:shd w:val="clear" w:color="auto" w:fill="C04E11" w:themeFill="accent3" w:themeFillShade="CC"/>
      </w:tcPr>
    </w:tblStylePr>
    <w:tblStylePr w:type="lastRow">
      <w:rPr>
        <w:b/>
        <w:bCs/>
        <w:color w:val="C04E1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9D7EB" w:themeFill="accent4" w:themeFillTint="3F"/>
      </w:tcPr>
    </w:tblStylePr>
    <w:tblStylePr w:type="band1Horz">
      <w:tblPr/>
      <w:tcPr>
        <w:shd w:val="clear" w:color="auto" w:fill="D3DFEF"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BEBF3" w:themeFill="accent5" w:themeFillTint="19"/>
    </w:tcPr>
    <w:tblStylePr w:type="firstRow">
      <w:rPr>
        <w:b/>
        <w:bCs/>
        <w:color w:val="FFFFFF" w:themeColor="background1"/>
      </w:rPr>
      <w:tblPr/>
      <w:tcPr>
        <w:tcBorders>
          <w:bottom w:val="single" w:sz="12" w:space="0" w:color="FFFFFF" w:themeColor="background1"/>
        </w:tcBorders>
        <w:shd w:val="clear" w:color="auto" w:fill="63303B" w:themeFill="accent6" w:themeFillShade="CC"/>
      </w:tcPr>
    </w:tblStylePr>
    <w:tblStylePr w:type="lastRow">
      <w:rPr>
        <w:b/>
        <w:bCs/>
        <w:color w:val="63303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DCEE1" w:themeFill="accent5" w:themeFillTint="3F"/>
      </w:tcPr>
    </w:tblStylePr>
    <w:tblStylePr w:type="band1Horz">
      <w:tblPr/>
      <w:tcPr>
        <w:shd w:val="clear" w:color="auto" w:fill="D6D7E7"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4E9EB" w:themeFill="accent6" w:themeFillTint="19"/>
    </w:tcPr>
    <w:tblStylePr w:type="firstRow">
      <w:rPr>
        <w:b/>
        <w:bCs/>
        <w:color w:val="FFFFFF" w:themeColor="background1"/>
      </w:rPr>
      <w:tblPr/>
      <w:tcPr>
        <w:tcBorders>
          <w:bottom w:val="single" w:sz="12" w:space="0" w:color="FFFFFF" w:themeColor="background1"/>
        </w:tcBorders>
        <w:shd w:val="clear" w:color="auto" w:fill="383B5F" w:themeFill="accent5" w:themeFillShade="CC"/>
      </w:tcPr>
    </w:tblStylePr>
    <w:tblStylePr w:type="lastRow">
      <w:rPr>
        <w:b/>
        <w:bCs/>
        <w:color w:val="383B5F"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C8CE" w:themeFill="accent6" w:themeFillTint="3F"/>
      </w:tcPr>
    </w:tblStylePr>
    <w:tblStylePr w:type="band1Horz">
      <w:tblPr/>
      <w:tcPr>
        <w:shd w:val="clear" w:color="auto" w:fill="EAD3D7"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2EDF4" w:themeFill="accent1" w:themeFillTint="33"/>
    </w:tcPr>
    <w:tblStylePr w:type="firstRow">
      <w:rPr>
        <w:b/>
        <w:bCs/>
      </w:rPr>
      <w:tblPr/>
      <w:tcPr>
        <w:shd w:val="clear" w:color="auto" w:fill="A6DCEA" w:themeFill="accent1" w:themeFillTint="66"/>
      </w:tcPr>
    </w:tblStylePr>
    <w:tblStylePr w:type="lastRow">
      <w:rPr>
        <w:b/>
        <w:bCs/>
        <w:color w:val="000000" w:themeColor="text1"/>
      </w:rPr>
      <w:tblPr/>
      <w:tcPr>
        <w:shd w:val="clear" w:color="auto" w:fill="A6DCEA" w:themeFill="accent1" w:themeFillTint="66"/>
      </w:tcPr>
    </w:tblStylePr>
    <w:tblStylePr w:type="firstCol">
      <w:rPr>
        <w:color w:val="FFFFFF" w:themeColor="background1"/>
      </w:rPr>
      <w:tblPr/>
      <w:tcPr>
        <w:shd w:val="clear" w:color="auto" w:fill="21798E" w:themeFill="accent1" w:themeFillShade="BF"/>
      </w:tcPr>
    </w:tblStylePr>
    <w:tblStylePr w:type="lastCol">
      <w:rPr>
        <w:color w:val="FFFFFF" w:themeColor="background1"/>
      </w:rPr>
      <w:tblPr/>
      <w:tcPr>
        <w:shd w:val="clear" w:color="auto" w:fill="21798E" w:themeFill="accent1" w:themeFillShade="BF"/>
      </w:tcPr>
    </w:tblStylePr>
    <w:tblStylePr w:type="band1Vert">
      <w:tblPr/>
      <w:tcPr>
        <w:shd w:val="clear" w:color="auto" w:fill="90D4E5" w:themeFill="accent1" w:themeFillTint="7F"/>
      </w:tcPr>
    </w:tblStylePr>
    <w:tblStylePr w:type="band1Horz">
      <w:tblPr/>
      <w:tcPr>
        <w:shd w:val="clear" w:color="auto" w:fill="90D4E5"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1D3" w:themeFill="accent2" w:themeFillTint="33"/>
    </w:tcPr>
    <w:tblStylePr w:type="firstRow">
      <w:rPr>
        <w:b/>
        <w:bCs/>
      </w:rPr>
      <w:tblPr/>
      <w:tcPr>
        <w:shd w:val="clear" w:color="auto" w:fill="F2A3A7" w:themeFill="accent2" w:themeFillTint="66"/>
      </w:tcPr>
    </w:tblStylePr>
    <w:tblStylePr w:type="lastRow">
      <w:rPr>
        <w:b/>
        <w:bCs/>
        <w:color w:val="000000" w:themeColor="text1"/>
      </w:rPr>
      <w:tblPr/>
      <w:tcPr>
        <w:shd w:val="clear" w:color="auto" w:fill="F2A3A7" w:themeFill="accent2" w:themeFillTint="66"/>
      </w:tcPr>
    </w:tblStylePr>
    <w:tblStylePr w:type="firstCol">
      <w:rPr>
        <w:color w:val="FFFFFF" w:themeColor="background1"/>
      </w:rPr>
      <w:tblPr/>
      <w:tcPr>
        <w:shd w:val="clear" w:color="auto" w:fill="A3171D" w:themeFill="accent2" w:themeFillShade="BF"/>
      </w:tcPr>
    </w:tblStylePr>
    <w:tblStylePr w:type="lastCol">
      <w:rPr>
        <w:color w:val="FFFFFF" w:themeColor="background1"/>
      </w:rPr>
      <w:tblPr/>
      <w:tcPr>
        <w:shd w:val="clear" w:color="auto" w:fill="A3171D" w:themeFill="accent2" w:themeFillShade="BF"/>
      </w:tcPr>
    </w:tblStylePr>
    <w:tblStylePr w:type="band1Vert">
      <w:tblPr/>
      <w:tcPr>
        <w:shd w:val="clear" w:color="auto" w:fill="EE8D91" w:themeFill="accent2" w:themeFillTint="7F"/>
      </w:tcPr>
    </w:tblStylePr>
    <w:tblStylePr w:type="band1Horz">
      <w:tblPr/>
      <w:tcPr>
        <w:shd w:val="clear" w:color="auto" w:fill="EE8D91"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BDFD1" w:themeFill="accent3" w:themeFillTint="33"/>
    </w:tcPr>
    <w:tblStylePr w:type="firstRow">
      <w:rPr>
        <w:b/>
        <w:bCs/>
      </w:rPr>
      <w:tblPr/>
      <w:tcPr>
        <w:shd w:val="clear" w:color="auto" w:fill="F7C0A3" w:themeFill="accent3" w:themeFillTint="66"/>
      </w:tcPr>
    </w:tblStylePr>
    <w:tblStylePr w:type="lastRow">
      <w:rPr>
        <w:b/>
        <w:bCs/>
        <w:color w:val="000000" w:themeColor="text1"/>
      </w:rPr>
      <w:tblPr/>
      <w:tcPr>
        <w:shd w:val="clear" w:color="auto" w:fill="F7C0A3" w:themeFill="accent3" w:themeFillTint="66"/>
      </w:tcPr>
    </w:tblStylePr>
    <w:tblStylePr w:type="firstCol">
      <w:rPr>
        <w:color w:val="FFFFFF" w:themeColor="background1"/>
      </w:rPr>
      <w:tblPr/>
      <w:tcPr>
        <w:shd w:val="clear" w:color="auto" w:fill="B4490F" w:themeFill="accent3" w:themeFillShade="BF"/>
      </w:tcPr>
    </w:tblStylePr>
    <w:tblStylePr w:type="lastCol">
      <w:rPr>
        <w:color w:val="FFFFFF" w:themeColor="background1"/>
      </w:rPr>
      <w:tblPr/>
      <w:tcPr>
        <w:shd w:val="clear" w:color="auto" w:fill="B4490F" w:themeFill="accent3" w:themeFillShade="BF"/>
      </w:tcPr>
    </w:tblStylePr>
    <w:tblStylePr w:type="band1Vert">
      <w:tblPr/>
      <w:tcPr>
        <w:shd w:val="clear" w:color="auto" w:fill="F5B18D" w:themeFill="accent3" w:themeFillTint="7F"/>
      </w:tcPr>
    </w:tblStylePr>
    <w:tblStylePr w:type="band1Horz">
      <w:tblPr/>
      <w:tcPr>
        <w:shd w:val="clear" w:color="auto" w:fill="F5B18D"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3DFEF" w:themeFill="accent4" w:themeFillTint="33"/>
    </w:tcPr>
    <w:tblStylePr w:type="firstRow">
      <w:rPr>
        <w:b/>
        <w:bCs/>
      </w:rPr>
      <w:tblPr/>
      <w:tcPr>
        <w:shd w:val="clear" w:color="auto" w:fill="A7BFDF" w:themeFill="accent4" w:themeFillTint="66"/>
      </w:tcPr>
    </w:tblStylePr>
    <w:tblStylePr w:type="lastRow">
      <w:rPr>
        <w:b/>
        <w:bCs/>
        <w:color w:val="000000" w:themeColor="text1"/>
      </w:rPr>
      <w:tblPr/>
      <w:tcPr>
        <w:shd w:val="clear" w:color="auto" w:fill="A7BFDF" w:themeFill="accent4" w:themeFillTint="66"/>
      </w:tcPr>
    </w:tblStylePr>
    <w:tblStylePr w:type="firstCol">
      <w:rPr>
        <w:color w:val="FFFFFF" w:themeColor="background1"/>
      </w:rPr>
      <w:tblPr/>
      <w:tcPr>
        <w:shd w:val="clear" w:color="auto" w:fill="2A4975" w:themeFill="accent4" w:themeFillShade="BF"/>
      </w:tcPr>
    </w:tblStylePr>
    <w:tblStylePr w:type="lastCol">
      <w:rPr>
        <w:color w:val="FFFFFF" w:themeColor="background1"/>
      </w:rPr>
      <w:tblPr/>
      <w:tcPr>
        <w:shd w:val="clear" w:color="auto" w:fill="2A4975" w:themeFill="accent4" w:themeFillShade="BF"/>
      </w:tcPr>
    </w:tblStylePr>
    <w:tblStylePr w:type="band1Vert">
      <w:tblPr/>
      <w:tcPr>
        <w:shd w:val="clear" w:color="auto" w:fill="92AFD7" w:themeFill="accent4" w:themeFillTint="7F"/>
      </w:tcPr>
    </w:tblStylePr>
    <w:tblStylePr w:type="band1Horz">
      <w:tblPr/>
      <w:tcPr>
        <w:shd w:val="clear" w:color="auto" w:fill="92AFD7"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6D7E7" w:themeFill="accent5" w:themeFillTint="33"/>
    </w:tcPr>
    <w:tblStylePr w:type="firstRow">
      <w:rPr>
        <w:b/>
        <w:bCs/>
      </w:rPr>
      <w:tblPr/>
      <w:tcPr>
        <w:shd w:val="clear" w:color="auto" w:fill="AEB1CF" w:themeFill="accent5" w:themeFillTint="66"/>
      </w:tcPr>
    </w:tblStylePr>
    <w:tblStylePr w:type="lastRow">
      <w:rPr>
        <w:b/>
        <w:bCs/>
        <w:color w:val="000000" w:themeColor="text1"/>
      </w:rPr>
      <w:tblPr/>
      <w:tcPr>
        <w:shd w:val="clear" w:color="auto" w:fill="AEB1CF" w:themeFill="accent5" w:themeFillTint="66"/>
      </w:tcPr>
    </w:tblStylePr>
    <w:tblStylePr w:type="firstCol">
      <w:rPr>
        <w:color w:val="FFFFFF" w:themeColor="background1"/>
      </w:rPr>
      <w:tblPr/>
      <w:tcPr>
        <w:shd w:val="clear" w:color="auto" w:fill="353859" w:themeFill="accent5" w:themeFillShade="BF"/>
      </w:tcPr>
    </w:tblStylePr>
    <w:tblStylePr w:type="lastCol">
      <w:rPr>
        <w:color w:val="FFFFFF" w:themeColor="background1"/>
      </w:rPr>
      <w:tblPr/>
      <w:tcPr>
        <w:shd w:val="clear" w:color="auto" w:fill="353859" w:themeFill="accent5" w:themeFillShade="BF"/>
      </w:tcPr>
    </w:tblStylePr>
    <w:tblStylePr w:type="band1Vert">
      <w:tblPr/>
      <w:tcPr>
        <w:shd w:val="clear" w:color="auto" w:fill="9B9EC4" w:themeFill="accent5" w:themeFillTint="7F"/>
      </w:tcPr>
    </w:tblStylePr>
    <w:tblStylePr w:type="band1Horz">
      <w:tblPr/>
      <w:tcPr>
        <w:shd w:val="clear" w:color="auto" w:fill="9B9EC4"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D3D7" w:themeFill="accent6" w:themeFillTint="33"/>
    </w:tcPr>
    <w:tblStylePr w:type="firstRow">
      <w:rPr>
        <w:b/>
        <w:bCs/>
      </w:rPr>
      <w:tblPr/>
      <w:tcPr>
        <w:shd w:val="clear" w:color="auto" w:fill="D4A7B0" w:themeFill="accent6" w:themeFillTint="66"/>
      </w:tcPr>
    </w:tblStylePr>
    <w:tblStylePr w:type="lastRow">
      <w:rPr>
        <w:b/>
        <w:bCs/>
        <w:color w:val="000000" w:themeColor="text1"/>
      </w:rPr>
      <w:tblPr/>
      <w:tcPr>
        <w:shd w:val="clear" w:color="auto" w:fill="D4A7B0" w:themeFill="accent6" w:themeFillTint="66"/>
      </w:tcPr>
    </w:tblStylePr>
    <w:tblStylePr w:type="firstCol">
      <w:rPr>
        <w:color w:val="FFFFFF" w:themeColor="background1"/>
      </w:rPr>
      <w:tblPr/>
      <w:tcPr>
        <w:shd w:val="clear" w:color="auto" w:fill="5D2D37" w:themeFill="accent6" w:themeFillShade="BF"/>
      </w:tcPr>
    </w:tblStylePr>
    <w:tblStylePr w:type="lastCol">
      <w:rPr>
        <w:color w:val="FFFFFF" w:themeColor="background1"/>
      </w:rPr>
      <w:tblPr/>
      <w:tcPr>
        <w:shd w:val="clear" w:color="auto" w:fill="5D2D37" w:themeFill="accent6" w:themeFillShade="BF"/>
      </w:tcPr>
    </w:tblStylePr>
    <w:tblStylePr w:type="band1Vert">
      <w:tblPr/>
      <w:tcPr>
        <w:shd w:val="clear" w:color="auto" w:fill="CA919D" w:themeFill="accent6" w:themeFillTint="7F"/>
      </w:tcPr>
    </w:tblStylePr>
    <w:tblStylePr w:type="band1Horz">
      <w:tblPr/>
      <w:tcPr>
        <w:shd w:val="clear" w:color="auto" w:fill="CA919D" w:themeFill="accent6" w:themeFillTint="7F"/>
      </w:tcPr>
    </w:tblStylePr>
  </w:style>
  <w:style w:type="paragraph" w:customStyle="1" w:styleId="TableText">
    <w:name w:val="Table Text"/>
    <w:rsid w:val="00AD5414"/>
    <w:pPr>
      <w:spacing w:after="20" w:line="240" w:lineRule="auto"/>
    </w:pPr>
    <w:rPr>
      <w:rFonts w:ascii="Arial" w:eastAsia="Arial" w:hAnsi="Arial"/>
      <w:sz w:val="17"/>
    </w:rPr>
  </w:style>
  <w:style w:type="paragraph" w:customStyle="1" w:styleId="Reference">
    <w:name w:val="Reference"/>
    <w:rsid w:val="00AD5414"/>
    <w:pPr>
      <w:spacing w:after="80"/>
      <w:ind w:left="425" w:hanging="425"/>
    </w:pPr>
    <w:rPr>
      <w:rFonts w:ascii="Arial" w:eastAsia="Arial" w:hAnsi="Arial"/>
      <w:sz w:val="19"/>
    </w:rPr>
  </w:style>
  <w:style w:type="paragraph" w:customStyle="1" w:styleId="SmallNote">
    <w:name w:val="Small Note"/>
    <w:rsid w:val="00AD5414"/>
    <w:pPr>
      <w:spacing w:after="80" w:line="264" w:lineRule="auto"/>
    </w:pPr>
    <w:rPr>
      <w:rFonts w:ascii="Arial" w:eastAsia="Arial" w:hAnsi="Arial"/>
      <w:i/>
      <w:color w:val="595959"/>
      <w:sz w:val="18"/>
    </w:rPr>
  </w:style>
  <w:style w:type="paragraph" w:styleId="TOC1">
    <w:name w:val="toc 1"/>
    <w:basedOn w:val="Normal"/>
    <w:next w:val="Normal"/>
    <w:autoRedefine/>
    <w:uiPriority w:val="39"/>
    <w:unhideWhenUsed/>
    <w:rsid w:val="0020572F"/>
    <w:pPr>
      <w:spacing w:after="100"/>
    </w:pPr>
  </w:style>
  <w:style w:type="paragraph" w:styleId="TOC2">
    <w:name w:val="toc 2"/>
    <w:basedOn w:val="Normal"/>
    <w:next w:val="Normal"/>
    <w:autoRedefine/>
    <w:uiPriority w:val="39"/>
    <w:unhideWhenUsed/>
    <w:rsid w:val="0020572F"/>
    <w:pPr>
      <w:spacing w:after="100"/>
      <w:ind w:left="220"/>
    </w:pPr>
  </w:style>
  <w:style w:type="character" w:styleId="Hyperlink">
    <w:name w:val="Hyperlink"/>
    <w:basedOn w:val="DefaultParagraphFont"/>
    <w:uiPriority w:val="99"/>
    <w:unhideWhenUsed/>
    <w:rsid w:val="0020572F"/>
    <w:rPr>
      <w:color w:val="FF8119" w:themeColor="hyperlink"/>
      <w:u w:val="single"/>
    </w:rPr>
  </w:style>
  <w:style w:type="paragraph" w:styleId="NormalWeb">
    <w:name w:val="Normal (Web)"/>
    <w:basedOn w:val="Normal"/>
    <w:uiPriority w:val="99"/>
    <w:unhideWhenUsed/>
    <w:rsid w:val="0065746B"/>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65746B"/>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65746B"/>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65746B"/>
    <w:pPr>
      <w:pBdr>
        <w:top w:val="single" w:sz="6" w:space="1" w:color="auto"/>
      </w:pBdr>
      <w:spacing w:after="0" w:line="240" w:lineRule="auto"/>
      <w:jc w:val="center"/>
    </w:pPr>
    <w:rPr>
      <w:rFonts w:eastAsia="Times New Roman" w:cs="Arial"/>
      <w:vanish/>
      <w:sz w:val="16"/>
      <w:szCs w:val="16"/>
    </w:rPr>
  </w:style>
  <w:style w:type="character" w:customStyle="1" w:styleId="z-BottomofFormChar">
    <w:name w:val="z-Bottom of Form Char"/>
    <w:basedOn w:val="DefaultParagraphFont"/>
    <w:link w:val="z-BottomofForm"/>
    <w:uiPriority w:val="99"/>
    <w:semiHidden/>
    <w:rsid w:val="0065746B"/>
    <w:rPr>
      <w:rFonts w:ascii="Arial" w:eastAsia="Times New Roman" w:hAnsi="Arial" w:cs="Arial"/>
      <w:vanish/>
      <w:sz w:val="16"/>
      <w:szCs w:val="16"/>
    </w:rPr>
  </w:style>
  <w:style w:type="paragraph" w:styleId="TOC3">
    <w:name w:val="toc 3"/>
    <w:basedOn w:val="Normal"/>
    <w:next w:val="Normal"/>
    <w:autoRedefine/>
    <w:uiPriority w:val="39"/>
    <w:unhideWhenUsed/>
    <w:rsid w:val="00F87FCB"/>
    <w:pPr>
      <w:spacing w:after="100"/>
      <w:ind w:left="440"/>
    </w:pPr>
  </w:style>
  <w:style w:type="paragraph" w:styleId="BalloonText">
    <w:name w:val="Balloon Text"/>
    <w:basedOn w:val="Normal"/>
    <w:link w:val="BalloonTextChar"/>
    <w:uiPriority w:val="99"/>
    <w:semiHidden/>
    <w:unhideWhenUsed/>
    <w:rsid w:val="00F60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00F4"/>
    <w:rPr>
      <w:rFonts w:ascii="Tahoma" w:eastAsia="Arial"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0492695">
      <w:bodyDiv w:val="1"/>
      <w:marLeft w:val="0"/>
      <w:marRight w:val="0"/>
      <w:marTop w:val="0"/>
      <w:marBottom w:val="0"/>
      <w:divBdr>
        <w:top w:val="none" w:sz="0" w:space="0" w:color="auto"/>
        <w:left w:val="none" w:sz="0" w:space="0" w:color="auto"/>
        <w:bottom w:val="none" w:sz="0" w:space="0" w:color="auto"/>
        <w:right w:val="none" w:sz="0" w:space="0" w:color="auto"/>
      </w:divBdr>
      <w:divsChild>
        <w:div w:id="1456559709">
          <w:marLeft w:val="0"/>
          <w:marRight w:val="0"/>
          <w:marTop w:val="0"/>
          <w:marBottom w:val="0"/>
          <w:divBdr>
            <w:top w:val="none" w:sz="0" w:space="0" w:color="auto"/>
            <w:left w:val="none" w:sz="0" w:space="0" w:color="auto"/>
            <w:bottom w:val="none" w:sz="0" w:space="0" w:color="auto"/>
            <w:right w:val="none" w:sz="0" w:space="0" w:color="auto"/>
          </w:divBdr>
          <w:divsChild>
            <w:div w:id="1957634219">
              <w:marLeft w:val="0"/>
              <w:marRight w:val="0"/>
              <w:marTop w:val="0"/>
              <w:marBottom w:val="0"/>
              <w:divBdr>
                <w:top w:val="none" w:sz="0" w:space="0" w:color="auto"/>
                <w:left w:val="none" w:sz="0" w:space="0" w:color="auto"/>
                <w:bottom w:val="none" w:sz="0" w:space="0" w:color="auto"/>
                <w:right w:val="none" w:sz="0" w:space="0" w:color="auto"/>
              </w:divBdr>
              <w:divsChild>
                <w:div w:id="584415360">
                  <w:marLeft w:val="0"/>
                  <w:marRight w:val="0"/>
                  <w:marTop w:val="0"/>
                  <w:marBottom w:val="0"/>
                  <w:divBdr>
                    <w:top w:val="none" w:sz="0" w:space="0" w:color="auto"/>
                    <w:left w:val="none" w:sz="0" w:space="0" w:color="auto"/>
                    <w:bottom w:val="none" w:sz="0" w:space="0" w:color="auto"/>
                    <w:right w:val="none" w:sz="0" w:space="0" w:color="auto"/>
                  </w:divBdr>
                  <w:divsChild>
                    <w:div w:id="381636050">
                      <w:marLeft w:val="0"/>
                      <w:marRight w:val="0"/>
                      <w:marTop w:val="0"/>
                      <w:marBottom w:val="0"/>
                      <w:divBdr>
                        <w:top w:val="none" w:sz="0" w:space="0" w:color="auto"/>
                        <w:left w:val="none" w:sz="0" w:space="0" w:color="auto"/>
                        <w:bottom w:val="none" w:sz="0" w:space="0" w:color="auto"/>
                        <w:right w:val="none" w:sz="0" w:space="0" w:color="auto"/>
                      </w:divBdr>
                      <w:divsChild>
                        <w:div w:id="629212518">
                          <w:marLeft w:val="0"/>
                          <w:marRight w:val="0"/>
                          <w:marTop w:val="0"/>
                          <w:marBottom w:val="0"/>
                          <w:divBdr>
                            <w:top w:val="none" w:sz="0" w:space="0" w:color="auto"/>
                            <w:left w:val="none" w:sz="0" w:space="0" w:color="auto"/>
                            <w:bottom w:val="none" w:sz="0" w:space="0" w:color="auto"/>
                            <w:right w:val="none" w:sz="0" w:space="0" w:color="auto"/>
                          </w:divBdr>
                          <w:divsChild>
                            <w:div w:id="609702261">
                              <w:marLeft w:val="0"/>
                              <w:marRight w:val="0"/>
                              <w:marTop w:val="0"/>
                              <w:marBottom w:val="0"/>
                              <w:divBdr>
                                <w:top w:val="none" w:sz="0" w:space="0" w:color="auto"/>
                                <w:left w:val="none" w:sz="0" w:space="0" w:color="auto"/>
                                <w:bottom w:val="none" w:sz="0" w:space="0" w:color="auto"/>
                                <w:right w:val="none" w:sz="0" w:space="0" w:color="auto"/>
                              </w:divBdr>
                              <w:divsChild>
                                <w:div w:id="1534149397">
                                  <w:marLeft w:val="0"/>
                                  <w:marRight w:val="0"/>
                                  <w:marTop w:val="0"/>
                                  <w:marBottom w:val="0"/>
                                  <w:divBdr>
                                    <w:top w:val="none" w:sz="0" w:space="0" w:color="auto"/>
                                    <w:left w:val="none" w:sz="0" w:space="0" w:color="auto"/>
                                    <w:bottom w:val="none" w:sz="0" w:space="0" w:color="auto"/>
                                    <w:right w:val="none" w:sz="0" w:space="0" w:color="auto"/>
                                  </w:divBdr>
                                  <w:divsChild>
                                    <w:div w:id="649939158">
                                      <w:marLeft w:val="0"/>
                                      <w:marRight w:val="0"/>
                                      <w:marTop w:val="0"/>
                                      <w:marBottom w:val="0"/>
                                      <w:divBdr>
                                        <w:top w:val="none" w:sz="0" w:space="0" w:color="auto"/>
                                        <w:left w:val="none" w:sz="0" w:space="0" w:color="auto"/>
                                        <w:bottom w:val="none" w:sz="0" w:space="0" w:color="auto"/>
                                        <w:right w:val="none" w:sz="0" w:space="0" w:color="auto"/>
                                      </w:divBdr>
                                      <w:divsChild>
                                        <w:div w:id="1385720247">
                                          <w:marLeft w:val="0"/>
                                          <w:marRight w:val="0"/>
                                          <w:marTop w:val="0"/>
                                          <w:marBottom w:val="0"/>
                                          <w:divBdr>
                                            <w:top w:val="none" w:sz="0" w:space="0" w:color="auto"/>
                                            <w:left w:val="none" w:sz="0" w:space="0" w:color="auto"/>
                                            <w:bottom w:val="none" w:sz="0" w:space="0" w:color="auto"/>
                                            <w:right w:val="none" w:sz="0" w:space="0" w:color="auto"/>
                                          </w:divBdr>
                                          <w:divsChild>
                                            <w:div w:id="123400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6334563">
          <w:marLeft w:val="0"/>
          <w:marRight w:val="0"/>
          <w:marTop w:val="0"/>
          <w:marBottom w:val="0"/>
          <w:divBdr>
            <w:top w:val="none" w:sz="0" w:space="0" w:color="auto"/>
            <w:left w:val="none" w:sz="0" w:space="0" w:color="auto"/>
            <w:bottom w:val="none" w:sz="0" w:space="0" w:color="auto"/>
            <w:right w:val="none" w:sz="0" w:space="0" w:color="auto"/>
          </w:divBdr>
          <w:divsChild>
            <w:div w:id="1648171046">
              <w:marLeft w:val="0"/>
              <w:marRight w:val="0"/>
              <w:marTop w:val="0"/>
              <w:marBottom w:val="0"/>
              <w:divBdr>
                <w:top w:val="none" w:sz="0" w:space="0" w:color="auto"/>
                <w:left w:val="none" w:sz="0" w:space="0" w:color="auto"/>
                <w:bottom w:val="none" w:sz="0" w:space="0" w:color="auto"/>
                <w:right w:val="none" w:sz="0" w:space="0" w:color="auto"/>
              </w:divBdr>
              <w:divsChild>
                <w:div w:id="1696729448">
                  <w:marLeft w:val="0"/>
                  <w:marRight w:val="0"/>
                  <w:marTop w:val="0"/>
                  <w:marBottom w:val="0"/>
                  <w:divBdr>
                    <w:top w:val="none" w:sz="0" w:space="0" w:color="auto"/>
                    <w:left w:val="none" w:sz="0" w:space="0" w:color="auto"/>
                    <w:bottom w:val="none" w:sz="0" w:space="0" w:color="auto"/>
                    <w:right w:val="none" w:sz="0" w:space="0" w:color="auto"/>
                  </w:divBdr>
                  <w:divsChild>
                    <w:div w:id="89281664">
                      <w:marLeft w:val="0"/>
                      <w:marRight w:val="0"/>
                      <w:marTop w:val="0"/>
                      <w:marBottom w:val="0"/>
                      <w:divBdr>
                        <w:top w:val="none" w:sz="0" w:space="0" w:color="auto"/>
                        <w:left w:val="none" w:sz="0" w:space="0" w:color="auto"/>
                        <w:bottom w:val="none" w:sz="0" w:space="0" w:color="auto"/>
                        <w:right w:val="none" w:sz="0" w:space="0" w:color="auto"/>
                      </w:divBdr>
                      <w:divsChild>
                        <w:div w:id="1159151490">
                          <w:marLeft w:val="0"/>
                          <w:marRight w:val="0"/>
                          <w:marTop w:val="0"/>
                          <w:marBottom w:val="0"/>
                          <w:divBdr>
                            <w:top w:val="none" w:sz="0" w:space="0" w:color="auto"/>
                            <w:left w:val="none" w:sz="0" w:space="0" w:color="auto"/>
                            <w:bottom w:val="none" w:sz="0" w:space="0" w:color="auto"/>
                            <w:right w:val="none" w:sz="0" w:space="0" w:color="auto"/>
                          </w:divBdr>
                          <w:divsChild>
                            <w:div w:id="437065281">
                              <w:marLeft w:val="0"/>
                              <w:marRight w:val="0"/>
                              <w:marTop w:val="0"/>
                              <w:marBottom w:val="0"/>
                              <w:divBdr>
                                <w:top w:val="none" w:sz="0" w:space="0" w:color="auto"/>
                                <w:left w:val="none" w:sz="0" w:space="0" w:color="auto"/>
                                <w:bottom w:val="none" w:sz="0" w:space="0" w:color="auto"/>
                                <w:right w:val="none" w:sz="0" w:space="0" w:color="auto"/>
                              </w:divBdr>
                              <w:divsChild>
                                <w:div w:id="24252981">
                                  <w:marLeft w:val="0"/>
                                  <w:marRight w:val="0"/>
                                  <w:marTop w:val="0"/>
                                  <w:marBottom w:val="0"/>
                                  <w:divBdr>
                                    <w:top w:val="none" w:sz="0" w:space="0" w:color="auto"/>
                                    <w:left w:val="none" w:sz="0" w:space="0" w:color="auto"/>
                                    <w:bottom w:val="none" w:sz="0" w:space="0" w:color="auto"/>
                                    <w:right w:val="none" w:sz="0" w:space="0" w:color="auto"/>
                                  </w:divBdr>
                                  <w:divsChild>
                                    <w:div w:id="1673754092">
                                      <w:marLeft w:val="0"/>
                                      <w:marRight w:val="0"/>
                                      <w:marTop w:val="0"/>
                                      <w:marBottom w:val="0"/>
                                      <w:divBdr>
                                        <w:top w:val="none" w:sz="0" w:space="0" w:color="auto"/>
                                        <w:left w:val="none" w:sz="0" w:space="0" w:color="auto"/>
                                        <w:bottom w:val="none" w:sz="0" w:space="0" w:color="auto"/>
                                        <w:right w:val="none" w:sz="0" w:space="0" w:color="auto"/>
                                      </w:divBdr>
                                      <w:divsChild>
                                        <w:div w:id="1005715769">
                                          <w:marLeft w:val="0"/>
                                          <w:marRight w:val="0"/>
                                          <w:marTop w:val="0"/>
                                          <w:marBottom w:val="0"/>
                                          <w:divBdr>
                                            <w:top w:val="none" w:sz="0" w:space="0" w:color="auto"/>
                                            <w:left w:val="none" w:sz="0" w:space="0" w:color="auto"/>
                                            <w:bottom w:val="none" w:sz="0" w:space="0" w:color="auto"/>
                                            <w:right w:val="none" w:sz="0" w:space="0" w:color="auto"/>
                                          </w:divBdr>
                                          <w:divsChild>
                                            <w:div w:id="1941447130">
                                              <w:marLeft w:val="0"/>
                                              <w:marRight w:val="0"/>
                                              <w:marTop w:val="0"/>
                                              <w:marBottom w:val="0"/>
                                              <w:divBdr>
                                                <w:top w:val="none" w:sz="0" w:space="0" w:color="auto"/>
                                                <w:left w:val="none" w:sz="0" w:space="0" w:color="auto"/>
                                                <w:bottom w:val="none" w:sz="0" w:space="0" w:color="auto"/>
                                                <w:right w:val="none" w:sz="0" w:space="0" w:color="auto"/>
                                              </w:divBdr>
                                              <w:divsChild>
                                                <w:div w:id="1735468668">
                                                  <w:marLeft w:val="0"/>
                                                  <w:marRight w:val="0"/>
                                                  <w:marTop w:val="0"/>
                                                  <w:marBottom w:val="0"/>
                                                  <w:divBdr>
                                                    <w:top w:val="none" w:sz="0" w:space="0" w:color="auto"/>
                                                    <w:left w:val="none" w:sz="0" w:space="0" w:color="auto"/>
                                                    <w:bottom w:val="none" w:sz="0" w:space="0" w:color="auto"/>
                                                    <w:right w:val="none" w:sz="0" w:space="0" w:color="auto"/>
                                                  </w:divBdr>
                                                  <w:divsChild>
                                                    <w:div w:id="131564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Concourse">
      <a:dk1>
        <a:sysClr val="windowText" lastClr="000000"/>
      </a:dk1>
      <a:lt1>
        <a:sysClr val="window" lastClr="FFFFFF"/>
      </a:lt1>
      <a:dk2>
        <a:srgbClr val="464646"/>
      </a:dk2>
      <a:lt2>
        <a:srgbClr val="DEF5FA"/>
      </a:lt2>
      <a:accent1>
        <a:srgbClr val="2DA2BF"/>
      </a:accent1>
      <a:accent2>
        <a:srgbClr val="DA1F28"/>
      </a:accent2>
      <a:accent3>
        <a:srgbClr val="EB641B"/>
      </a:accent3>
      <a:accent4>
        <a:srgbClr val="39639D"/>
      </a:accent4>
      <a:accent5>
        <a:srgbClr val="474B78"/>
      </a:accent5>
      <a:accent6>
        <a:srgbClr val="7D3C4A"/>
      </a:accent6>
      <a:hlink>
        <a:srgbClr val="FF8119"/>
      </a:hlink>
      <a:folHlink>
        <a:srgbClr val="44B9E8"/>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EBA588-AF13-43A8-9ECD-B0918241A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21</Pages>
  <Words>5866</Words>
  <Characters>33437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Cervical Cancer and HPV Infection: A UK-Focused Scoping Review</vt:lpstr>
    </vt:vector>
  </TitlesOfParts>
  <Company/>
  <LinksUpToDate>false</LinksUpToDate>
  <CharactersWithSpaces>39225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Cervical Cancer and HPV Infection: A UK-Focused Scoping Review</dc:title>
  <dc:subject>BMHP5019_BIRM Component 2 research report</dc:subject>
  <dc:creator>Student</dc:creator>
  <cp:keywords>HPV, cervical cancer, UK, scoping review, screening, vaccination</cp:keywords>
  <dc:description>UK-focused scoping review using 31 peer-reviewed research papers.</dc:description>
  <cp:lastModifiedBy>Fahad Iqbal</cp:lastModifiedBy>
  <cp:revision>2</cp:revision>
  <dcterms:created xsi:type="dcterms:W3CDTF">2026-07-19T03:00:00Z</dcterms:created>
  <dcterms:modified xsi:type="dcterms:W3CDTF">2026-07-19T03:00:00Z</dcterms:modified>
</cp:coreProperties>
</file>