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91E5E" w14:textId="77777777" w:rsidR="00EE2849" w:rsidRPr="00674B17" w:rsidRDefault="00EE2849" w:rsidP="00EE2849">
      <w:pPr>
        <w:spacing w:after="220"/>
        <w:ind w:right="1438"/>
        <w:jc w:val="right"/>
        <w:rPr>
          <w:rFonts w:ascii="Arial" w:hAnsi="Arial" w:cs="Arial"/>
          <w:sz w:val="24"/>
          <w:szCs w:val="24"/>
        </w:rPr>
      </w:pPr>
      <w:r w:rsidRPr="00674B17">
        <w:rPr>
          <w:rFonts w:ascii="Arial" w:hAnsi="Arial" w:cs="Arial"/>
          <w:noProof/>
          <w:sz w:val="24"/>
          <w:szCs w:val="24"/>
        </w:rPr>
        <w:drawing>
          <wp:anchor distT="0" distB="0" distL="114300" distR="114300" simplePos="0" relativeHeight="251662336" behindDoc="0" locked="0" layoutInCell="1" allowOverlap="1" wp14:anchorId="5679D30E" wp14:editId="1AA2B042">
            <wp:simplePos x="0" y="0"/>
            <wp:positionH relativeFrom="margin">
              <wp:align>center</wp:align>
            </wp:positionH>
            <wp:positionV relativeFrom="paragraph">
              <wp:posOffset>0</wp:posOffset>
            </wp:positionV>
            <wp:extent cx="4648200" cy="1752600"/>
            <wp:effectExtent l="0" t="0" r="0" b="0"/>
            <wp:wrapSquare wrapText="bothSides"/>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48200" cy="1752600"/>
                    </a:xfrm>
                    <a:prstGeom prst="rect">
                      <a:avLst/>
                    </a:prstGeom>
                  </pic:spPr>
                </pic:pic>
              </a:graphicData>
            </a:graphic>
          </wp:anchor>
        </w:drawing>
      </w:r>
      <w:r w:rsidRPr="00674B17">
        <w:rPr>
          <w:rFonts w:ascii="Arial" w:eastAsia="Times New Roman" w:hAnsi="Arial" w:cs="Arial"/>
          <w:b/>
          <w:sz w:val="24"/>
          <w:szCs w:val="24"/>
        </w:rPr>
        <w:t xml:space="preserve"> </w:t>
      </w:r>
    </w:p>
    <w:p w14:paraId="28AEE0DB" w14:textId="77777777" w:rsidR="00EE2849" w:rsidRPr="00674B17" w:rsidRDefault="00EE2849" w:rsidP="00EE2849">
      <w:pPr>
        <w:spacing w:after="273"/>
        <w:ind w:right="5"/>
        <w:jc w:val="center"/>
        <w:rPr>
          <w:rFonts w:ascii="Arial" w:hAnsi="Arial" w:cs="Arial"/>
          <w:sz w:val="24"/>
          <w:szCs w:val="24"/>
        </w:rPr>
      </w:pPr>
      <w:r w:rsidRPr="00674B17">
        <w:rPr>
          <w:rFonts w:ascii="Arial" w:eastAsia="Times New Roman" w:hAnsi="Arial" w:cs="Arial"/>
          <w:b/>
          <w:sz w:val="24"/>
          <w:szCs w:val="24"/>
        </w:rPr>
        <w:t xml:space="preserve"> </w:t>
      </w:r>
    </w:p>
    <w:p w14:paraId="57F4E9D4" w14:textId="77777777" w:rsidR="00EE2849" w:rsidRPr="00674B17" w:rsidRDefault="00EE2849" w:rsidP="00EE2849">
      <w:pPr>
        <w:spacing w:after="274"/>
        <w:rPr>
          <w:rFonts w:ascii="Arial" w:hAnsi="Arial" w:cs="Arial"/>
          <w:sz w:val="24"/>
          <w:szCs w:val="24"/>
        </w:rPr>
      </w:pPr>
      <w:r w:rsidRPr="00674B17">
        <w:rPr>
          <w:rFonts w:ascii="Arial" w:eastAsia="Times New Roman" w:hAnsi="Arial" w:cs="Arial"/>
          <w:b/>
          <w:sz w:val="24"/>
          <w:szCs w:val="24"/>
        </w:rPr>
        <w:t xml:space="preserve"> </w:t>
      </w:r>
    </w:p>
    <w:p w14:paraId="69BB53AA" w14:textId="77777777" w:rsidR="00EE2849" w:rsidRDefault="00EE2849" w:rsidP="00EE2849">
      <w:pPr>
        <w:spacing w:after="274"/>
        <w:rPr>
          <w:rFonts w:ascii="Arial" w:eastAsia="Times New Roman" w:hAnsi="Arial" w:cs="Arial"/>
          <w:b/>
          <w:sz w:val="24"/>
          <w:szCs w:val="24"/>
        </w:rPr>
      </w:pPr>
    </w:p>
    <w:p w14:paraId="52857EF1" w14:textId="77777777" w:rsidR="00EE2849" w:rsidRDefault="00EE2849" w:rsidP="00EE2849">
      <w:pPr>
        <w:spacing w:after="274"/>
        <w:rPr>
          <w:rFonts w:ascii="Arial" w:eastAsia="Times New Roman" w:hAnsi="Arial" w:cs="Arial"/>
          <w:b/>
          <w:sz w:val="24"/>
          <w:szCs w:val="24"/>
        </w:rPr>
      </w:pPr>
    </w:p>
    <w:p w14:paraId="6663C9C0" w14:textId="77777777" w:rsidR="00EE2849" w:rsidRDefault="00EE2849" w:rsidP="00EE2849">
      <w:pPr>
        <w:spacing w:after="274"/>
        <w:rPr>
          <w:rFonts w:ascii="Arial" w:eastAsia="Times New Roman" w:hAnsi="Arial" w:cs="Arial"/>
          <w:b/>
          <w:sz w:val="24"/>
          <w:szCs w:val="24"/>
        </w:rPr>
      </w:pPr>
    </w:p>
    <w:p w14:paraId="1D3FC1AA" w14:textId="77777777" w:rsidR="00EE2849" w:rsidRPr="005E61CD" w:rsidRDefault="00EE2849" w:rsidP="006F2A50">
      <w:pPr>
        <w:spacing w:after="274"/>
        <w:rPr>
          <w:rFonts w:ascii="Times New Roman" w:eastAsia="Times New Roman" w:hAnsi="Times New Roman" w:cs="Times New Roman"/>
          <w:b/>
          <w:sz w:val="24"/>
          <w:szCs w:val="24"/>
        </w:rPr>
      </w:pPr>
    </w:p>
    <w:p w14:paraId="0DD01CFD" w14:textId="77777777" w:rsidR="006F2A50" w:rsidRDefault="006F2A50" w:rsidP="006F2A50">
      <w:pPr>
        <w:spacing w:after="274"/>
        <w:jc w:val="both"/>
        <w:rPr>
          <w:rFonts w:ascii="Times New Roman" w:eastAsia="Times New Roman" w:hAnsi="Times New Roman" w:cs="Times New Roman"/>
          <w:b/>
          <w:sz w:val="24"/>
          <w:szCs w:val="24"/>
        </w:rPr>
      </w:pPr>
    </w:p>
    <w:p w14:paraId="31F5545A" w14:textId="71D830AC" w:rsidR="00EE2849" w:rsidRPr="005E61CD" w:rsidRDefault="00EE2849" w:rsidP="006F2A50">
      <w:pPr>
        <w:spacing w:after="274"/>
        <w:jc w:val="both"/>
        <w:rPr>
          <w:rFonts w:ascii="Times New Roman" w:hAnsi="Times New Roman" w:cs="Times New Roman"/>
          <w:sz w:val="24"/>
          <w:szCs w:val="24"/>
        </w:rPr>
      </w:pPr>
      <w:r w:rsidRPr="005E61CD">
        <w:rPr>
          <w:rFonts w:ascii="Times New Roman" w:eastAsia="Times New Roman" w:hAnsi="Times New Roman" w:cs="Times New Roman"/>
          <w:b/>
          <w:sz w:val="24"/>
          <w:szCs w:val="24"/>
        </w:rPr>
        <w:t>Programme: Master of Business Administration</w:t>
      </w:r>
    </w:p>
    <w:p w14:paraId="2BB1C003" w14:textId="77777777" w:rsidR="00EE2849" w:rsidRPr="005E61CD" w:rsidRDefault="00EE2849" w:rsidP="006F2A50">
      <w:pPr>
        <w:spacing w:after="274"/>
        <w:jc w:val="both"/>
        <w:rPr>
          <w:rFonts w:ascii="Times New Roman" w:hAnsi="Times New Roman" w:cs="Times New Roman"/>
          <w:sz w:val="24"/>
          <w:szCs w:val="24"/>
        </w:rPr>
      </w:pPr>
      <w:r w:rsidRPr="005E61CD">
        <w:rPr>
          <w:rFonts w:ascii="Times New Roman" w:eastAsia="Times New Roman" w:hAnsi="Times New Roman" w:cs="Times New Roman"/>
          <w:b/>
          <w:sz w:val="24"/>
          <w:szCs w:val="24"/>
        </w:rPr>
        <w:t>Module: Marketing Management</w:t>
      </w:r>
    </w:p>
    <w:p w14:paraId="5D1FF939" w14:textId="77777777" w:rsidR="00EE2849" w:rsidRPr="005E61CD" w:rsidRDefault="00EE2849" w:rsidP="006F2A50">
      <w:pPr>
        <w:spacing w:after="274"/>
        <w:ind w:right="66"/>
        <w:jc w:val="both"/>
        <w:rPr>
          <w:rFonts w:ascii="Times New Roman" w:hAnsi="Times New Roman" w:cs="Times New Roman"/>
          <w:sz w:val="24"/>
          <w:szCs w:val="24"/>
        </w:rPr>
      </w:pPr>
      <w:r w:rsidRPr="005E61CD">
        <w:rPr>
          <w:rFonts w:ascii="Times New Roman" w:eastAsia="Times New Roman" w:hAnsi="Times New Roman" w:cs="Times New Roman"/>
          <w:b/>
          <w:sz w:val="24"/>
          <w:szCs w:val="24"/>
        </w:rPr>
        <w:t xml:space="preserve">Module code: </w:t>
      </w:r>
      <w:r w:rsidRPr="005E61CD">
        <w:rPr>
          <w:rFonts w:ascii="Times New Roman" w:hAnsi="Times New Roman" w:cs="Times New Roman"/>
          <w:b/>
          <w:sz w:val="24"/>
          <w:szCs w:val="24"/>
        </w:rPr>
        <w:t>LCMB7024</w:t>
      </w:r>
    </w:p>
    <w:p w14:paraId="2EA8DA26" w14:textId="77777777" w:rsidR="00EE2849" w:rsidRPr="005E61CD" w:rsidRDefault="00EE2849" w:rsidP="006F2A50">
      <w:pPr>
        <w:spacing w:after="274"/>
        <w:ind w:right="65"/>
        <w:jc w:val="both"/>
        <w:rPr>
          <w:rFonts w:ascii="Times New Roman" w:hAnsi="Times New Roman" w:cs="Times New Roman"/>
          <w:sz w:val="24"/>
          <w:szCs w:val="24"/>
        </w:rPr>
      </w:pPr>
      <w:r w:rsidRPr="005E61CD">
        <w:rPr>
          <w:rFonts w:ascii="Times New Roman" w:eastAsia="Times New Roman" w:hAnsi="Times New Roman" w:cs="Times New Roman"/>
          <w:b/>
          <w:sz w:val="24"/>
          <w:szCs w:val="24"/>
        </w:rPr>
        <w:t xml:space="preserve">Title: </w:t>
      </w:r>
      <w:r w:rsidRPr="005E61CD">
        <w:rPr>
          <w:rFonts w:ascii="Times New Roman" w:eastAsia="Times New Roman" w:hAnsi="Times New Roman" w:cs="Times New Roman"/>
          <w:b/>
          <w:bCs/>
          <w:sz w:val="24"/>
          <w:szCs w:val="24"/>
          <w:lang w:val="en-GB"/>
        </w:rPr>
        <w:t>Marketing Environment Analysis</w:t>
      </w:r>
    </w:p>
    <w:p w14:paraId="1EC5A080" w14:textId="77777777" w:rsidR="00EE2849" w:rsidRPr="005E61CD" w:rsidRDefault="00EE2849" w:rsidP="006F2A50">
      <w:pPr>
        <w:spacing w:after="274"/>
        <w:ind w:right="62"/>
        <w:jc w:val="both"/>
        <w:rPr>
          <w:rFonts w:ascii="Times New Roman" w:hAnsi="Times New Roman" w:cs="Times New Roman"/>
          <w:sz w:val="24"/>
          <w:szCs w:val="24"/>
        </w:rPr>
      </w:pPr>
      <w:r w:rsidRPr="005E61CD">
        <w:rPr>
          <w:rFonts w:ascii="Times New Roman" w:eastAsia="Times New Roman" w:hAnsi="Times New Roman" w:cs="Times New Roman"/>
          <w:b/>
          <w:sz w:val="24"/>
          <w:szCs w:val="24"/>
        </w:rPr>
        <w:t>Word count: 2697</w:t>
      </w:r>
    </w:p>
    <w:p w14:paraId="1EAB06EC" w14:textId="3F48534C" w:rsidR="00EE2849" w:rsidRPr="005E61CD" w:rsidRDefault="00EE2849" w:rsidP="006F2A50">
      <w:pPr>
        <w:spacing w:after="165" w:line="352" w:lineRule="auto"/>
        <w:ind w:right="2836"/>
        <w:jc w:val="both"/>
        <w:rPr>
          <w:rFonts w:ascii="Times New Roman" w:eastAsia="Arial" w:hAnsi="Times New Roman" w:cs="Times New Roman"/>
          <w:b/>
          <w:sz w:val="24"/>
          <w:szCs w:val="24"/>
        </w:rPr>
      </w:pPr>
      <w:r w:rsidRPr="005E61CD">
        <w:rPr>
          <w:rFonts w:ascii="Times New Roman" w:eastAsia="Arial" w:hAnsi="Times New Roman" w:cs="Times New Roman"/>
          <w:b/>
          <w:sz w:val="24"/>
          <w:szCs w:val="24"/>
        </w:rPr>
        <w:t xml:space="preserve">Lecturer: </w:t>
      </w:r>
      <w:r w:rsidRPr="005E61CD">
        <w:rPr>
          <w:rFonts w:ascii="Times New Roman" w:hAnsi="Times New Roman" w:cs="Times New Roman"/>
          <w:b/>
          <w:sz w:val="24"/>
          <w:szCs w:val="24"/>
        </w:rPr>
        <w:t>Dian Mayasari (Birmingham)</w:t>
      </w:r>
    </w:p>
    <w:p w14:paraId="22355CF5" w14:textId="77777777" w:rsidR="00EE2849" w:rsidRPr="005E61CD" w:rsidRDefault="00EE2849" w:rsidP="006F2A50">
      <w:pPr>
        <w:spacing w:after="165" w:line="352" w:lineRule="auto"/>
        <w:ind w:right="2836"/>
        <w:jc w:val="both"/>
        <w:rPr>
          <w:rFonts w:ascii="Times New Roman" w:hAnsi="Times New Roman" w:cs="Times New Roman"/>
          <w:sz w:val="24"/>
          <w:szCs w:val="24"/>
        </w:rPr>
      </w:pPr>
      <w:r w:rsidRPr="005E61CD">
        <w:rPr>
          <w:rFonts w:ascii="Times New Roman" w:eastAsia="Times New Roman" w:hAnsi="Times New Roman" w:cs="Times New Roman"/>
          <w:b/>
          <w:sz w:val="24"/>
          <w:szCs w:val="24"/>
        </w:rPr>
        <w:t>Student Name: Tarikul Islam Tarek</w:t>
      </w:r>
    </w:p>
    <w:p w14:paraId="743BF8F2" w14:textId="77777777" w:rsidR="00EE2849" w:rsidRPr="005E61CD" w:rsidRDefault="00EE2849" w:rsidP="006F2A50">
      <w:pPr>
        <w:spacing w:after="274"/>
        <w:ind w:right="62"/>
        <w:jc w:val="both"/>
        <w:rPr>
          <w:rFonts w:ascii="Times New Roman" w:hAnsi="Times New Roman" w:cs="Times New Roman"/>
          <w:sz w:val="24"/>
          <w:szCs w:val="24"/>
        </w:rPr>
      </w:pPr>
      <w:r w:rsidRPr="005E61CD">
        <w:rPr>
          <w:rFonts w:ascii="Times New Roman" w:eastAsia="Times New Roman" w:hAnsi="Times New Roman" w:cs="Times New Roman"/>
          <w:b/>
          <w:sz w:val="24"/>
          <w:szCs w:val="24"/>
        </w:rPr>
        <w:t>Student ID: 2435183</w:t>
      </w:r>
    </w:p>
    <w:p w14:paraId="3BCA42DE" w14:textId="77777777" w:rsidR="00EE2849" w:rsidRPr="005E61CD" w:rsidRDefault="00EE2849" w:rsidP="006F2A50">
      <w:pPr>
        <w:spacing w:after="274"/>
        <w:ind w:right="62"/>
        <w:jc w:val="both"/>
        <w:rPr>
          <w:rFonts w:ascii="Times New Roman" w:hAnsi="Times New Roman" w:cs="Times New Roman"/>
          <w:sz w:val="24"/>
          <w:szCs w:val="24"/>
        </w:rPr>
      </w:pPr>
      <w:r w:rsidRPr="005E61CD">
        <w:rPr>
          <w:rFonts w:ascii="Times New Roman" w:eastAsia="Times New Roman" w:hAnsi="Times New Roman" w:cs="Times New Roman"/>
          <w:b/>
          <w:sz w:val="24"/>
          <w:szCs w:val="24"/>
        </w:rPr>
        <w:t>Submission Date- 24</w:t>
      </w:r>
      <w:r w:rsidRPr="005E61CD">
        <w:rPr>
          <w:rFonts w:ascii="Times New Roman" w:eastAsia="Times New Roman" w:hAnsi="Times New Roman" w:cs="Times New Roman"/>
          <w:b/>
          <w:sz w:val="24"/>
          <w:szCs w:val="24"/>
          <w:vertAlign w:val="superscript"/>
        </w:rPr>
        <w:t>th</w:t>
      </w:r>
      <w:r w:rsidRPr="005E61CD">
        <w:rPr>
          <w:rFonts w:ascii="Times New Roman" w:eastAsia="Times New Roman" w:hAnsi="Times New Roman" w:cs="Times New Roman"/>
          <w:b/>
          <w:sz w:val="24"/>
          <w:szCs w:val="24"/>
        </w:rPr>
        <w:t xml:space="preserve"> October 2025</w:t>
      </w:r>
    </w:p>
    <w:p w14:paraId="5974084D" w14:textId="77777777" w:rsidR="00EE2849" w:rsidRPr="00674B17" w:rsidRDefault="00EE2849" w:rsidP="00EE2849">
      <w:pPr>
        <w:rPr>
          <w:rFonts w:ascii="Arial" w:hAnsi="Arial" w:cs="Arial"/>
          <w:sz w:val="24"/>
          <w:szCs w:val="24"/>
        </w:rPr>
      </w:pPr>
      <w:r w:rsidRPr="00674B17">
        <w:rPr>
          <w:rFonts w:ascii="Arial" w:hAnsi="Arial" w:cs="Arial"/>
          <w:sz w:val="24"/>
          <w:szCs w:val="24"/>
        </w:rPr>
        <w:br w:type="page"/>
      </w:r>
    </w:p>
    <w:p w14:paraId="536F6104" w14:textId="77777777" w:rsidR="00EE2849" w:rsidRDefault="00EE2849" w:rsidP="00EE2849">
      <w:pPr>
        <w:spacing w:line="360" w:lineRule="auto"/>
        <w:jc w:val="center"/>
        <w:rPr>
          <w:rFonts w:ascii="Arial" w:hAnsi="Arial" w:cs="Arial"/>
          <w:b/>
          <w:bCs/>
          <w:sz w:val="24"/>
          <w:szCs w:val="24"/>
        </w:rPr>
      </w:pPr>
      <w:r>
        <w:rPr>
          <w:rFonts w:ascii="Arial" w:hAnsi="Arial" w:cs="Arial"/>
          <w:b/>
          <w:bCs/>
          <w:sz w:val="24"/>
          <w:szCs w:val="24"/>
        </w:rPr>
        <w:lastRenderedPageBreak/>
        <w:t>Table of content</w:t>
      </w:r>
    </w:p>
    <w:p w14:paraId="72E9B7A2" w14:textId="77777777" w:rsidR="00EE2849" w:rsidRPr="00467B3C" w:rsidRDefault="00EE2849" w:rsidP="00EE2849">
      <w:pPr>
        <w:spacing w:line="360" w:lineRule="auto"/>
        <w:rPr>
          <w:rFonts w:ascii="Arial" w:hAnsi="Arial" w:cs="Arial"/>
          <w:sz w:val="24"/>
          <w:szCs w:val="24"/>
        </w:rPr>
      </w:pPr>
      <w:r w:rsidRPr="00467B3C">
        <w:rPr>
          <w:rFonts w:ascii="Arial" w:hAnsi="Arial" w:cs="Arial"/>
          <w:b/>
          <w:bCs/>
          <w:sz w:val="24"/>
          <w:szCs w:val="24"/>
        </w:rPr>
        <w:t>1.0 Introduction</w:t>
      </w:r>
      <w:r w:rsidRPr="00467B3C">
        <w:rPr>
          <w:rFonts w:ascii="Arial" w:hAnsi="Arial" w:cs="Arial"/>
          <w:sz w:val="24"/>
          <w:szCs w:val="24"/>
        </w:rPr>
        <w:t xml:space="preserve"> ...................................................................... </w:t>
      </w:r>
      <w:r>
        <w:rPr>
          <w:rFonts w:ascii="Arial" w:hAnsi="Arial" w:cs="Arial"/>
          <w:sz w:val="24"/>
          <w:szCs w:val="24"/>
        </w:rPr>
        <w:t>3</w:t>
      </w:r>
    </w:p>
    <w:p w14:paraId="0B36B23F" w14:textId="2F0E5A98" w:rsidR="00EE2849" w:rsidRPr="00467B3C" w:rsidRDefault="00EE2849" w:rsidP="00EE2849">
      <w:pPr>
        <w:spacing w:line="360" w:lineRule="auto"/>
        <w:rPr>
          <w:rFonts w:ascii="Arial" w:hAnsi="Arial" w:cs="Arial"/>
          <w:sz w:val="24"/>
          <w:szCs w:val="24"/>
        </w:rPr>
      </w:pPr>
      <w:r w:rsidRPr="00467B3C">
        <w:rPr>
          <w:rFonts w:ascii="Arial" w:hAnsi="Arial" w:cs="Arial"/>
          <w:b/>
          <w:bCs/>
          <w:sz w:val="24"/>
          <w:szCs w:val="24"/>
        </w:rPr>
        <w:t>2.0 Industry Context and Organisational Profiles</w:t>
      </w:r>
      <w:r w:rsidRPr="00467B3C">
        <w:rPr>
          <w:rFonts w:ascii="Arial" w:hAnsi="Arial" w:cs="Arial"/>
          <w:sz w:val="24"/>
          <w:szCs w:val="24"/>
        </w:rPr>
        <w:t xml:space="preserve"> .......................... </w:t>
      </w:r>
      <w:r w:rsidR="00017924">
        <w:rPr>
          <w:rFonts w:ascii="Arial" w:hAnsi="Arial" w:cs="Arial"/>
          <w:sz w:val="24"/>
          <w:szCs w:val="24"/>
        </w:rPr>
        <w:t>4</w:t>
      </w:r>
      <w:r>
        <w:rPr>
          <w:rFonts w:ascii="Arial" w:hAnsi="Arial" w:cs="Arial"/>
          <w:sz w:val="24"/>
          <w:szCs w:val="24"/>
        </w:rPr>
        <w:t>-5</w:t>
      </w:r>
    </w:p>
    <w:p w14:paraId="4C60E00C" w14:textId="77777777" w:rsidR="00EE2849" w:rsidRPr="00467B3C" w:rsidRDefault="00EE2849" w:rsidP="00EE2849">
      <w:pPr>
        <w:spacing w:line="360" w:lineRule="auto"/>
        <w:rPr>
          <w:rFonts w:ascii="Arial" w:hAnsi="Arial" w:cs="Arial"/>
          <w:sz w:val="24"/>
          <w:szCs w:val="24"/>
        </w:rPr>
      </w:pPr>
      <w:r w:rsidRPr="00467B3C">
        <w:rPr>
          <w:rFonts w:ascii="Arial" w:hAnsi="Arial" w:cs="Arial"/>
          <w:b/>
          <w:bCs/>
          <w:sz w:val="24"/>
          <w:szCs w:val="24"/>
        </w:rPr>
        <w:t>3.0 Critical Macro-Environmental Analysis</w:t>
      </w:r>
      <w:r w:rsidRPr="00467B3C">
        <w:rPr>
          <w:rFonts w:ascii="Arial" w:hAnsi="Arial" w:cs="Arial"/>
          <w:sz w:val="24"/>
          <w:szCs w:val="24"/>
        </w:rPr>
        <w:t xml:space="preserve"> .................................. </w:t>
      </w:r>
      <w:r>
        <w:rPr>
          <w:rFonts w:ascii="Arial" w:hAnsi="Arial" w:cs="Arial"/>
          <w:sz w:val="24"/>
          <w:szCs w:val="24"/>
        </w:rPr>
        <w:t>5-9</w:t>
      </w:r>
    </w:p>
    <w:p w14:paraId="3B7FF8F0" w14:textId="77777777" w:rsidR="00EE2849" w:rsidRPr="00467B3C" w:rsidRDefault="00EE2849" w:rsidP="00EE2849">
      <w:pPr>
        <w:spacing w:line="360" w:lineRule="auto"/>
        <w:rPr>
          <w:rFonts w:ascii="Arial" w:hAnsi="Arial" w:cs="Arial"/>
          <w:sz w:val="24"/>
          <w:szCs w:val="24"/>
        </w:rPr>
      </w:pPr>
      <w:r w:rsidRPr="00467B3C">
        <w:rPr>
          <w:rFonts w:ascii="Arial" w:hAnsi="Arial" w:cs="Arial"/>
          <w:b/>
          <w:bCs/>
          <w:sz w:val="24"/>
          <w:szCs w:val="24"/>
        </w:rPr>
        <w:t>4.0 Strategic Marketing Response Compare and Contrast</w:t>
      </w:r>
      <w:r w:rsidRPr="00467B3C">
        <w:rPr>
          <w:rFonts w:ascii="Arial" w:hAnsi="Arial" w:cs="Arial"/>
          <w:sz w:val="24"/>
          <w:szCs w:val="24"/>
        </w:rPr>
        <w:t xml:space="preserve"> ............... </w:t>
      </w:r>
      <w:r>
        <w:rPr>
          <w:rFonts w:ascii="Arial" w:hAnsi="Arial" w:cs="Arial"/>
          <w:sz w:val="24"/>
          <w:szCs w:val="24"/>
        </w:rPr>
        <w:t>9-12</w:t>
      </w:r>
    </w:p>
    <w:p w14:paraId="377DDB17" w14:textId="77777777" w:rsidR="00EE2849" w:rsidRPr="00467B3C" w:rsidRDefault="00EE2849" w:rsidP="00EE2849">
      <w:pPr>
        <w:spacing w:line="360" w:lineRule="auto"/>
        <w:rPr>
          <w:rFonts w:ascii="Arial" w:hAnsi="Arial" w:cs="Arial"/>
          <w:sz w:val="24"/>
          <w:szCs w:val="24"/>
        </w:rPr>
      </w:pPr>
      <w:r w:rsidRPr="00467B3C">
        <w:rPr>
          <w:rFonts w:ascii="Arial" w:hAnsi="Arial" w:cs="Arial"/>
          <w:b/>
          <w:bCs/>
          <w:sz w:val="24"/>
          <w:szCs w:val="24"/>
        </w:rPr>
        <w:t>5.0 Competitive Positioning and Strategic Implications</w:t>
      </w:r>
      <w:r w:rsidRPr="00467B3C">
        <w:rPr>
          <w:rFonts w:ascii="Arial" w:hAnsi="Arial" w:cs="Arial"/>
          <w:sz w:val="24"/>
          <w:szCs w:val="24"/>
        </w:rPr>
        <w:t> .................. 1</w:t>
      </w:r>
      <w:r>
        <w:rPr>
          <w:rFonts w:ascii="Arial" w:hAnsi="Arial" w:cs="Arial"/>
          <w:sz w:val="24"/>
          <w:szCs w:val="24"/>
        </w:rPr>
        <w:t>2-13</w:t>
      </w:r>
    </w:p>
    <w:p w14:paraId="724ADB44" w14:textId="77777777" w:rsidR="00EE2849" w:rsidRPr="00467B3C" w:rsidRDefault="00EE2849" w:rsidP="00EE2849">
      <w:pPr>
        <w:spacing w:line="360" w:lineRule="auto"/>
        <w:rPr>
          <w:rFonts w:ascii="Arial" w:hAnsi="Arial" w:cs="Arial"/>
          <w:sz w:val="24"/>
          <w:szCs w:val="24"/>
        </w:rPr>
      </w:pPr>
      <w:r w:rsidRPr="00467B3C">
        <w:rPr>
          <w:rFonts w:ascii="Arial" w:hAnsi="Arial" w:cs="Arial"/>
          <w:b/>
          <w:bCs/>
          <w:sz w:val="24"/>
          <w:szCs w:val="24"/>
        </w:rPr>
        <w:t>6.0 Conclusions</w:t>
      </w:r>
      <w:r w:rsidRPr="00467B3C">
        <w:rPr>
          <w:rFonts w:ascii="Arial" w:hAnsi="Arial" w:cs="Arial"/>
          <w:sz w:val="24"/>
          <w:szCs w:val="24"/>
        </w:rPr>
        <w:t> .................................................................... 1</w:t>
      </w:r>
      <w:r>
        <w:rPr>
          <w:rFonts w:ascii="Arial" w:hAnsi="Arial" w:cs="Arial"/>
          <w:sz w:val="24"/>
          <w:szCs w:val="24"/>
        </w:rPr>
        <w:t>3</w:t>
      </w:r>
    </w:p>
    <w:p w14:paraId="3CCABEB5" w14:textId="77777777" w:rsidR="00EE2849" w:rsidRPr="00467B3C" w:rsidRDefault="00EE2849" w:rsidP="00EE2849">
      <w:pPr>
        <w:spacing w:line="360" w:lineRule="auto"/>
        <w:rPr>
          <w:rFonts w:ascii="Arial" w:hAnsi="Arial" w:cs="Arial"/>
          <w:sz w:val="24"/>
          <w:szCs w:val="24"/>
        </w:rPr>
      </w:pPr>
      <w:r w:rsidRPr="00467B3C">
        <w:rPr>
          <w:rFonts w:ascii="Arial" w:hAnsi="Arial" w:cs="Arial"/>
          <w:b/>
          <w:bCs/>
          <w:sz w:val="24"/>
          <w:szCs w:val="24"/>
        </w:rPr>
        <w:t>References</w:t>
      </w:r>
      <w:r w:rsidRPr="00467B3C">
        <w:rPr>
          <w:rFonts w:ascii="Arial" w:hAnsi="Arial" w:cs="Arial"/>
          <w:sz w:val="24"/>
          <w:szCs w:val="24"/>
        </w:rPr>
        <w:t> ........................................................................... 1</w:t>
      </w:r>
      <w:r>
        <w:rPr>
          <w:rFonts w:ascii="Arial" w:hAnsi="Arial" w:cs="Arial"/>
          <w:sz w:val="24"/>
          <w:szCs w:val="24"/>
        </w:rPr>
        <w:t>4-15</w:t>
      </w:r>
    </w:p>
    <w:p w14:paraId="4902FB19" w14:textId="77777777" w:rsidR="00EE2849" w:rsidRPr="00F47D81" w:rsidRDefault="00EE2849" w:rsidP="00EE2849">
      <w:pPr>
        <w:spacing w:line="360" w:lineRule="auto"/>
        <w:rPr>
          <w:rFonts w:ascii="Arial" w:hAnsi="Arial" w:cs="Arial"/>
          <w:sz w:val="24"/>
          <w:szCs w:val="24"/>
        </w:rPr>
      </w:pPr>
    </w:p>
    <w:p w14:paraId="1267C3A7" w14:textId="77777777" w:rsidR="00EE2849" w:rsidRPr="00F47D81" w:rsidRDefault="00EE2849" w:rsidP="00EE2849">
      <w:pPr>
        <w:spacing w:line="360" w:lineRule="auto"/>
        <w:rPr>
          <w:rFonts w:ascii="Arial" w:hAnsi="Arial" w:cs="Arial"/>
          <w:sz w:val="24"/>
          <w:szCs w:val="24"/>
        </w:rPr>
      </w:pPr>
    </w:p>
    <w:p w14:paraId="31C9A1C7" w14:textId="77777777" w:rsidR="00EE2849" w:rsidRDefault="00EE2849" w:rsidP="00EE2849">
      <w:pPr>
        <w:rPr>
          <w:rFonts w:ascii="Arial" w:hAnsi="Arial" w:cs="Arial"/>
          <w:sz w:val="24"/>
          <w:szCs w:val="24"/>
        </w:rPr>
      </w:pPr>
      <w:r>
        <w:rPr>
          <w:rFonts w:ascii="Arial" w:hAnsi="Arial" w:cs="Arial"/>
          <w:sz w:val="24"/>
          <w:szCs w:val="24"/>
        </w:rPr>
        <w:br w:type="page"/>
      </w:r>
    </w:p>
    <w:p w14:paraId="1F502D68" w14:textId="77777777" w:rsidR="00EE2849" w:rsidRDefault="00EE2849" w:rsidP="00CB4008">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6E50843A" wp14:editId="4C3849F2">
            <wp:simplePos x="0" y="0"/>
            <wp:positionH relativeFrom="margin">
              <wp:posOffset>-190500</wp:posOffset>
            </wp:positionH>
            <wp:positionV relativeFrom="paragraph">
              <wp:posOffset>891540</wp:posOffset>
            </wp:positionV>
            <wp:extent cx="6166485" cy="3121025"/>
            <wp:effectExtent l="0" t="0" r="5715" b="3175"/>
            <wp:wrapTight wrapText="bothSides">
              <wp:wrapPolygon edited="0">
                <wp:start x="0" y="0"/>
                <wp:lineTo x="0" y="21490"/>
                <wp:lineTo x="21553" y="21490"/>
                <wp:lineTo x="21553" y="0"/>
                <wp:lineTo x="0" y="0"/>
              </wp:wrapPolygon>
            </wp:wrapTight>
            <wp:docPr id="1289082656" name="Picture 1" descr="A graph of a growing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082656" name="Picture 1" descr="A graph of a growing ba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66485" cy="3121025"/>
                    </a:xfrm>
                    <a:prstGeom prst="rect">
                      <a:avLst/>
                    </a:prstGeom>
                  </pic:spPr>
                </pic:pic>
              </a:graphicData>
            </a:graphic>
            <wp14:sizeRelH relativeFrom="margin">
              <wp14:pctWidth>0</wp14:pctWidth>
            </wp14:sizeRelH>
            <wp14:sizeRelV relativeFrom="margin">
              <wp14:pctHeight>0</wp14:pctHeight>
            </wp14:sizeRelV>
          </wp:anchor>
        </w:drawing>
      </w:r>
      <w:r w:rsidRPr="00E535C7">
        <w:rPr>
          <w:rFonts w:ascii="Arial" w:hAnsi="Arial" w:cs="Arial"/>
          <w:b/>
          <w:bCs/>
          <w:sz w:val="24"/>
          <w:szCs w:val="24"/>
        </w:rPr>
        <w:t>1.0 Introduction</w:t>
      </w:r>
      <w:r w:rsidRPr="00E535C7">
        <w:rPr>
          <w:rFonts w:ascii="Arial" w:hAnsi="Arial" w:cs="Arial"/>
          <w:sz w:val="24"/>
          <w:szCs w:val="24"/>
        </w:rPr>
        <w:t xml:space="preserve"> </w:t>
      </w:r>
      <w:r w:rsidRPr="00E535C7">
        <w:rPr>
          <w:rFonts w:ascii="Arial" w:hAnsi="Arial" w:cs="Arial"/>
          <w:sz w:val="24"/>
          <w:szCs w:val="24"/>
        </w:rPr>
        <w:br/>
      </w:r>
      <w:r w:rsidRPr="0086678D">
        <w:rPr>
          <w:rFonts w:ascii="Arial" w:hAnsi="Arial" w:cs="Arial"/>
          <w:sz w:val="24"/>
          <w:szCs w:val="24"/>
        </w:rPr>
        <w:t xml:space="preserve">A common example of platform restructuring value chains is UK internet take out (8.9bn; 28m users) (Statista, 2023). </w:t>
      </w:r>
    </w:p>
    <w:p w14:paraId="61EAA7A6" w14:textId="77777777" w:rsidR="00EE2849" w:rsidRDefault="00EE2849" w:rsidP="00EE2849">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Source: </w:t>
      </w:r>
      <w:r w:rsidRPr="00C84F2F">
        <w:rPr>
          <w:rFonts w:ascii="Arial" w:hAnsi="Arial" w:cs="Arial"/>
          <w:sz w:val="24"/>
          <w:szCs w:val="24"/>
        </w:rPr>
        <w:t>Grand View Research (2025)</w:t>
      </w:r>
    </w:p>
    <w:p w14:paraId="022E8657" w14:textId="296596E6" w:rsidR="00EE2849" w:rsidRPr="00E535C7" w:rsidRDefault="00EE2849" w:rsidP="00EE2849">
      <w:pPr>
        <w:spacing w:line="360" w:lineRule="auto"/>
        <w:jc w:val="both"/>
        <w:rPr>
          <w:rFonts w:ascii="Arial" w:hAnsi="Arial" w:cs="Arial"/>
          <w:sz w:val="24"/>
          <w:szCs w:val="24"/>
        </w:rPr>
      </w:pPr>
      <w:r w:rsidRPr="0086678D">
        <w:rPr>
          <w:rFonts w:ascii="Arial" w:hAnsi="Arial" w:cs="Arial"/>
          <w:sz w:val="24"/>
          <w:szCs w:val="24"/>
        </w:rPr>
        <w:t>The growth in 10 increased to 33 percent of food service sales in 2023 because of smartphones (essentially no growth at all), which were growing to serve as the priority of the Gig work and COVID-19 (CMA, 2022; McKinsey and Company, 2023). That is what the distinction between Deliveroo (Up + logistics with gig couriers) and Just Eat (down + marketplace then added logistics) is (Deliveroo, 2023a; Just Eat Takeaway, 2023a; Srnicek, 2017). RQs: labor regulation and pioneer vs follower platforms; marketing to differentiate; network effects and long-term platform architecture; platform architecture to long term advantage? Our argument was informed by platform theorists who posit that the scale of advantage in the form of winner-take-most focuses on regulation/labour headwinds to profitability30 (Kenney and Zysman, 2016).</w:t>
      </w:r>
    </w:p>
    <w:p w14:paraId="24401DB4" w14:textId="77777777" w:rsidR="00017924" w:rsidRDefault="00017924" w:rsidP="00CB4008">
      <w:pPr>
        <w:spacing w:line="360" w:lineRule="auto"/>
        <w:rPr>
          <w:rFonts w:ascii="Arial" w:hAnsi="Arial" w:cs="Arial"/>
          <w:b/>
          <w:bCs/>
          <w:sz w:val="24"/>
          <w:szCs w:val="24"/>
        </w:rPr>
      </w:pPr>
    </w:p>
    <w:p w14:paraId="4E3AD0A7" w14:textId="77777777" w:rsidR="00017924" w:rsidRDefault="00017924" w:rsidP="00CB4008">
      <w:pPr>
        <w:spacing w:line="360" w:lineRule="auto"/>
        <w:rPr>
          <w:rFonts w:ascii="Arial" w:hAnsi="Arial" w:cs="Arial"/>
          <w:b/>
          <w:bCs/>
          <w:sz w:val="24"/>
          <w:szCs w:val="24"/>
        </w:rPr>
      </w:pPr>
    </w:p>
    <w:p w14:paraId="1E1F6591" w14:textId="77777777" w:rsidR="00017924" w:rsidRDefault="00017924" w:rsidP="00CB4008">
      <w:pPr>
        <w:spacing w:line="360" w:lineRule="auto"/>
        <w:rPr>
          <w:rFonts w:ascii="Arial" w:hAnsi="Arial" w:cs="Arial"/>
          <w:b/>
          <w:bCs/>
          <w:sz w:val="24"/>
          <w:szCs w:val="24"/>
        </w:rPr>
      </w:pPr>
    </w:p>
    <w:p w14:paraId="70BA7FFB" w14:textId="41636B7D" w:rsidR="00017924" w:rsidRDefault="00EE2849" w:rsidP="00CB4008">
      <w:pPr>
        <w:spacing w:line="360" w:lineRule="auto"/>
        <w:rPr>
          <w:rFonts w:ascii="Arial" w:hAnsi="Arial" w:cs="Arial"/>
          <w:b/>
          <w:bCs/>
          <w:sz w:val="24"/>
          <w:szCs w:val="24"/>
        </w:rPr>
      </w:pPr>
      <w:r w:rsidRPr="00C84F2F">
        <w:rPr>
          <w:rFonts w:ascii="Arial" w:hAnsi="Arial" w:cs="Arial"/>
          <w:b/>
          <w:bCs/>
          <w:sz w:val="24"/>
          <w:szCs w:val="24"/>
        </w:rPr>
        <w:lastRenderedPageBreak/>
        <w:t>2</w:t>
      </w:r>
      <w:r w:rsidRPr="00E535C7">
        <w:rPr>
          <w:rFonts w:ascii="Arial" w:hAnsi="Arial" w:cs="Arial"/>
          <w:b/>
          <w:bCs/>
          <w:sz w:val="24"/>
          <w:szCs w:val="24"/>
        </w:rPr>
        <w:t>.0 Industry Context and Organisational Profiles</w:t>
      </w:r>
    </w:p>
    <w:p w14:paraId="6EA7FE26" w14:textId="3DCCA5C9" w:rsidR="00EE2849" w:rsidRPr="00EE2849" w:rsidRDefault="0021192F" w:rsidP="00CB4008">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64384" behindDoc="1" locked="0" layoutInCell="1" allowOverlap="1" wp14:anchorId="258AE043" wp14:editId="3C7DC84A">
            <wp:simplePos x="0" y="0"/>
            <wp:positionH relativeFrom="margin">
              <wp:posOffset>15240</wp:posOffset>
            </wp:positionH>
            <wp:positionV relativeFrom="paragraph">
              <wp:posOffset>2266315</wp:posOffset>
            </wp:positionV>
            <wp:extent cx="5699760" cy="4724400"/>
            <wp:effectExtent l="0" t="0" r="0" b="0"/>
            <wp:wrapTight wrapText="bothSides">
              <wp:wrapPolygon edited="0">
                <wp:start x="2527" y="348"/>
                <wp:lineTo x="2382" y="1306"/>
                <wp:lineTo x="4187" y="1568"/>
                <wp:lineTo x="10757" y="1916"/>
                <wp:lineTo x="1155" y="3048"/>
                <wp:lineTo x="1155" y="3658"/>
                <wp:lineTo x="6281" y="4703"/>
                <wp:lineTo x="1227" y="4877"/>
                <wp:lineTo x="1227" y="5487"/>
                <wp:lineTo x="7797" y="6097"/>
                <wp:lineTo x="1227" y="6706"/>
                <wp:lineTo x="1227" y="7490"/>
                <wp:lineTo x="7797" y="7490"/>
                <wp:lineTo x="2021" y="8361"/>
                <wp:lineTo x="1155" y="8623"/>
                <wp:lineTo x="1155" y="9145"/>
                <wp:lineTo x="6714" y="10277"/>
                <wp:lineTo x="1227" y="10365"/>
                <wp:lineTo x="1227" y="10974"/>
                <wp:lineTo x="7797" y="11671"/>
                <wp:lineTo x="1227" y="12281"/>
                <wp:lineTo x="1227" y="12890"/>
                <wp:lineTo x="7797" y="13065"/>
                <wp:lineTo x="2021" y="13935"/>
                <wp:lineTo x="1155" y="14197"/>
                <wp:lineTo x="1155" y="14719"/>
                <wp:lineTo x="6714" y="15852"/>
                <wp:lineTo x="1299" y="15852"/>
                <wp:lineTo x="1155" y="16200"/>
                <wp:lineTo x="1588" y="17245"/>
                <wp:lineTo x="1155" y="18029"/>
                <wp:lineTo x="1299" y="18377"/>
                <wp:lineTo x="8735" y="18726"/>
                <wp:lineTo x="8735" y="19248"/>
                <wp:lineTo x="10757" y="20032"/>
                <wp:lineTo x="4259" y="20555"/>
                <wp:lineTo x="4187" y="21165"/>
                <wp:lineTo x="6786" y="21339"/>
                <wp:lineTo x="11984" y="21339"/>
                <wp:lineTo x="17326" y="21165"/>
                <wp:lineTo x="17254" y="20555"/>
                <wp:lineTo x="10757" y="20032"/>
                <wp:lineTo x="19781" y="19335"/>
                <wp:lineTo x="19781" y="18726"/>
                <wp:lineTo x="10757" y="18639"/>
                <wp:lineTo x="21513" y="18290"/>
                <wp:lineTo x="21513" y="18029"/>
                <wp:lineTo x="20647" y="17245"/>
                <wp:lineTo x="20791" y="3048"/>
                <wp:lineTo x="18337" y="2700"/>
                <wp:lineTo x="10757" y="1916"/>
                <wp:lineTo x="14799" y="1916"/>
                <wp:lineTo x="19203" y="1219"/>
                <wp:lineTo x="19131" y="348"/>
                <wp:lineTo x="2527" y="348"/>
              </wp:wrapPolygon>
            </wp:wrapTight>
            <wp:docPr id="1303451858" name="Picture 2"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41946" name="Picture 2" descr="A screenshot of a graph"/>
                    <pic:cNvPicPr/>
                  </pic:nvPicPr>
                  <pic:blipFill>
                    <a:blip r:embed="rId8">
                      <a:extLst>
                        <a:ext uri="{28A0092B-C50C-407E-A947-70E740481C1C}">
                          <a14:useLocalDpi xmlns:a14="http://schemas.microsoft.com/office/drawing/2010/main" val="0"/>
                        </a:ext>
                      </a:extLst>
                    </a:blip>
                    <a:stretch>
                      <a:fillRect/>
                    </a:stretch>
                  </pic:blipFill>
                  <pic:spPr>
                    <a:xfrm>
                      <a:off x="0" y="0"/>
                      <a:ext cx="5699760" cy="4724400"/>
                    </a:xfrm>
                    <a:prstGeom prst="rect">
                      <a:avLst/>
                    </a:prstGeom>
                  </pic:spPr>
                </pic:pic>
              </a:graphicData>
            </a:graphic>
            <wp14:sizeRelH relativeFrom="margin">
              <wp14:pctWidth>0</wp14:pctWidth>
            </wp14:sizeRelH>
            <wp14:sizeRelV relativeFrom="margin">
              <wp14:pctHeight>0</wp14:pctHeight>
            </wp14:sizeRelV>
          </wp:anchor>
        </w:drawing>
      </w:r>
      <w:r w:rsidR="00EE2849" w:rsidRPr="0086678D">
        <w:rPr>
          <w:rFonts w:ascii="Arial" w:hAnsi="Arial" w:cs="Arial"/>
          <w:sz w:val="24"/>
          <w:szCs w:val="24"/>
        </w:rPr>
        <w:t xml:space="preserve">The UK online food delivery has gone through three waves: Aggregation (2001-2013) as Just Eat directs the orders to the restaurants; Logistics (2013-2020) as Deliveroo and Uber Eats establish their courier networks; and Consolidation (2020-present) when three players own over 90% of the market share although their enterprises do not make much profit (Statista, 2023). The winner-take-most dynamics generate local density network effects, which leads to competition between customers and restaurants with losses of over PS500m/year (Parker et al., 2016). The normalization after the pandemic and the pressure on costs of living decreased frequency and became more sensitive to prices (McKinsey and Company, 2023). </w:t>
      </w:r>
    </w:p>
    <w:p w14:paraId="6422DFCF" w14:textId="7F5AB2BD" w:rsidR="0021192F" w:rsidRDefault="0021192F" w:rsidP="00EE2849">
      <w:pPr>
        <w:spacing w:line="360" w:lineRule="auto"/>
        <w:rPr>
          <w:rFonts w:ascii="Arial" w:hAnsi="Arial" w:cs="Arial"/>
          <w:sz w:val="24"/>
          <w:szCs w:val="24"/>
        </w:rPr>
      </w:pPr>
    </w:p>
    <w:p w14:paraId="413290B8" w14:textId="73AE2198" w:rsidR="0021192F" w:rsidRDefault="0021192F" w:rsidP="00EE2849">
      <w:pPr>
        <w:spacing w:line="360" w:lineRule="auto"/>
        <w:rPr>
          <w:rFonts w:ascii="Arial" w:hAnsi="Arial" w:cs="Arial"/>
          <w:sz w:val="24"/>
          <w:szCs w:val="24"/>
        </w:rPr>
      </w:pPr>
    </w:p>
    <w:p w14:paraId="6FC161A5" w14:textId="29969B7D" w:rsidR="0021192F" w:rsidRDefault="0021192F" w:rsidP="00EE2849">
      <w:pPr>
        <w:spacing w:line="360" w:lineRule="auto"/>
        <w:rPr>
          <w:rFonts w:ascii="Arial" w:hAnsi="Arial" w:cs="Arial"/>
          <w:sz w:val="24"/>
          <w:szCs w:val="24"/>
        </w:rPr>
      </w:pPr>
    </w:p>
    <w:p w14:paraId="39AC92E8" w14:textId="77777777" w:rsidR="0021192F" w:rsidRDefault="0021192F" w:rsidP="00EE2849">
      <w:pPr>
        <w:spacing w:line="360" w:lineRule="auto"/>
        <w:rPr>
          <w:rFonts w:ascii="Arial" w:hAnsi="Arial" w:cs="Arial"/>
          <w:sz w:val="24"/>
          <w:szCs w:val="24"/>
        </w:rPr>
      </w:pPr>
    </w:p>
    <w:p w14:paraId="2AA4A43D" w14:textId="77777777" w:rsidR="0021192F" w:rsidRDefault="0021192F" w:rsidP="00EE2849">
      <w:pPr>
        <w:spacing w:line="360" w:lineRule="auto"/>
        <w:rPr>
          <w:rFonts w:ascii="Arial" w:hAnsi="Arial" w:cs="Arial"/>
          <w:sz w:val="24"/>
          <w:szCs w:val="24"/>
        </w:rPr>
      </w:pPr>
    </w:p>
    <w:p w14:paraId="1698E3E5" w14:textId="77777777" w:rsidR="0021192F" w:rsidRDefault="0021192F" w:rsidP="00EE2849">
      <w:pPr>
        <w:spacing w:line="360" w:lineRule="auto"/>
        <w:rPr>
          <w:rFonts w:ascii="Arial" w:hAnsi="Arial" w:cs="Arial"/>
          <w:sz w:val="24"/>
          <w:szCs w:val="24"/>
        </w:rPr>
      </w:pPr>
    </w:p>
    <w:p w14:paraId="72BBA689" w14:textId="77777777" w:rsidR="0021192F" w:rsidRDefault="0021192F" w:rsidP="00EE2849">
      <w:pPr>
        <w:spacing w:line="360" w:lineRule="auto"/>
        <w:rPr>
          <w:rFonts w:ascii="Arial" w:hAnsi="Arial" w:cs="Arial"/>
          <w:sz w:val="24"/>
          <w:szCs w:val="24"/>
        </w:rPr>
      </w:pPr>
    </w:p>
    <w:p w14:paraId="6A58EE2D" w14:textId="77777777" w:rsidR="0021192F" w:rsidRDefault="0021192F" w:rsidP="00EE2849">
      <w:pPr>
        <w:spacing w:line="360" w:lineRule="auto"/>
        <w:rPr>
          <w:rFonts w:ascii="Arial" w:hAnsi="Arial" w:cs="Arial"/>
          <w:sz w:val="24"/>
          <w:szCs w:val="24"/>
        </w:rPr>
      </w:pPr>
    </w:p>
    <w:p w14:paraId="18B77AA6" w14:textId="77777777" w:rsidR="0021192F" w:rsidRDefault="0021192F" w:rsidP="00EE2849">
      <w:pPr>
        <w:spacing w:line="360" w:lineRule="auto"/>
        <w:rPr>
          <w:rFonts w:ascii="Arial" w:hAnsi="Arial" w:cs="Arial"/>
          <w:sz w:val="24"/>
          <w:szCs w:val="24"/>
        </w:rPr>
      </w:pPr>
    </w:p>
    <w:p w14:paraId="6F5F3458" w14:textId="77777777" w:rsidR="0021192F" w:rsidRDefault="0021192F" w:rsidP="00EE2849">
      <w:pPr>
        <w:spacing w:line="360" w:lineRule="auto"/>
        <w:rPr>
          <w:rFonts w:ascii="Arial" w:hAnsi="Arial" w:cs="Arial"/>
          <w:sz w:val="24"/>
          <w:szCs w:val="24"/>
        </w:rPr>
      </w:pPr>
    </w:p>
    <w:p w14:paraId="592EE388" w14:textId="77777777" w:rsidR="0021192F" w:rsidRDefault="0021192F" w:rsidP="00EE2849">
      <w:pPr>
        <w:spacing w:line="360" w:lineRule="auto"/>
        <w:rPr>
          <w:rFonts w:ascii="Arial" w:hAnsi="Arial" w:cs="Arial"/>
          <w:sz w:val="24"/>
          <w:szCs w:val="24"/>
        </w:rPr>
      </w:pPr>
    </w:p>
    <w:p w14:paraId="2D790A67" w14:textId="77777777" w:rsidR="0021192F" w:rsidRDefault="0021192F" w:rsidP="00EE2849">
      <w:pPr>
        <w:spacing w:line="360" w:lineRule="auto"/>
        <w:rPr>
          <w:rFonts w:ascii="Arial" w:hAnsi="Arial" w:cs="Arial"/>
          <w:sz w:val="24"/>
          <w:szCs w:val="24"/>
        </w:rPr>
      </w:pPr>
    </w:p>
    <w:p w14:paraId="2BA42B69" w14:textId="77777777" w:rsidR="0021192F" w:rsidRDefault="0021192F" w:rsidP="00EE2849">
      <w:pPr>
        <w:spacing w:line="360" w:lineRule="auto"/>
        <w:rPr>
          <w:rFonts w:ascii="Arial" w:hAnsi="Arial" w:cs="Arial"/>
          <w:sz w:val="24"/>
          <w:szCs w:val="24"/>
        </w:rPr>
      </w:pPr>
    </w:p>
    <w:p w14:paraId="35833A95" w14:textId="1790DE13" w:rsidR="00EE2849" w:rsidRDefault="0021192F" w:rsidP="00CB4008">
      <w:pPr>
        <w:spacing w:line="360" w:lineRule="auto"/>
        <w:jc w:val="center"/>
        <w:rPr>
          <w:rFonts w:ascii="Arial" w:hAnsi="Arial" w:cs="Arial"/>
          <w:sz w:val="24"/>
          <w:szCs w:val="24"/>
        </w:rPr>
      </w:pPr>
      <w:r>
        <w:rPr>
          <w:rFonts w:ascii="Arial" w:hAnsi="Arial" w:cs="Arial"/>
          <w:sz w:val="24"/>
          <w:szCs w:val="24"/>
        </w:rPr>
        <w:t xml:space="preserve">Source: </w:t>
      </w:r>
      <w:r w:rsidRPr="001B053D">
        <w:rPr>
          <w:rFonts w:ascii="Arial" w:hAnsi="Arial" w:cs="Arial"/>
          <w:sz w:val="24"/>
          <w:szCs w:val="24"/>
        </w:rPr>
        <w:t xml:space="preserve">Lumina </w:t>
      </w:r>
      <w:r w:rsidR="00EE2849" w:rsidRPr="001B053D">
        <w:rPr>
          <w:rFonts w:ascii="Arial" w:hAnsi="Arial" w:cs="Arial"/>
          <w:sz w:val="24"/>
          <w:szCs w:val="24"/>
        </w:rPr>
        <w:t>Intelligence (2025)</w:t>
      </w:r>
    </w:p>
    <w:p w14:paraId="066B29B8" w14:textId="6A125F90" w:rsidR="00EE2849" w:rsidRDefault="00EE2849" w:rsidP="0021192F">
      <w:pPr>
        <w:spacing w:line="360" w:lineRule="auto"/>
        <w:jc w:val="both"/>
        <w:rPr>
          <w:rFonts w:ascii="Arial" w:hAnsi="Arial" w:cs="Arial"/>
          <w:sz w:val="24"/>
          <w:szCs w:val="24"/>
        </w:rPr>
      </w:pPr>
      <w:r w:rsidRPr="0086678D">
        <w:rPr>
          <w:rFonts w:ascii="Arial" w:hAnsi="Arial" w:cs="Arial"/>
          <w:sz w:val="24"/>
          <w:szCs w:val="24"/>
        </w:rPr>
        <w:lastRenderedPageBreak/>
        <w:t>The first mover: Deliveroo (2013): The first mover delivering high-quality restaurant food, based on an algorithmic system of courier-restaurant-customer matching and management of gig labour capacity (Deliveroo, 2023a). Differentiated on the basis of the quality restaurants by delivering within the boundaries of the 30 minutes, which allows premium pricing (Srnicek, 2017). Restaurant commission earnings (25-35%), delivery (PS2.49-PS4.99) and Deliveroo Plus subscriptions (PS3.49/month). The 2022 losses hit PS224m on PS1.8bn revenue notwithstanding its international expansion, Editions kitchens, and grocer partnerships (Financial Times, 2023). Just Eat (follower): UK launch 2006, has marketplace with asset-light operation, which charges 10-14% commission without courier charges (Just Eat Takeaway, 2023a). Rides on the initial relationships in restaurants and covers. Competition in integrated logistics has been responded to by acquisition of SkipTheDishes, construction of Scoober, and the merger with Takeaway.com in 2020 (EUR9bn). Although the UK experienced a loss of EUR1.1bn in the group in 2022, it is still a profit-generating core (Just Eat Takeaway, 2023b).</w:t>
      </w:r>
    </w:p>
    <w:p w14:paraId="582C252D" w14:textId="77777777" w:rsidR="00EE2849" w:rsidRPr="00E535C7" w:rsidRDefault="00EE2849" w:rsidP="00EE2849">
      <w:pPr>
        <w:spacing w:line="360" w:lineRule="auto"/>
        <w:rPr>
          <w:rFonts w:ascii="Arial" w:hAnsi="Arial" w:cs="Arial"/>
          <w:sz w:val="24"/>
          <w:szCs w:val="24"/>
        </w:rPr>
      </w:pPr>
    </w:p>
    <w:p w14:paraId="309B0511" w14:textId="77777777" w:rsidR="00EE2849" w:rsidRPr="00E535C7" w:rsidRDefault="00EE2849" w:rsidP="0021192F">
      <w:pPr>
        <w:spacing w:line="360" w:lineRule="auto"/>
        <w:jc w:val="both"/>
        <w:rPr>
          <w:rFonts w:ascii="Arial" w:hAnsi="Arial" w:cs="Arial"/>
          <w:b/>
          <w:bCs/>
          <w:sz w:val="24"/>
          <w:szCs w:val="24"/>
        </w:rPr>
      </w:pPr>
      <w:r w:rsidRPr="00C84F2F">
        <w:rPr>
          <w:rFonts w:ascii="Arial" w:hAnsi="Arial" w:cs="Arial"/>
          <w:b/>
          <w:bCs/>
          <w:sz w:val="24"/>
          <w:szCs w:val="24"/>
        </w:rPr>
        <w:t>3</w:t>
      </w:r>
      <w:r w:rsidRPr="00E535C7">
        <w:rPr>
          <w:rFonts w:ascii="Arial" w:hAnsi="Arial" w:cs="Arial"/>
          <w:b/>
          <w:bCs/>
          <w:sz w:val="24"/>
          <w:szCs w:val="24"/>
        </w:rPr>
        <w:t>.0 Critical Macro-Environmental Analysis</w:t>
      </w:r>
    </w:p>
    <w:p w14:paraId="461E2F39" w14:textId="3E005652" w:rsidR="00EE2849" w:rsidRDefault="00EE2849" w:rsidP="0021192F">
      <w:pPr>
        <w:spacing w:line="360" w:lineRule="auto"/>
        <w:rPr>
          <w:rFonts w:ascii="Arial" w:hAnsi="Arial" w:cs="Arial"/>
          <w:sz w:val="24"/>
          <w:szCs w:val="24"/>
        </w:rPr>
      </w:pPr>
      <w:r w:rsidRPr="00E535C7">
        <w:rPr>
          <w:rFonts w:ascii="Arial" w:hAnsi="Arial" w:cs="Arial"/>
          <w:sz w:val="24"/>
          <w:szCs w:val="24"/>
        </w:rPr>
        <w:t>3.1</w:t>
      </w:r>
      <w:r w:rsidR="0021192F">
        <w:rPr>
          <w:rFonts w:ascii="Arial" w:hAnsi="Arial" w:cs="Arial"/>
          <w:sz w:val="24"/>
          <w:szCs w:val="24"/>
        </w:rPr>
        <w:t xml:space="preserve"> </w:t>
      </w:r>
      <w:r w:rsidRPr="00E535C7">
        <w:rPr>
          <w:rFonts w:ascii="Arial" w:hAnsi="Arial" w:cs="Arial"/>
          <w:sz w:val="24"/>
          <w:szCs w:val="24"/>
        </w:rPr>
        <w:t>Regulatory</w:t>
      </w:r>
      <w:r w:rsidR="0021192F">
        <w:rPr>
          <w:rFonts w:ascii="Arial" w:hAnsi="Arial" w:cs="Arial"/>
          <w:sz w:val="24"/>
          <w:szCs w:val="24"/>
        </w:rPr>
        <w:t xml:space="preserve"> </w:t>
      </w:r>
      <w:r w:rsidRPr="00E535C7">
        <w:rPr>
          <w:rFonts w:ascii="Arial" w:hAnsi="Arial" w:cs="Arial"/>
          <w:sz w:val="24"/>
          <w:szCs w:val="24"/>
        </w:rPr>
        <w:t>and labour market pressures</w:t>
      </w:r>
      <w:r w:rsidR="00CB4008">
        <w:rPr>
          <w:rFonts w:ascii="Arial" w:hAnsi="Arial" w:cs="Arial"/>
          <w:sz w:val="24"/>
          <w:szCs w:val="24"/>
        </w:rPr>
        <w:t>:</w:t>
      </w:r>
      <w:r w:rsidRPr="00E535C7">
        <w:rPr>
          <w:rFonts w:ascii="Arial" w:hAnsi="Arial" w:cs="Arial"/>
          <w:sz w:val="24"/>
          <w:szCs w:val="24"/>
        </w:rPr>
        <w:br/>
      </w:r>
      <w:r w:rsidRPr="0086678D">
        <w:rPr>
          <w:rFonts w:ascii="Arial" w:hAnsi="Arial" w:cs="Arial"/>
          <w:sz w:val="24"/>
          <w:szCs w:val="24"/>
        </w:rPr>
        <w:t>The platform labor framework is under growing pressure that questions the economic principles (Vallas &amp; Schor, 2020). The so-called self-employed couriers are not only reported to address variable costs but have the problem of algorithmic control (Taylor et al., 2017; Wood et al., 2019). Crucial rulings: Uber BV v Aslam (2021) ruled that drivers are workers deserving minimum pay, and IWGB v CAC (2021) ruled that courier drivers are self-employed because they are entitled to substitution.</w:t>
      </w:r>
    </w:p>
    <w:p w14:paraId="49EF191C" w14:textId="77777777" w:rsidR="00017924" w:rsidRDefault="00EE2849" w:rsidP="0021192F">
      <w:pPr>
        <w:spacing w:line="360" w:lineRule="auto"/>
        <w:rPr>
          <w:rFonts w:ascii="Arial" w:hAnsi="Arial" w:cs="Arial"/>
          <w:sz w:val="24"/>
          <w:szCs w:val="24"/>
        </w:rPr>
      </w:pPr>
      <w:r w:rsidRPr="0086678D">
        <w:rPr>
          <w:rFonts w:ascii="Arial" w:hAnsi="Arial" w:cs="Arial"/>
          <w:sz w:val="24"/>
          <w:szCs w:val="24"/>
        </w:rPr>
        <w:t>Such legislative measures as consultations of the UK Government regarding the clarity of the status, suggested minimum earnings during logged-in time, and holiday entitlements are presented (Department for Business and Trade, 2023). Europe is progressing more: The 2021 status-presumptive law and a future EU Platform Work Directive (2023) in Spain assume a presumption of employment except in cases that can be proven to the contrary</w:t>
      </w:r>
    </w:p>
    <w:p w14:paraId="0F067394" w14:textId="4331008E" w:rsidR="00EE2849" w:rsidRDefault="00EE2849" w:rsidP="0021192F">
      <w:pPr>
        <w:spacing w:line="360" w:lineRule="auto"/>
        <w:rPr>
          <w:rFonts w:ascii="Arial" w:hAnsi="Arial" w:cs="Arial"/>
          <w:sz w:val="24"/>
          <w:szCs w:val="24"/>
        </w:rPr>
      </w:pPr>
      <w:r w:rsidRPr="0086678D">
        <w:rPr>
          <w:rFonts w:ascii="Arial" w:hAnsi="Arial" w:cs="Arial"/>
          <w:sz w:val="24"/>
          <w:szCs w:val="24"/>
        </w:rPr>
        <w:lastRenderedPageBreak/>
        <w:t>(European</w:t>
      </w:r>
      <w:r w:rsidR="0021192F">
        <w:rPr>
          <w:rFonts w:ascii="Arial" w:hAnsi="Arial" w:cs="Arial"/>
          <w:sz w:val="24"/>
          <w:szCs w:val="24"/>
        </w:rPr>
        <w:t xml:space="preserve"> </w:t>
      </w:r>
      <w:r w:rsidRPr="0086678D">
        <w:rPr>
          <w:rFonts w:ascii="Arial" w:hAnsi="Arial" w:cs="Arial"/>
          <w:sz w:val="24"/>
          <w:szCs w:val="24"/>
        </w:rPr>
        <w:t>Commission, 2023).</w:t>
      </w:r>
      <w:r w:rsidRPr="00E535C7">
        <w:rPr>
          <w:rFonts w:ascii="Arial" w:hAnsi="Arial" w:cs="Arial"/>
          <w:sz w:val="24"/>
          <w:szCs w:val="24"/>
        </w:rPr>
        <w:br/>
      </w:r>
    </w:p>
    <w:p w14:paraId="323CA007" w14:textId="77777777" w:rsidR="0021192F" w:rsidRDefault="00EE2849" w:rsidP="00CB4008">
      <w:pPr>
        <w:spacing w:line="360" w:lineRule="auto"/>
        <w:rPr>
          <w:rFonts w:ascii="Arial" w:hAnsi="Arial" w:cs="Arial"/>
          <w:sz w:val="24"/>
          <w:szCs w:val="24"/>
        </w:rPr>
      </w:pPr>
      <w:r w:rsidRPr="00E535C7">
        <w:rPr>
          <w:rFonts w:ascii="Arial" w:hAnsi="Arial" w:cs="Arial"/>
          <w:sz w:val="24"/>
          <w:szCs w:val="24"/>
        </w:rPr>
        <w:t>Asymmetric impact:</w:t>
      </w:r>
      <w:r w:rsidRPr="00E535C7">
        <w:rPr>
          <w:rFonts w:ascii="Arial" w:hAnsi="Arial" w:cs="Arial"/>
          <w:sz w:val="24"/>
          <w:szCs w:val="24"/>
        </w:rPr>
        <w:br/>
      </w:r>
      <w:r w:rsidRPr="0086678D">
        <w:rPr>
          <w:rFonts w:ascii="Arial" w:hAnsi="Arial" w:cs="Arial"/>
          <w:sz w:val="24"/>
          <w:szCs w:val="24"/>
        </w:rPr>
        <w:t xml:space="preserve">Deliveroo: Reclassification would add 20-30% to the costs in minimum wage, holiday pay (12.07%), employer NI (13.8%), and pension auto-enrolment (3%), and decrease the </w:t>
      </w:r>
    </w:p>
    <w:p w14:paraId="058CAE64" w14:textId="1CF3D5E7" w:rsidR="00EE2849" w:rsidRDefault="00EE2849" w:rsidP="0021192F">
      <w:pPr>
        <w:spacing w:line="360" w:lineRule="auto"/>
        <w:jc w:val="both"/>
        <w:rPr>
          <w:rFonts w:ascii="Arial" w:hAnsi="Arial" w:cs="Arial"/>
          <w:sz w:val="24"/>
          <w:szCs w:val="24"/>
        </w:rPr>
      </w:pPr>
      <w:r w:rsidRPr="0086678D">
        <w:rPr>
          <w:rFonts w:ascii="Arial" w:hAnsi="Arial" w:cs="Arial"/>
          <w:sz w:val="24"/>
          <w:szCs w:val="24"/>
        </w:rPr>
        <w:t xml:space="preserve">flexibility (Institute for Fiscal Studies, 2022). Among the responses, one is voluntary protection and improved forecasting (Deliveroo, 2023a). </w:t>
      </w:r>
    </w:p>
    <w:p w14:paraId="010AD998" w14:textId="77777777" w:rsidR="00EE2849" w:rsidRDefault="00EE2849" w:rsidP="0021192F">
      <w:pPr>
        <w:spacing w:line="360" w:lineRule="auto"/>
        <w:jc w:val="both"/>
        <w:rPr>
          <w:rFonts w:ascii="Arial" w:hAnsi="Arial" w:cs="Arial"/>
          <w:sz w:val="24"/>
          <w:szCs w:val="24"/>
        </w:rPr>
      </w:pPr>
      <w:r w:rsidRPr="0086678D">
        <w:rPr>
          <w:rFonts w:ascii="Arial" w:hAnsi="Arial" w:cs="Arial"/>
          <w:sz w:val="24"/>
          <w:szCs w:val="24"/>
        </w:rPr>
        <w:t>Just eat: Marketplace model based on role of avoidance of direct labour duties, whilst Scoober expansion poses corresponding exposure (Just Eat Takeaway, 2023a).</w:t>
      </w:r>
      <w:r w:rsidRPr="00E535C7">
        <w:rPr>
          <w:rFonts w:ascii="Arial" w:hAnsi="Arial" w:cs="Arial"/>
          <w:sz w:val="24"/>
          <w:szCs w:val="24"/>
        </w:rPr>
        <w:br/>
      </w:r>
      <w:r w:rsidRPr="0086678D">
        <w:rPr>
          <w:rFonts w:ascii="Arial" w:hAnsi="Arial" w:cs="Arial"/>
          <w:sz w:val="24"/>
          <w:szCs w:val="24"/>
        </w:rPr>
        <w:t xml:space="preserve">Market Leader (Deliveroo) Threats: Reclassification of workers and paid logged in time may significantly increase unit costs in periods of low density. The use of collective bargaining in major hubs may limit the flexibility of algorithms. Dark kitchen inspection can restrain the Editions growth. Take rates on high-end restaurants would be squeezed by commission price caps. </w:t>
      </w:r>
    </w:p>
    <w:p w14:paraId="184A5697" w14:textId="77777777" w:rsidR="00EE2849" w:rsidRDefault="00EE2849" w:rsidP="0021192F">
      <w:pPr>
        <w:spacing w:line="360" w:lineRule="auto"/>
        <w:jc w:val="both"/>
        <w:rPr>
          <w:rFonts w:ascii="Arial" w:hAnsi="Arial" w:cs="Arial"/>
          <w:sz w:val="24"/>
          <w:szCs w:val="24"/>
        </w:rPr>
      </w:pPr>
      <w:r w:rsidRPr="0086678D">
        <w:rPr>
          <w:rFonts w:ascii="Arial" w:hAnsi="Arial" w:cs="Arial"/>
          <w:sz w:val="24"/>
          <w:szCs w:val="24"/>
        </w:rPr>
        <w:t xml:space="preserve">Opportunities in the market leader area: Active charter arrangements with cities can be used to influence permissive regulations but discriminate on rider welfare. Demand is smoothed by switching to higher verticals (grocery, catering). Transparent pay calculators will relieve regulatory temperature and enhance retention. </w:t>
      </w:r>
    </w:p>
    <w:p w14:paraId="76E8A570" w14:textId="77777777" w:rsidR="00EE2849" w:rsidRDefault="00EE2849" w:rsidP="0021192F">
      <w:pPr>
        <w:spacing w:line="360" w:lineRule="auto"/>
        <w:jc w:val="both"/>
        <w:rPr>
          <w:rFonts w:ascii="Arial" w:hAnsi="Arial" w:cs="Arial"/>
          <w:sz w:val="24"/>
          <w:szCs w:val="24"/>
        </w:rPr>
      </w:pPr>
      <w:r w:rsidRPr="0086678D">
        <w:rPr>
          <w:rFonts w:ascii="Arial" w:hAnsi="Arial" w:cs="Arial"/>
          <w:sz w:val="24"/>
          <w:szCs w:val="24"/>
        </w:rPr>
        <w:t xml:space="preserve">Follower (Just Eat) Threats: Hybrid exposure Scoober riders incur all on costs as marketplace partners pitch to reduce costs squeeze both sides of the P&amp;L. The same orders of liability ambiguity incurred between the two models boost overhead. Just Eat being the largest aggregator may be subjected to targeted fee limits first. </w:t>
      </w:r>
    </w:p>
    <w:p w14:paraId="561FA313" w14:textId="6FD69125" w:rsidR="00EE2849" w:rsidRDefault="00EE2849" w:rsidP="0021192F">
      <w:pPr>
        <w:spacing w:line="360" w:lineRule="auto"/>
        <w:jc w:val="both"/>
        <w:rPr>
          <w:rFonts w:ascii="Arial" w:hAnsi="Arial" w:cs="Arial"/>
          <w:sz w:val="24"/>
          <w:szCs w:val="24"/>
        </w:rPr>
      </w:pPr>
      <w:r w:rsidRPr="0086678D">
        <w:rPr>
          <w:rFonts w:ascii="Arial" w:hAnsi="Arial" w:cs="Arial"/>
          <w:sz w:val="24"/>
          <w:szCs w:val="24"/>
        </w:rPr>
        <w:t xml:space="preserve">Follower Opportunities: There is use of rider pools in select areas which facilitate positioning of corporates to trusted delivery. Breadth of markets facilitates good-value discussions with restaurant lobby groups. Hybrid models enable </w:t>
      </w:r>
      <w:r w:rsidR="00A33B95" w:rsidRPr="0086678D">
        <w:rPr>
          <w:rFonts w:ascii="Arial" w:hAnsi="Arial" w:cs="Arial"/>
          <w:sz w:val="24"/>
          <w:szCs w:val="24"/>
        </w:rPr>
        <w:t>optimization</w:t>
      </w:r>
      <w:r w:rsidRPr="0086678D">
        <w:rPr>
          <w:rFonts w:ascii="Arial" w:hAnsi="Arial" w:cs="Arial"/>
          <w:sz w:val="24"/>
          <w:szCs w:val="24"/>
        </w:rPr>
        <w:t xml:space="preserve"> </w:t>
      </w:r>
      <w:r w:rsidR="00A236B5" w:rsidRPr="00A236B5">
        <w:rPr>
          <w:rFonts w:ascii="Arial" w:hAnsi="Arial" w:cs="Arial"/>
          <w:sz w:val="24"/>
          <w:szCs w:val="24"/>
        </w:rPr>
        <w:t>on a particular basis</w:t>
      </w:r>
      <w:r w:rsidRPr="0086678D">
        <w:rPr>
          <w:rFonts w:ascii="Arial" w:hAnsi="Arial" w:cs="Arial"/>
          <w:sz w:val="24"/>
          <w:szCs w:val="24"/>
        </w:rPr>
        <w:t>, which limits the effects of one-size-fits-all mandatory models.</w:t>
      </w:r>
    </w:p>
    <w:p w14:paraId="16BFE8FF" w14:textId="77777777" w:rsidR="00EE2849" w:rsidRDefault="00EE2849" w:rsidP="00EE2849">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1" locked="0" layoutInCell="1" allowOverlap="1" wp14:anchorId="7054CD6C" wp14:editId="00599EB3">
            <wp:simplePos x="0" y="0"/>
            <wp:positionH relativeFrom="column">
              <wp:posOffset>0</wp:posOffset>
            </wp:positionH>
            <wp:positionV relativeFrom="paragraph">
              <wp:posOffset>0</wp:posOffset>
            </wp:positionV>
            <wp:extent cx="5731510" cy="4256405"/>
            <wp:effectExtent l="0" t="0" r="2540" b="0"/>
            <wp:wrapTight wrapText="bothSides">
              <wp:wrapPolygon edited="0">
                <wp:start x="0" y="0"/>
                <wp:lineTo x="0" y="21461"/>
                <wp:lineTo x="21538" y="21461"/>
                <wp:lineTo x="21538" y="0"/>
                <wp:lineTo x="0" y="0"/>
              </wp:wrapPolygon>
            </wp:wrapTight>
            <wp:docPr id="178266295" name="Picture 3" descr="A graph showing the growth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66295" name="Picture 3" descr="A graph showing the growth of a compan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256405"/>
                    </a:xfrm>
                    <a:prstGeom prst="rect">
                      <a:avLst/>
                    </a:prstGeom>
                  </pic:spPr>
                </pic:pic>
              </a:graphicData>
            </a:graphic>
          </wp:anchor>
        </w:drawing>
      </w:r>
      <w:r>
        <w:rPr>
          <w:rFonts w:ascii="Arial" w:hAnsi="Arial" w:cs="Arial"/>
          <w:sz w:val="24"/>
          <w:szCs w:val="24"/>
        </w:rPr>
        <w:tab/>
      </w:r>
      <w:r>
        <w:rPr>
          <w:rFonts w:ascii="Arial" w:hAnsi="Arial" w:cs="Arial"/>
          <w:sz w:val="24"/>
          <w:szCs w:val="24"/>
        </w:rPr>
        <w:tab/>
        <w:t xml:space="preserve">Source: </w:t>
      </w:r>
      <w:r w:rsidRPr="001B053D">
        <w:rPr>
          <w:rFonts w:ascii="Arial" w:hAnsi="Arial" w:cs="Arial"/>
          <w:sz w:val="24"/>
          <w:szCs w:val="24"/>
        </w:rPr>
        <w:t>Statista Research Department (2025</w:t>
      </w:r>
      <w:r>
        <w:rPr>
          <w:rFonts w:ascii="Arial" w:hAnsi="Arial" w:cs="Arial"/>
          <w:sz w:val="24"/>
          <w:szCs w:val="24"/>
        </w:rPr>
        <w:t>)</w:t>
      </w:r>
    </w:p>
    <w:p w14:paraId="5B5A30FD" w14:textId="77777777" w:rsidR="00EE2849" w:rsidRDefault="00EE2849" w:rsidP="00EE2849">
      <w:pPr>
        <w:spacing w:line="360" w:lineRule="auto"/>
        <w:rPr>
          <w:rFonts w:ascii="Arial" w:hAnsi="Arial" w:cs="Arial"/>
          <w:sz w:val="24"/>
          <w:szCs w:val="24"/>
        </w:rPr>
      </w:pPr>
    </w:p>
    <w:p w14:paraId="2E163626" w14:textId="5D987D00" w:rsidR="00EE2849" w:rsidRDefault="00EE2849" w:rsidP="0021192F">
      <w:pPr>
        <w:spacing w:line="360" w:lineRule="auto"/>
        <w:rPr>
          <w:rFonts w:ascii="Arial" w:hAnsi="Arial" w:cs="Arial"/>
          <w:sz w:val="24"/>
          <w:szCs w:val="24"/>
        </w:rPr>
      </w:pPr>
      <w:r w:rsidRPr="00E535C7">
        <w:rPr>
          <w:rFonts w:ascii="Arial" w:hAnsi="Arial" w:cs="Arial"/>
          <w:sz w:val="24"/>
          <w:szCs w:val="24"/>
        </w:rPr>
        <w:t>3.2 Technological Platform Dynamics</w:t>
      </w:r>
      <w:r w:rsidR="00CB4008">
        <w:rPr>
          <w:rFonts w:ascii="Arial" w:hAnsi="Arial" w:cs="Arial"/>
          <w:sz w:val="24"/>
          <w:szCs w:val="24"/>
        </w:rPr>
        <w:t>:</w:t>
      </w:r>
      <w:r w:rsidRPr="00E535C7">
        <w:rPr>
          <w:rFonts w:ascii="Arial" w:hAnsi="Arial" w:cs="Arial"/>
          <w:sz w:val="24"/>
          <w:szCs w:val="24"/>
        </w:rPr>
        <w:br/>
      </w:r>
      <w:r w:rsidRPr="00FF3BA0">
        <w:rPr>
          <w:rFonts w:ascii="Arial" w:hAnsi="Arial" w:cs="Arial"/>
          <w:sz w:val="24"/>
          <w:szCs w:val="24"/>
        </w:rPr>
        <w:t xml:space="preserve">The provided advantages are matching, routing, demand prediction, and UX (Parker et al., 2016). Systems make best use of real-time courier-order matching, traffic-aware routing, and dynamic pricing to decrease delivery times (Rosenblat &amp; Stark, 2016; Srnicek, 2017). </w:t>
      </w:r>
    </w:p>
    <w:p w14:paraId="1CFAD3B5" w14:textId="77777777" w:rsidR="00CB4008" w:rsidRDefault="00EE2849" w:rsidP="0021192F">
      <w:pPr>
        <w:spacing w:line="360" w:lineRule="auto"/>
        <w:jc w:val="both"/>
        <w:rPr>
          <w:rFonts w:ascii="Arial" w:hAnsi="Arial" w:cs="Arial"/>
          <w:sz w:val="24"/>
          <w:szCs w:val="24"/>
        </w:rPr>
      </w:pPr>
      <w:r w:rsidRPr="00FF3BA0">
        <w:rPr>
          <w:rFonts w:ascii="Arial" w:hAnsi="Arial" w:cs="Arial"/>
          <w:sz w:val="24"/>
          <w:szCs w:val="24"/>
        </w:rPr>
        <w:t xml:space="preserve">The first-mover advantage of Deliveroo is based on the customized logistics: real-time GPS, predictive timing, ensuring an appearance and prep-time match, and ML-based matching with the ability to deliver products within the shortest possible time of 30 minutes against 35 to 40 in other companies (Deliveroo, 2023a). The compounds of efficiency are generated through the increase of data scale that generates local network effects (Parker et al., 2016). Nevertheless, those benefits are undermined by competitors recruiting talent and licensing like systems (Kenney and Zysman, 2016). </w:t>
      </w:r>
    </w:p>
    <w:p w14:paraId="0E852B21" w14:textId="199C51CD" w:rsidR="00EE2849" w:rsidRDefault="00EE2849" w:rsidP="0021192F">
      <w:pPr>
        <w:spacing w:line="360" w:lineRule="auto"/>
        <w:jc w:val="both"/>
        <w:rPr>
          <w:rFonts w:ascii="Arial" w:hAnsi="Arial" w:cs="Arial"/>
          <w:sz w:val="24"/>
          <w:szCs w:val="24"/>
        </w:rPr>
      </w:pPr>
      <w:r w:rsidRPr="00FF3BA0">
        <w:rPr>
          <w:rFonts w:ascii="Arial" w:hAnsi="Arial" w:cs="Arial"/>
          <w:sz w:val="24"/>
          <w:szCs w:val="24"/>
        </w:rPr>
        <w:lastRenderedPageBreak/>
        <w:t>The nature of Just Eat as a marketplace meant that its logistical requirements were not as sophisticated; the competition necessitated hybrid build-buy-partner models (Scoober) which leveled with, rather than surpassing, the competition (Just Eat Takeaway, 2023a). Path dependence - the combination of logistics and legacy stacks make it more costly and more complicated (Warner &amp; Wager, 2019).</w:t>
      </w:r>
    </w:p>
    <w:p w14:paraId="25D444D7" w14:textId="77777777" w:rsidR="00EE2849" w:rsidRDefault="00EE2849" w:rsidP="0021192F">
      <w:pPr>
        <w:spacing w:line="360" w:lineRule="auto"/>
        <w:jc w:val="both"/>
        <w:rPr>
          <w:rFonts w:ascii="Arial" w:hAnsi="Arial" w:cs="Arial"/>
          <w:sz w:val="24"/>
          <w:szCs w:val="24"/>
        </w:rPr>
      </w:pPr>
      <w:r w:rsidRPr="00FF3BA0">
        <w:rPr>
          <w:rFonts w:ascii="Arial" w:hAnsi="Arial" w:cs="Arial"/>
          <w:sz w:val="24"/>
          <w:szCs w:val="24"/>
        </w:rPr>
        <w:t xml:space="preserve">Advanced forecasting allows advance dispatching and dynamic pricing, but surge pricing is seen as predatory, so both companies are limited to small price changes (~PS0.50-PS1.50) (Khan et al., 2024; Kellogg et al., 2022). The network effects are enforced by mature ecosystems (POS integrations, APIs) making switching costs (Cusumano, 2014). </w:t>
      </w:r>
    </w:p>
    <w:p w14:paraId="5B61BA41" w14:textId="77777777" w:rsidR="00EE2849" w:rsidRDefault="00EE2849" w:rsidP="0021192F">
      <w:pPr>
        <w:spacing w:line="360" w:lineRule="auto"/>
        <w:jc w:val="both"/>
        <w:rPr>
          <w:rFonts w:ascii="Arial" w:hAnsi="Arial" w:cs="Arial"/>
          <w:sz w:val="24"/>
          <w:szCs w:val="24"/>
        </w:rPr>
      </w:pPr>
      <w:r w:rsidRPr="00FF3BA0">
        <w:rPr>
          <w:rFonts w:ascii="Arial" w:hAnsi="Arial" w:cs="Arial"/>
          <w:sz w:val="24"/>
          <w:szCs w:val="24"/>
        </w:rPr>
        <w:t>Market Leader (Deliveroo) Threats: Tech parity - competitors that recreate algorithms cut time benefits to minutes, which are not enough to charge premiums. Explainability regulations in algorithms lead to lower optimization. Competitors focus on mobility cross-subsidies (Uber) and spend more money on engineering.</w:t>
      </w:r>
    </w:p>
    <w:p w14:paraId="4F333AC3" w14:textId="77777777" w:rsidR="00EE2849" w:rsidRDefault="00EE2849" w:rsidP="0021192F">
      <w:pPr>
        <w:spacing w:line="360" w:lineRule="auto"/>
        <w:jc w:val="both"/>
        <w:rPr>
          <w:rFonts w:ascii="Arial" w:hAnsi="Arial" w:cs="Arial"/>
          <w:sz w:val="24"/>
          <w:szCs w:val="24"/>
        </w:rPr>
      </w:pPr>
      <w:r w:rsidRPr="00FF3BA0">
        <w:rPr>
          <w:rFonts w:ascii="Arial" w:hAnsi="Arial" w:cs="Arial"/>
          <w:sz w:val="24"/>
          <w:szCs w:val="24"/>
        </w:rPr>
        <w:t xml:space="preserve">Opportunities in the market leader area: More profound integrations of POS/kitchen and AI cook-time synchronisation increase lag times. Order-batching and micro-fulfillment raise the courier productivity. Individualised merchandising increases AOV and margins. </w:t>
      </w:r>
    </w:p>
    <w:p w14:paraId="7B621AEF" w14:textId="1787B505" w:rsidR="00EE2849" w:rsidRDefault="00EE2849" w:rsidP="0021192F">
      <w:pPr>
        <w:spacing w:line="360" w:lineRule="auto"/>
        <w:jc w:val="both"/>
        <w:rPr>
          <w:rFonts w:ascii="Arial" w:hAnsi="Arial" w:cs="Arial"/>
          <w:sz w:val="24"/>
          <w:szCs w:val="24"/>
        </w:rPr>
      </w:pPr>
      <w:r w:rsidRPr="00FF3BA0">
        <w:rPr>
          <w:rFonts w:ascii="Arial" w:hAnsi="Arial" w:cs="Arial"/>
          <w:sz w:val="24"/>
          <w:szCs w:val="24"/>
        </w:rPr>
        <w:t xml:space="preserve">Follower (Just Eat) Threats: Integration risk-by attaching logistics to marketplace, it introduces latency, making it less accurate. Lack of consistency in experience in the models of delivery demeans retention. Talent competition covers the costs of </w:t>
      </w:r>
      <w:r w:rsidR="00A33B95" w:rsidRPr="00FF3BA0">
        <w:rPr>
          <w:rFonts w:ascii="Arial" w:hAnsi="Arial" w:cs="Arial"/>
          <w:sz w:val="24"/>
          <w:szCs w:val="24"/>
        </w:rPr>
        <w:t>ML</w:t>
      </w:r>
      <w:r w:rsidRPr="00FF3BA0">
        <w:rPr>
          <w:rFonts w:ascii="Arial" w:hAnsi="Arial" w:cs="Arial"/>
          <w:sz w:val="24"/>
          <w:szCs w:val="24"/>
        </w:rPr>
        <w:t xml:space="preserve">/OR engineers. </w:t>
      </w:r>
    </w:p>
    <w:p w14:paraId="7DB049B1" w14:textId="77777777" w:rsidR="00EE2849" w:rsidRDefault="00EE2849" w:rsidP="0021192F">
      <w:pPr>
        <w:spacing w:line="360" w:lineRule="auto"/>
        <w:jc w:val="both"/>
        <w:rPr>
          <w:rFonts w:ascii="Arial" w:hAnsi="Arial" w:cs="Arial"/>
          <w:sz w:val="24"/>
          <w:szCs w:val="24"/>
        </w:rPr>
      </w:pPr>
      <w:r w:rsidRPr="00FF3BA0">
        <w:rPr>
          <w:rFonts w:ascii="Arial" w:hAnsi="Arial" w:cs="Arial"/>
          <w:sz w:val="24"/>
          <w:szCs w:val="24"/>
        </w:rPr>
        <w:t>Follower Opportunities</w:t>
      </w:r>
      <w:r w:rsidRPr="008132D3">
        <w:rPr>
          <w:rFonts w:ascii="Arial" w:hAnsi="Arial" w:cs="Arial"/>
          <w:sz w:val="24"/>
          <w:szCs w:val="24"/>
        </w:rPr>
        <w:t>: Standardization layer upon standardization layer evens out the market/logistics flows, reducing tech debt</w:t>
      </w:r>
      <w:r w:rsidRPr="00FF3BA0">
        <w:rPr>
          <w:rFonts w:ascii="Arial" w:hAnsi="Arial" w:cs="Arial"/>
          <w:sz w:val="24"/>
          <w:szCs w:val="24"/>
        </w:rPr>
        <w:t xml:space="preserve">. Partnerships based on scale invest in forecasting to enhance predictability. Speed is not the only difference that is made by the loyalty programs and planned delivery. </w:t>
      </w:r>
    </w:p>
    <w:p w14:paraId="3FFB9BCE" w14:textId="77777777" w:rsidR="00CB4008" w:rsidRDefault="00EE2849" w:rsidP="0021192F">
      <w:pPr>
        <w:spacing w:line="360" w:lineRule="auto"/>
        <w:jc w:val="both"/>
        <w:rPr>
          <w:rFonts w:ascii="Arial" w:hAnsi="Arial" w:cs="Arial"/>
          <w:sz w:val="24"/>
          <w:szCs w:val="24"/>
        </w:rPr>
      </w:pPr>
      <w:r w:rsidRPr="00FF3BA0">
        <w:rPr>
          <w:rFonts w:ascii="Arial" w:hAnsi="Arial" w:cs="Arial"/>
          <w:sz w:val="24"/>
          <w:szCs w:val="24"/>
        </w:rPr>
        <w:t>Synthesis: Regulation and technology are not of permanent benefit. Such a model of Deliveroo is vulnerable to regulation; the hybrid characteristic of Just Eat introduces complexity and does not explicitly bring a competitive advantage. The benefits of technology will be short-lived given that the performance gap can be reduced by a few minutes. Lasting benefit needs to coordinate the coordination of technology with operations, brand, and</w:t>
      </w:r>
    </w:p>
    <w:p w14:paraId="6F0809B4" w14:textId="33683665" w:rsidR="00EE2849" w:rsidRPr="00FF3BA0" w:rsidRDefault="00EE2849" w:rsidP="0021192F">
      <w:pPr>
        <w:spacing w:line="360" w:lineRule="auto"/>
        <w:jc w:val="both"/>
        <w:rPr>
          <w:rFonts w:ascii="Arial" w:hAnsi="Arial" w:cs="Arial"/>
          <w:sz w:val="24"/>
          <w:szCs w:val="24"/>
        </w:rPr>
      </w:pPr>
      <w:r w:rsidRPr="00FF3BA0">
        <w:rPr>
          <w:rFonts w:ascii="Arial" w:hAnsi="Arial" w:cs="Arial"/>
          <w:sz w:val="24"/>
          <w:szCs w:val="24"/>
        </w:rPr>
        <w:lastRenderedPageBreak/>
        <w:t>ecosystem coordination as well as regulatory maneuvering (Teece, 2009; Eisenhardt and Martin, 2000). Strategic positioning is a key to success and not individual abilities.</w:t>
      </w:r>
    </w:p>
    <w:p w14:paraId="226928B7" w14:textId="77777777" w:rsidR="00EE2849" w:rsidRPr="00C84F2F" w:rsidRDefault="00EE2849" w:rsidP="00EE2849">
      <w:pPr>
        <w:spacing w:line="360" w:lineRule="auto"/>
        <w:rPr>
          <w:rFonts w:ascii="Arial" w:hAnsi="Arial" w:cs="Arial"/>
          <w:b/>
          <w:bCs/>
          <w:sz w:val="24"/>
          <w:szCs w:val="24"/>
        </w:rPr>
      </w:pPr>
      <w:r w:rsidRPr="00C84F2F">
        <w:rPr>
          <w:rFonts w:ascii="Arial" w:hAnsi="Arial" w:cs="Arial"/>
          <w:b/>
          <w:bCs/>
          <w:sz w:val="24"/>
          <w:szCs w:val="24"/>
        </w:rPr>
        <w:t xml:space="preserve">4.0 Strategic Marketing Response Compare and Contrast. </w:t>
      </w:r>
    </w:p>
    <w:p w14:paraId="374BC4BB"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4.1 Platform-Led Innovation of Deliveroo. </w:t>
      </w:r>
    </w:p>
    <w:p w14:paraId="70C70203"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Deliveroo is an example of a platform leadership that employs integrated technology, operations, and value creation (Gawer and Cusumano, 2014). The strategic marketing of the company focuses on premium positioning in the food delivery ecosystem where the company competes not on prices, but through quality and speed. </w:t>
      </w:r>
    </w:p>
    <w:p w14:paraId="1DA52341"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Segmentation, Targeting, and Positioning: </w:t>
      </w:r>
    </w:p>
    <w:p w14:paraId="63463952"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Segmentation: Time-conscious urban professionals who are conscious of prices; price-conscious diners that want variety in the restaurant; digital natives (18-45) who are at ease with services that are provided via an app. </w:t>
      </w:r>
    </w:p>
    <w:p w14:paraId="1811EE49"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Targeting: Centres in major cities (London, Manchester, Edinburgh) with 1km2 catchment and 15+ orders/hour with rural areas being targeted after density requirements are met. </w:t>
      </w:r>
    </w:p>
    <w:p w14:paraId="02EF24CA" w14:textId="30BEA9A4"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Positioning: Fantastic food, in a hurry--WH: focus on quality restaurant associations and 30 minutes’ delivery which is reliable and offered over the cheapest price competition. </w:t>
      </w:r>
    </w:p>
    <w:p w14:paraId="2B630AB0"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Marketing Mix (7Ps): Offering: 3-sided business that links customers, restaurants, and courier services; Deliveroo Plus (PS3.49/month) unlimited free delivery; Editions dark kitchens that optimize high-demand cuisines; grocery (Co-op, Waitrose) that extends the frequency and size of the basket (Deliveroo, 2023a)</w:t>
      </w:r>
      <w:r>
        <w:rPr>
          <w:rFonts w:ascii="Arial" w:hAnsi="Arial" w:cs="Arial"/>
          <w:sz w:val="24"/>
          <w:szCs w:val="24"/>
        </w:rPr>
        <w:t>.</w:t>
      </w:r>
      <w:r w:rsidRPr="008E3218">
        <w:rPr>
          <w:rFonts w:ascii="Arial" w:hAnsi="Arial" w:cs="Arial"/>
          <w:sz w:val="24"/>
          <w:szCs w:val="24"/>
        </w:rPr>
        <w:t xml:space="preserve"> </w:t>
      </w:r>
    </w:p>
    <w:p w14:paraId="119DC95A"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Price: Restaurant receives commissions of 25-35% depending on the amount and exclusivity; delivery costs PS2.49-PS4.99 according to the distance/demand; service fee is around PS0.99; minimum orders are PS10-15 that safeguard the unit economics of delivery (Deliveroo, 2023b)</w:t>
      </w:r>
      <w:r>
        <w:rPr>
          <w:rFonts w:ascii="Arial" w:hAnsi="Arial" w:cs="Arial"/>
          <w:sz w:val="24"/>
          <w:szCs w:val="24"/>
        </w:rPr>
        <w:t>.</w:t>
      </w:r>
      <w:r w:rsidRPr="008E3218">
        <w:rPr>
          <w:rFonts w:ascii="Arial" w:hAnsi="Arial" w:cs="Arial"/>
          <w:sz w:val="24"/>
          <w:szCs w:val="24"/>
        </w:rPr>
        <w:t xml:space="preserve"> </w:t>
      </w:r>
    </w:p>
    <w:p w14:paraId="6D4229C8"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Place: </w:t>
      </w:r>
      <w:r w:rsidRPr="008132D3">
        <w:rPr>
          <w:rFonts w:ascii="Arial" w:hAnsi="Arial" w:cs="Arial"/>
          <w:sz w:val="24"/>
          <w:szCs w:val="24"/>
        </w:rPr>
        <w:t>Digital-only app/website-led distribution; strategic withdrawal from certain markets (Spain, Netherlands, Australia) and concentration on profitable high-density ones (Financial Times, 2023).</w:t>
      </w:r>
    </w:p>
    <w:p w14:paraId="1E49BE51"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lastRenderedPageBreak/>
        <w:t xml:space="preserve">Promotion: performance-based dominance (60% spend); influencer deals with millennials; PS10 referral incentives producing viral growth; PR with innovation leadership; CRM segmentation with 25% more LTV; total CAC approximation PS20-30. </w:t>
      </w:r>
    </w:p>
    <w:p w14:paraId="0E16E931"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People: 3,000+ corporate workers that work within technology/operations; 3,500+ restaurant partners that supply; 50,000+ self-employed couriers that work flexibly. </w:t>
      </w:r>
    </w:p>
    <w:p w14:paraId="1FFCC662"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Process: Algorithmic matching proprietary of courier-restaurant-customer triangulation; real-time GPS reduction of anxiety; chatbots of AI answering 70 percent of queries; constant performance measurement of SLA. </w:t>
      </w:r>
    </w:p>
    <w:p w14:paraId="3F535F50"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Physical Evidence:</w:t>
      </w:r>
      <w:r w:rsidRPr="008132D3">
        <w:rPr>
          <w:rFonts w:ascii="Roboto" w:hAnsi="Roboto"/>
          <w:color w:val="375375"/>
          <w:shd w:val="clear" w:color="auto" w:fill="FFFFFF"/>
        </w:rPr>
        <w:t xml:space="preserve"> </w:t>
      </w:r>
      <w:r w:rsidRPr="008132D3">
        <w:rPr>
          <w:rFonts w:ascii="Arial" w:hAnsi="Arial" w:cs="Arial"/>
          <w:sz w:val="24"/>
          <w:szCs w:val="24"/>
        </w:rPr>
        <w:t>Branding brightly by the door with turquoise-coloured riders and street level presence!best in class app UI/UX DUA (Design user experience) Quality sealed professional packaging to ensure no tampering of food.</w:t>
      </w:r>
    </w:p>
    <w:p w14:paraId="7C7C655D" w14:textId="2601DD0B"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Critical Assessment: PS1.8bn revenue (2022) through premium positioning and technological offers were sustained by the continued loss (PS224m) and sustainability is questionable. The reclassification of labor risks 20-30 percent costs rise; the benefits of the super-app in Uber Eats put the pressure on profits; the crisis of the cost of living decreases the frequency of orders. Oligopoly has been generated because of network effects instead of the winner-takes-all, which has continued the subsidy wars (Deliveroo, 2023b; Financial Times, 2023; Kenney and Zysman, 2016).</w:t>
      </w:r>
    </w:p>
    <w:p w14:paraId="4B4990CD" w14:textId="77777777" w:rsidR="00EE2849" w:rsidRDefault="00EE2849" w:rsidP="00EE2849">
      <w:pPr>
        <w:spacing w:line="360" w:lineRule="auto"/>
        <w:rPr>
          <w:rFonts w:ascii="Arial" w:hAnsi="Arial" w:cs="Arial"/>
          <w:sz w:val="24"/>
          <w:szCs w:val="24"/>
        </w:rPr>
      </w:pPr>
    </w:p>
    <w:p w14:paraId="6044F797"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4.2 The evolution of Just Eat Takeaway’s marketplace</w:t>
      </w:r>
    </w:p>
    <w:p w14:paraId="50DB4401"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Just Eat has an elaborate hybrid business model that tries to strike a balance between marketplace economics that are asset-light and logistics functionality needed in premium restaurants (Just Eat Takeaway, 2023a). </w:t>
      </w:r>
    </w:p>
    <w:p w14:paraId="06CCC6A3"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Segmentation, Targeting, and Positioning: </w:t>
      </w:r>
    </w:p>
    <w:p w14:paraId="78ED20BF"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Segmentation: Value-conscious takeaway customers who care more about decision-making than speed; families who want local and familiar with them; people who live in secondary/tertiary towns that do not have good coverage of the premium platforms. </w:t>
      </w:r>
    </w:p>
    <w:p w14:paraId="3C0E2ECE"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lastRenderedPageBreak/>
        <w:t xml:space="preserve">Targeting: 97% coverage in the UK (lower-density areas), mass-market coverage. Positioning: Your favourite takeaways delivered- with focus on breadth, familiarity, and value instead of premium experience. </w:t>
      </w:r>
    </w:p>
    <w:p w14:paraId="07267293"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Marketing Mix (7Ps):</w:t>
      </w:r>
    </w:p>
    <w:p w14:paraId="69062DCB"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Product: 2-sided marketplace feature--30,000+ restaurants get delivered to their own plus 5,000+ high-quality partners with Scoober logistics; convenience/grocery features that expand the use cases (Just Eat Takeaway, 2023b)</w:t>
      </w:r>
      <w:r>
        <w:rPr>
          <w:rFonts w:ascii="Arial" w:hAnsi="Arial" w:cs="Arial"/>
          <w:sz w:val="24"/>
          <w:szCs w:val="24"/>
        </w:rPr>
        <w:t>.</w:t>
      </w:r>
      <w:r w:rsidRPr="008E3218">
        <w:rPr>
          <w:rFonts w:ascii="Arial" w:hAnsi="Arial" w:cs="Arial"/>
          <w:sz w:val="24"/>
          <w:szCs w:val="24"/>
        </w:rPr>
        <w:t xml:space="preserve"> </w:t>
      </w:r>
    </w:p>
    <w:p w14:paraId="2D17AE06" w14:textId="77777777" w:rsidR="00EE2849" w:rsidRPr="00BA3AAE" w:rsidRDefault="00EE2849" w:rsidP="0021192F">
      <w:pPr>
        <w:spacing w:line="360" w:lineRule="auto"/>
        <w:jc w:val="both"/>
        <w:rPr>
          <w:rFonts w:ascii="Arial" w:hAnsi="Arial" w:cs="Arial"/>
          <w:sz w:val="24"/>
          <w:szCs w:val="24"/>
        </w:rPr>
      </w:pPr>
      <w:r w:rsidRPr="00BA3AAE">
        <w:rPr>
          <w:rFonts w:ascii="Arial" w:hAnsi="Arial" w:cs="Arial"/>
          <w:sz w:val="24"/>
          <w:szCs w:val="24"/>
        </w:rPr>
        <w:t>Price: Marketplace 12-14% to drive volume; logistics replaced 20-30% to offer a premium service; delivery PS2-3. 99 by model; hybridization clouding price leader.</w:t>
      </w:r>
    </w:p>
    <w:p w14:paraId="007BD787"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Place: Omnichannel distribution through both app/website and partnership integrations; widest UK geographic coverage even the unprofitable countryside. </w:t>
      </w:r>
    </w:p>
    <w:p w14:paraId="2A080420"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Promotion: TV advertisement building brand recognition; UEFA sponsorships reaching mass audiences; hardcore discounting (20% codes) makes people trial it but kills the margins; marketing consumes 15-18% of the revenue, compared to 8-10% at Deliveroo. </w:t>
      </w:r>
    </w:p>
    <w:p w14:paraId="10930E4E"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People: Scattered workforce- technology teams across various buys; marketplace restaurant partners doing delivery of their own; Scoober hired riders who created disparities in costs. </w:t>
      </w:r>
    </w:p>
    <w:p w14:paraId="74987AAC"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Process: The integration complexity is caused by two operational flows; orders are not taken care of in the marketplace; orders in logistics are costly; and the experience with customers is irregular across models (Verhoeff et al., 2015). </w:t>
      </w:r>
    </w:p>
    <w:p w14:paraId="18A700C0" w14:textId="77777777" w:rsidR="00EE2849" w:rsidRDefault="00EE2849" w:rsidP="0021192F">
      <w:pPr>
        <w:spacing w:line="360" w:lineRule="auto"/>
        <w:jc w:val="both"/>
        <w:rPr>
          <w:rFonts w:ascii="Arial" w:hAnsi="Arial" w:cs="Arial"/>
          <w:sz w:val="24"/>
          <w:szCs w:val="24"/>
        </w:rPr>
      </w:pPr>
      <w:r w:rsidRPr="008E3218">
        <w:rPr>
          <w:rFonts w:ascii="Arial" w:hAnsi="Arial" w:cs="Arial"/>
          <w:sz w:val="24"/>
          <w:szCs w:val="24"/>
        </w:rPr>
        <w:t xml:space="preserve">Physical Evidence: Variable brand presence uncontrolled delivery in the marketplace with branded Scoober uniforms; inconsistent packaging-standards; old-fashioned app-interface compared with the high-end design of Deliveroo. </w:t>
      </w:r>
    </w:p>
    <w:p w14:paraId="59D482F7" w14:textId="6FD65EDB" w:rsidR="00EE2849" w:rsidRPr="00E535C7" w:rsidRDefault="00EE2849" w:rsidP="00CB4008">
      <w:pPr>
        <w:spacing w:line="360" w:lineRule="auto"/>
        <w:rPr>
          <w:rFonts w:ascii="Arial" w:hAnsi="Arial" w:cs="Arial"/>
          <w:sz w:val="24"/>
          <w:szCs w:val="24"/>
        </w:rPr>
      </w:pPr>
      <w:r w:rsidRPr="008E3218">
        <w:rPr>
          <w:rFonts w:ascii="Arial" w:hAnsi="Arial" w:cs="Arial"/>
          <w:sz w:val="24"/>
          <w:szCs w:val="24"/>
        </w:rPr>
        <w:t xml:space="preserve">Critical Analysis: The hybrid structure represents the concept of the Porters (1996) that is stuck between the middle of the risk-taking-game: neither marketplace efficiency, nor logistics excellence. Misalignment of capabilities between light heritage of assets and operational intensity will result in gaps in execution. Management is distracted by technology and cultural integration issues of Takeaway.com merger (EUR9bn) and Grubhub acquisition ($7.3bn). Financial performance is an indicator of strategic </w:t>
      </w:r>
      <w:r w:rsidRPr="008E3218">
        <w:rPr>
          <w:rFonts w:ascii="Arial" w:hAnsi="Arial" w:cs="Arial"/>
          <w:sz w:val="24"/>
          <w:szCs w:val="24"/>
        </w:rPr>
        <w:lastRenderedPageBreak/>
        <w:t xml:space="preserve">disorientation: group losses of EUR1.1bn (2022), slowing order growth, and share price decrease at rate of 70% since merger (Just Eat Takeaway, 2023a, 2023b). The model tries to cater to all of them but does not focus on them well, with higher-end orders going to Deliveroo and the less-value ones </w:t>
      </w:r>
      <w:r w:rsidR="00CB4008" w:rsidRPr="008E3218">
        <w:rPr>
          <w:rFonts w:ascii="Arial" w:hAnsi="Arial" w:cs="Arial"/>
          <w:sz w:val="24"/>
          <w:szCs w:val="24"/>
        </w:rPr>
        <w:t xml:space="preserve">to </w:t>
      </w:r>
      <w:r w:rsidR="00CB4008">
        <w:rPr>
          <w:rFonts w:ascii="Arial" w:hAnsi="Arial" w:cs="Arial"/>
          <w:sz w:val="24"/>
          <w:szCs w:val="24"/>
        </w:rPr>
        <w:t>marketplace exparts</w:t>
      </w:r>
      <w:r w:rsidRPr="00E535C7">
        <w:rPr>
          <w:rFonts w:ascii="Arial" w:hAnsi="Arial" w:cs="Arial"/>
          <w:sz w:val="24"/>
          <w:szCs w:val="24"/>
        </w:rPr>
        <w:br/>
      </w:r>
    </w:p>
    <w:p w14:paraId="4F2F5333" w14:textId="5876C74D" w:rsidR="00EE2849" w:rsidRPr="00CB4008" w:rsidRDefault="00EE2849" w:rsidP="00CB4008">
      <w:pPr>
        <w:spacing w:line="360" w:lineRule="auto"/>
        <w:rPr>
          <w:rFonts w:ascii="Arial" w:hAnsi="Arial" w:cs="Arial"/>
          <w:b/>
          <w:bCs/>
          <w:sz w:val="24"/>
          <w:szCs w:val="24"/>
        </w:rPr>
      </w:pPr>
      <w:r w:rsidRPr="00E535C7">
        <w:rPr>
          <w:rFonts w:ascii="Arial" w:hAnsi="Arial" w:cs="Arial"/>
          <w:b/>
          <w:bCs/>
          <w:sz w:val="24"/>
          <w:szCs w:val="24"/>
        </w:rPr>
        <w:t>5.0 Competitive Positioning and Strategic Implications</w:t>
      </w:r>
      <w:r w:rsidRPr="00E535C7">
        <w:rPr>
          <w:rFonts w:ascii="Arial" w:hAnsi="Arial" w:cs="Arial"/>
          <w:sz w:val="24"/>
          <w:szCs w:val="24"/>
        </w:rPr>
        <w:br/>
        <w:t>Porter’s Five Forces (Porter, 2008)</w:t>
      </w:r>
      <w:r w:rsidRPr="00E535C7">
        <w:rPr>
          <w:rFonts w:ascii="Arial" w:hAnsi="Arial" w:cs="Arial"/>
          <w:sz w:val="24"/>
          <w:szCs w:val="24"/>
        </w:rPr>
        <w:br/>
      </w:r>
      <w:r w:rsidRPr="008E3218">
        <w:rPr>
          <w:rFonts w:ascii="Arial" w:hAnsi="Arial" w:cs="Arial"/>
          <w:sz w:val="24"/>
          <w:szCs w:val="24"/>
        </w:rPr>
        <w:t xml:space="preserve">Competition: Competitive rivalry is over-stated as Oligopoly with Deliveroo, Just Eat and Uber Eats taking 90% of the share. The competition is conducted through rider subsidies by customers (discount, free delivery subscription and referrals) and under-cutting commission on exclusives and pay inflation to couriers who are making the industry suffer losses in general even though they are scaling (Competition and Markets Authority, 2022). Buyer power (customers): High: no switching cost, the search cost is low and multi-homing influences decision making partially; compensated by Deliveroo Plus and habit formation (Deliveroo, 2023a). </w:t>
      </w:r>
    </w:p>
    <w:p w14:paraId="6597A417" w14:textId="77777777" w:rsidR="00EE2849" w:rsidRDefault="00EE2849" w:rsidP="00CB4008">
      <w:pPr>
        <w:spacing w:line="360" w:lineRule="auto"/>
        <w:jc w:val="both"/>
        <w:rPr>
          <w:rFonts w:ascii="Arial" w:hAnsi="Arial" w:cs="Arial"/>
          <w:sz w:val="24"/>
          <w:szCs w:val="24"/>
        </w:rPr>
      </w:pPr>
      <w:r w:rsidRPr="008E3218">
        <w:rPr>
          <w:rFonts w:ascii="Arial" w:hAnsi="Arial" w:cs="Arial"/>
          <w:sz w:val="24"/>
          <w:szCs w:val="24"/>
        </w:rPr>
        <w:t xml:space="preserve">Buyer power (restaurants): Moderate and increasing through multi-homing and pushback against 30%+ charges, although where 40-60% of orders are done through the platform, the bargaining power is limited (Competition and Markets Authority, 2022). </w:t>
      </w:r>
    </w:p>
    <w:p w14:paraId="057EFB06" w14:textId="77777777" w:rsidR="00EE2849" w:rsidRDefault="00EE2849" w:rsidP="00CB4008">
      <w:pPr>
        <w:spacing w:line="360" w:lineRule="auto"/>
        <w:jc w:val="both"/>
        <w:rPr>
          <w:rFonts w:ascii="Arial" w:hAnsi="Arial" w:cs="Arial"/>
          <w:sz w:val="24"/>
          <w:szCs w:val="24"/>
        </w:rPr>
      </w:pPr>
      <w:r w:rsidRPr="008E3218">
        <w:rPr>
          <w:rFonts w:ascii="Arial" w:hAnsi="Arial" w:cs="Arial"/>
          <w:sz w:val="24"/>
          <w:szCs w:val="24"/>
        </w:rPr>
        <w:t xml:space="preserve">Supplier power (couriers): Growing with tight labour, IWGB action and pro-worker regulation; platforms bid up pay/conditions, and costs grow (Wood et al., 2019). </w:t>
      </w:r>
    </w:p>
    <w:p w14:paraId="7370C189" w14:textId="77777777" w:rsidR="00EE2849" w:rsidRDefault="00EE2849" w:rsidP="00CB4008">
      <w:pPr>
        <w:spacing w:line="360" w:lineRule="auto"/>
        <w:jc w:val="both"/>
        <w:rPr>
          <w:rFonts w:ascii="Arial" w:hAnsi="Arial" w:cs="Arial"/>
          <w:sz w:val="24"/>
          <w:szCs w:val="24"/>
        </w:rPr>
      </w:pPr>
      <w:r w:rsidRPr="008E3218">
        <w:rPr>
          <w:rFonts w:ascii="Arial" w:hAnsi="Arial" w:cs="Arial"/>
          <w:sz w:val="24"/>
          <w:szCs w:val="24"/>
        </w:rPr>
        <w:t xml:space="preserve">Risk of new entrants: Moderate; Capital, network effects and regulation will keep new entrants at bay, but new entrants (funded) such as Amazon, DoorDash) can come in (Kenney and Zysman, 2016). </w:t>
      </w:r>
    </w:p>
    <w:p w14:paraId="47BD92FD" w14:textId="77777777" w:rsidR="00EE2849" w:rsidRDefault="00EE2849" w:rsidP="00CB4008">
      <w:pPr>
        <w:spacing w:line="360" w:lineRule="auto"/>
        <w:jc w:val="both"/>
        <w:rPr>
          <w:rFonts w:ascii="Arial" w:hAnsi="Arial" w:cs="Arial"/>
          <w:sz w:val="24"/>
          <w:szCs w:val="24"/>
        </w:rPr>
      </w:pPr>
      <w:r w:rsidRPr="008E3218">
        <w:rPr>
          <w:rFonts w:ascii="Arial" w:hAnsi="Arial" w:cs="Arial"/>
          <w:sz w:val="24"/>
          <w:szCs w:val="24"/>
        </w:rPr>
        <w:t xml:space="preserve">Substitute Threat: In-restaurant Restaurant delivery (direct), meal kits and grocery delivery; greater cost encourages substitution (McKinsey &amp; Company, 2023). </w:t>
      </w:r>
    </w:p>
    <w:p w14:paraId="4EBCD53E" w14:textId="77777777" w:rsidR="00EE2849" w:rsidRDefault="00EE2849" w:rsidP="00CB4008">
      <w:pPr>
        <w:spacing w:line="360" w:lineRule="auto"/>
        <w:jc w:val="both"/>
        <w:rPr>
          <w:rFonts w:ascii="Arial" w:hAnsi="Arial" w:cs="Arial"/>
          <w:sz w:val="24"/>
          <w:szCs w:val="24"/>
        </w:rPr>
      </w:pPr>
      <w:r w:rsidRPr="008E3218">
        <w:rPr>
          <w:rFonts w:ascii="Arial" w:hAnsi="Arial" w:cs="Arial"/>
          <w:sz w:val="24"/>
          <w:szCs w:val="24"/>
        </w:rPr>
        <w:t xml:space="preserve">Resource-Based Comparative Assessment (Barney, 2014) Deliveroo VRIN: Tech focus on logistics (valuable, less rare, moderately imitable); operational competence (valuable, rarer, impossible to copy fully); brand equity in the high-end segment (valuable, somewhat less </w:t>
      </w:r>
      <w:r w:rsidRPr="008E3218">
        <w:rPr>
          <w:rFonts w:ascii="Arial" w:hAnsi="Arial" w:cs="Arial"/>
          <w:sz w:val="24"/>
          <w:szCs w:val="24"/>
        </w:rPr>
        <w:lastRenderedPageBreak/>
        <w:t xml:space="preserve">frequent, impossible to recreate in the long term); high-density city presence (valuable; but not available anywhere at the moment). </w:t>
      </w:r>
    </w:p>
    <w:p w14:paraId="3D4D837D" w14:textId="79E1844F" w:rsidR="00EE2849" w:rsidRPr="00E535C7" w:rsidRDefault="00EE2849" w:rsidP="00CB4008">
      <w:pPr>
        <w:spacing w:line="360" w:lineRule="auto"/>
        <w:rPr>
          <w:rFonts w:ascii="Arial" w:hAnsi="Arial" w:cs="Arial"/>
          <w:sz w:val="24"/>
          <w:szCs w:val="24"/>
        </w:rPr>
      </w:pPr>
      <w:r w:rsidRPr="008E3218">
        <w:rPr>
          <w:rFonts w:ascii="Arial" w:hAnsi="Arial" w:cs="Arial"/>
          <w:sz w:val="24"/>
          <w:szCs w:val="24"/>
        </w:rPr>
        <w:t>Just Eat VRIN: Relations in the restaurant (valuable/costly, common); marketplace technology (valuable/common), national coverage (valuable/less rare, more imitative), hybrid marketplace-logistics capability (valuable/ less rare/ more imitable). Conclusion: None of the firms have VRIN resources. Fruits become far more a matter of extractive capabilities, exogenous, regulation, consumer choice, capital flow, rather than of the nature of resources (Eisenhardt</w:t>
      </w:r>
      <w:r w:rsidR="00CB4008">
        <w:rPr>
          <w:rFonts w:ascii="Arial" w:hAnsi="Arial" w:cs="Arial"/>
          <w:sz w:val="24"/>
          <w:szCs w:val="24"/>
        </w:rPr>
        <w:t xml:space="preserve"> </w:t>
      </w:r>
      <w:r w:rsidRPr="008E3218">
        <w:rPr>
          <w:rFonts w:ascii="Arial" w:hAnsi="Arial" w:cs="Arial"/>
          <w:sz w:val="24"/>
          <w:szCs w:val="24"/>
        </w:rPr>
        <w:t>and Martin 2000).</w:t>
      </w:r>
      <w:r w:rsidRPr="00E535C7">
        <w:rPr>
          <w:rFonts w:ascii="Arial" w:hAnsi="Arial" w:cs="Arial"/>
          <w:sz w:val="24"/>
          <w:szCs w:val="24"/>
        </w:rPr>
        <w:br/>
      </w:r>
    </w:p>
    <w:p w14:paraId="61BA35B0" w14:textId="46D7F074" w:rsidR="00EE2849" w:rsidRPr="00E535C7" w:rsidRDefault="00EE2849" w:rsidP="00EE2849">
      <w:pPr>
        <w:spacing w:line="360" w:lineRule="auto"/>
        <w:rPr>
          <w:rFonts w:ascii="Arial" w:hAnsi="Arial" w:cs="Arial"/>
          <w:sz w:val="24"/>
          <w:szCs w:val="24"/>
        </w:rPr>
      </w:pPr>
      <w:r w:rsidRPr="00C84F2F">
        <w:rPr>
          <w:rFonts w:ascii="Arial" w:hAnsi="Arial" w:cs="Arial"/>
          <w:b/>
          <w:bCs/>
          <w:sz w:val="24"/>
          <w:szCs w:val="24"/>
        </w:rPr>
        <w:t>6</w:t>
      </w:r>
      <w:r w:rsidRPr="00E535C7">
        <w:rPr>
          <w:rFonts w:ascii="Arial" w:hAnsi="Arial" w:cs="Arial"/>
          <w:b/>
          <w:bCs/>
          <w:sz w:val="24"/>
          <w:szCs w:val="24"/>
        </w:rPr>
        <w:t>.0 Conclusions</w:t>
      </w:r>
      <w:r w:rsidRPr="00E535C7">
        <w:rPr>
          <w:rFonts w:ascii="Arial" w:hAnsi="Arial" w:cs="Arial"/>
          <w:sz w:val="24"/>
          <w:szCs w:val="24"/>
        </w:rPr>
        <w:br/>
      </w:r>
      <w:r w:rsidRPr="008132D3">
        <w:rPr>
          <w:rFonts w:ascii="Arial" w:hAnsi="Arial" w:cs="Arial"/>
          <w:sz w:val="24"/>
          <w:szCs w:val="24"/>
        </w:rPr>
        <w:t>This conversation hints that the competition in platforms is unlike what we’re used to. Food delivery has an oligopolistic fight: Deep-pocketed players scale and compete away a winner-takes-(almost)-all dynamics as subsidies discount value. The lead in tech of Deliveroo, or the marketplace origins of Just Eat, will not deliver a sustainable edge, regulation, labour battles and profits pressure loom over strategy notwithstanding. It also tempers platform triumphalism. Unlike software that has near zero marginal costs and can become a monopoly, food delivery is operationally intensive, fragmented, low margin and growing revenue hides losses. The lasting losses at Deliveroo, and the integration problems at Just Eat Takeaway, would appear to have cast the sector beyond the limits of platform theory. It’ll all depend on externalities: the degree to which regulations affect the cost and ease of labor use, the post-crisis spenders’ penchant for spending, how much investors are willing to stomach losses rather than insist on profit. Possible tracks: roll-ups, exits, or slow cascades down the slippery slope of fewer subsidies, more cost sharing (higher prices), tighter operations and a contracting convenience. Network effects, plus operational excellence, regulatory legitimacy and good economics, are what make long-term winners.</w:t>
      </w:r>
      <w:r w:rsidRPr="00E535C7">
        <w:rPr>
          <w:rFonts w:ascii="Arial" w:hAnsi="Arial" w:cs="Arial"/>
          <w:sz w:val="24"/>
          <w:szCs w:val="24"/>
        </w:rPr>
        <w:br/>
      </w:r>
    </w:p>
    <w:p w14:paraId="3FAA94A1" w14:textId="77777777" w:rsidR="00EE2849" w:rsidRDefault="00EE2849" w:rsidP="00EE2849">
      <w:pPr>
        <w:spacing w:line="360" w:lineRule="auto"/>
        <w:rPr>
          <w:rFonts w:ascii="Arial" w:hAnsi="Arial" w:cs="Arial"/>
          <w:b/>
          <w:bCs/>
          <w:sz w:val="24"/>
          <w:szCs w:val="24"/>
        </w:rPr>
      </w:pPr>
    </w:p>
    <w:p w14:paraId="1E144596" w14:textId="77777777" w:rsidR="00017924" w:rsidRDefault="00017924" w:rsidP="00EE2849">
      <w:pPr>
        <w:spacing w:line="360" w:lineRule="auto"/>
        <w:rPr>
          <w:rFonts w:ascii="Arial" w:hAnsi="Arial" w:cs="Arial"/>
          <w:b/>
          <w:bCs/>
          <w:sz w:val="24"/>
          <w:szCs w:val="24"/>
        </w:rPr>
      </w:pPr>
    </w:p>
    <w:p w14:paraId="0E14A95A" w14:textId="08ED9907" w:rsidR="00EE2849" w:rsidRDefault="00EE2849" w:rsidP="00EE2849">
      <w:pPr>
        <w:spacing w:line="360" w:lineRule="auto"/>
        <w:rPr>
          <w:rFonts w:ascii="Arial" w:hAnsi="Arial" w:cs="Arial"/>
          <w:b/>
          <w:bCs/>
          <w:sz w:val="24"/>
          <w:szCs w:val="24"/>
        </w:rPr>
      </w:pPr>
      <w:r w:rsidRPr="00E535C7">
        <w:rPr>
          <w:rFonts w:ascii="Arial" w:hAnsi="Arial" w:cs="Arial"/>
          <w:b/>
          <w:bCs/>
          <w:sz w:val="24"/>
          <w:szCs w:val="24"/>
        </w:rPr>
        <w:lastRenderedPageBreak/>
        <w:t>References</w:t>
      </w:r>
    </w:p>
    <w:p w14:paraId="49B19266"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br/>
        <w:t>Competition and Markets Authority (2022) Online Platforms and Digital Advertising Market Study: Final Report. Available at: </w:t>
      </w:r>
      <w:hyperlink r:id="rId10" w:history="1">
        <w:r w:rsidRPr="00E535C7">
          <w:rPr>
            <w:rStyle w:val="Hyperlink"/>
            <w:rFonts w:ascii="Arial" w:hAnsi="Arial" w:cs="Arial"/>
            <w:sz w:val="24"/>
            <w:szCs w:val="24"/>
          </w:rPr>
          <w:t>https://www.gov.uk/cma-cases/online-platforms-and-digital-advertising-market-study</w:t>
        </w:r>
      </w:hyperlink>
      <w:r w:rsidRPr="00E535C7">
        <w:rPr>
          <w:rFonts w:ascii="Arial" w:hAnsi="Arial" w:cs="Arial"/>
          <w:sz w:val="24"/>
          <w:szCs w:val="24"/>
        </w:rPr>
        <w:t> (Accessed: 20 October 2025).</w:t>
      </w:r>
    </w:p>
    <w:p w14:paraId="3C4A2F71"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Court of Appeal (2021) Independent Workers' Union of Great Britain v Central Arbitration Committee &amp; Deliveroo. [2021] EWCA Civ 952.</w:t>
      </w:r>
    </w:p>
    <w:p w14:paraId="050ADA78"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Deliveroo (2023a) Annual Report and Accounts 2022. Available at: </w:t>
      </w:r>
      <w:hyperlink r:id="rId11" w:history="1">
        <w:r w:rsidRPr="00E535C7">
          <w:rPr>
            <w:rStyle w:val="Hyperlink"/>
            <w:rFonts w:ascii="Arial" w:hAnsi="Arial" w:cs="Arial"/>
            <w:sz w:val="24"/>
            <w:szCs w:val="24"/>
          </w:rPr>
          <w:t>https://corporate.deliveroo.co.uk/investors/results-reports</w:t>
        </w:r>
      </w:hyperlink>
      <w:r w:rsidRPr="00E535C7">
        <w:rPr>
          <w:rFonts w:ascii="Arial" w:hAnsi="Arial" w:cs="Arial"/>
          <w:sz w:val="24"/>
          <w:szCs w:val="24"/>
        </w:rPr>
        <w:t> (Accessed: 20 October 2025).</w:t>
      </w:r>
    </w:p>
    <w:p w14:paraId="0C6BEDF6"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Deliveroo (2023b) Strategic Review 2022. Available at: </w:t>
      </w:r>
      <w:hyperlink r:id="rId12" w:history="1">
        <w:r w:rsidRPr="00E535C7">
          <w:rPr>
            <w:rStyle w:val="Hyperlink"/>
            <w:rFonts w:ascii="Arial" w:hAnsi="Arial" w:cs="Arial"/>
            <w:sz w:val="24"/>
            <w:szCs w:val="24"/>
          </w:rPr>
          <w:t>https://corporate.deliveroo.co.uk/our-impact/</w:t>
        </w:r>
      </w:hyperlink>
      <w:r w:rsidRPr="00E535C7">
        <w:rPr>
          <w:rFonts w:ascii="Arial" w:hAnsi="Arial" w:cs="Arial"/>
          <w:sz w:val="24"/>
          <w:szCs w:val="24"/>
        </w:rPr>
        <w:t> (Accessed: 20 October 2025).</w:t>
      </w:r>
    </w:p>
    <w:p w14:paraId="2394AAF8"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European Commission (2023) Proposal for a Directive on Improving Working Conditions in Platform Work. Available at: </w:t>
      </w:r>
      <w:hyperlink r:id="rId13" w:history="1">
        <w:r w:rsidRPr="00E535C7">
          <w:rPr>
            <w:rStyle w:val="Hyperlink"/>
            <w:rFonts w:ascii="Arial" w:hAnsi="Arial" w:cs="Arial"/>
            <w:sz w:val="24"/>
            <w:szCs w:val="24"/>
          </w:rPr>
          <w:t>https://ec.europa.eu/commission/presscorner/detail/en/ip_21_6605</w:t>
        </w:r>
      </w:hyperlink>
      <w:r w:rsidRPr="00E535C7">
        <w:rPr>
          <w:rFonts w:ascii="Arial" w:hAnsi="Arial" w:cs="Arial"/>
          <w:sz w:val="24"/>
          <w:szCs w:val="24"/>
        </w:rPr>
        <w:t> (Accessed: 20 October 2025).</w:t>
      </w:r>
    </w:p>
    <w:p w14:paraId="196FB334"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Financial Times (2023) 'Deliveroo shares fall 40% since London IPO', Financial Times, 15 March. Available at: </w:t>
      </w:r>
      <w:hyperlink r:id="rId14" w:history="1">
        <w:r w:rsidRPr="00E535C7">
          <w:rPr>
            <w:rStyle w:val="Hyperlink"/>
            <w:rFonts w:ascii="Arial" w:hAnsi="Arial" w:cs="Arial"/>
            <w:sz w:val="24"/>
            <w:szCs w:val="24"/>
          </w:rPr>
          <w:t>https://www.ft.com/content/deliveroo-share-price-2023</w:t>
        </w:r>
      </w:hyperlink>
      <w:r w:rsidRPr="00E535C7">
        <w:rPr>
          <w:rFonts w:ascii="Arial" w:hAnsi="Arial" w:cs="Arial"/>
          <w:sz w:val="24"/>
          <w:szCs w:val="24"/>
        </w:rPr>
        <w:t> (Accessed: 20 October 2025).</w:t>
      </w:r>
    </w:p>
    <w:p w14:paraId="6D3A93D3" w14:textId="77777777" w:rsidR="00EE2849" w:rsidRDefault="00EE2849" w:rsidP="00EE2849">
      <w:pPr>
        <w:spacing w:line="360" w:lineRule="auto"/>
        <w:rPr>
          <w:rFonts w:ascii="Arial" w:hAnsi="Arial" w:cs="Arial"/>
          <w:sz w:val="24"/>
          <w:szCs w:val="24"/>
        </w:rPr>
      </w:pPr>
      <w:r w:rsidRPr="00C84F2F">
        <w:rPr>
          <w:rFonts w:ascii="Arial" w:hAnsi="Arial" w:cs="Arial"/>
          <w:sz w:val="24"/>
          <w:szCs w:val="24"/>
        </w:rPr>
        <w:t xml:space="preserve">Grand View Research (2025) </w:t>
      </w:r>
      <w:r w:rsidRPr="00C84F2F">
        <w:rPr>
          <w:rFonts w:ascii="Arial" w:hAnsi="Arial" w:cs="Arial"/>
          <w:i/>
          <w:iCs/>
          <w:sz w:val="24"/>
          <w:szCs w:val="24"/>
        </w:rPr>
        <w:t>UK Online Food Delivery Market Size &amp; Outlook, 2030.</w:t>
      </w:r>
      <w:r w:rsidRPr="00C84F2F">
        <w:rPr>
          <w:rFonts w:ascii="Arial" w:hAnsi="Arial" w:cs="Arial"/>
          <w:sz w:val="24"/>
          <w:szCs w:val="24"/>
        </w:rPr>
        <w:t xml:space="preserve"> Available at: </w:t>
      </w:r>
      <w:hyperlink r:id="rId15" w:tgtFrame="_new" w:history="1">
        <w:r w:rsidRPr="00C84F2F">
          <w:rPr>
            <w:rStyle w:val="Hyperlink"/>
            <w:rFonts w:ascii="Arial" w:hAnsi="Arial" w:cs="Arial"/>
            <w:sz w:val="24"/>
            <w:szCs w:val="24"/>
          </w:rPr>
          <w:t>https://www.grandviewresearch.com/horizon/outlook/online-food-delivery-market/uk</w:t>
        </w:r>
      </w:hyperlink>
      <w:r w:rsidRPr="00C84F2F">
        <w:rPr>
          <w:rFonts w:ascii="Arial" w:hAnsi="Arial" w:cs="Arial"/>
          <w:sz w:val="24"/>
          <w:szCs w:val="24"/>
        </w:rPr>
        <w:t xml:space="preserve"> (Accessed: 2</w:t>
      </w:r>
      <w:r>
        <w:rPr>
          <w:rFonts w:ascii="Arial" w:hAnsi="Arial" w:cs="Arial"/>
          <w:sz w:val="24"/>
          <w:szCs w:val="24"/>
        </w:rPr>
        <w:t>2</w:t>
      </w:r>
      <w:r w:rsidRPr="00C84F2F">
        <w:rPr>
          <w:rFonts w:ascii="Arial" w:hAnsi="Arial" w:cs="Arial"/>
          <w:sz w:val="24"/>
          <w:szCs w:val="24"/>
        </w:rPr>
        <w:t xml:space="preserve"> October 2025).</w:t>
      </w:r>
    </w:p>
    <w:p w14:paraId="7B45FFDB"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Just Eat Takeaway (2023a) Annual Report 2022. Available at: </w:t>
      </w:r>
      <w:hyperlink r:id="rId16" w:history="1">
        <w:r w:rsidRPr="00E535C7">
          <w:rPr>
            <w:rStyle w:val="Hyperlink"/>
            <w:rFonts w:ascii="Arial" w:hAnsi="Arial" w:cs="Arial"/>
            <w:sz w:val="24"/>
            <w:szCs w:val="24"/>
          </w:rPr>
          <w:t>https://www.justeattakeaway.com/investors/results-centre/</w:t>
        </w:r>
      </w:hyperlink>
      <w:r w:rsidRPr="00E535C7">
        <w:rPr>
          <w:rFonts w:ascii="Arial" w:hAnsi="Arial" w:cs="Arial"/>
          <w:sz w:val="24"/>
          <w:szCs w:val="24"/>
        </w:rPr>
        <w:t> (Accessed: 20 October 2025).</w:t>
      </w:r>
    </w:p>
    <w:p w14:paraId="47757EA7"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Just Eat Takeaway (2023b) Strategy and Business Model. Available at: </w:t>
      </w:r>
      <w:hyperlink r:id="rId17" w:history="1">
        <w:r w:rsidRPr="00E535C7">
          <w:rPr>
            <w:rStyle w:val="Hyperlink"/>
            <w:rFonts w:ascii="Arial" w:hAnsi="Arial" w:cs="Arial"/>
            <w:sz w:val="24"/>
            <w:szCs w:val="24"/>
          </w:rPr>
          <w:t>https://www.justeattakeaway.com/about-us/strategy/</w:t>
        </w:r>
      </w:hyperlink>
      <w:r w:rsidRPr="00E535C7">
        <w:rPr>
          <w:rFonts w:ascii="Arial" w:hAnsi="Arial" w:cs="Arial"/>
          <w:sz w:val="24"/>
          <w:szCs w:val="24"/>
        </w:rPr>
        <w:t> (Accessed: 20 October 2025).</w:t>
      </w:r>
    </w:p>
    <w:p w14:paraId="01889D85" w14:textId="77777777" w:rsidR="00EE2849" w:rsidRDefault="00EE2849" w:rsidP="00EE2849">
      <w:pPr>
        <w:spacing w:line="360" w:lineRule="auto"/>
        <w:rPr>
          <w:rFonts w:ascii="Arial" w:hAnsi="Arial" w:cs="Arial"/>
          <w:sz w:val="24"/>
          <w:szCs w:val="24"/>
        </w:rPr>
      </w:pPr>
      <w:r w:rsidRPr="001B053D">
        <w:rPr>
          <w:rFonts w:ascii="Arial" w:hAnsi="Arial" w:cs="Arial"/>
          <w:sz w:val="24"/>
          <w:szCs w:val="24"/>
        </w:rPr>
        <w:lastRenderedPageBreak/>
        <w:t xml:space="preserve">Lumina Intelligence (2025) ‘UK Food Delivery Market: Growth, Share, &amp; Size Statistics’, 4 months ago. Available at: </w:t>
      </w:r>
      <w:hyperlink r:id="rId18" w:tgtFrame="_new" w:history="1">
        <w:r w:rsidRPr="001B053D">
          <w:rPr>
            <w:rStyle w:val="Hyperlink"/>
            <w:rFonts w:ascii="Arial" w:hAnsi="Arial" w:cs="Arial"/>
            <w:sz w:val="24"/>
            <w:szCs w:val="24"/>
          </w:rPr>
          <w:t>https://www.lumina-intelligence.com/blog/foodservice/uk-food-delivery-market-growth-share-size-statistics-2025/</w:t>
        </w:r>
      </w:hyperlink>
      <w:r w:rsidRPr="001B053D">
        <w:rPr>
          <w:rFonts w:ascii="Arial" w:hAnsi="Arial" w:cs="Arial"/>
          <w:sz w:val="24"/>
          <w:szCs w:val="24"/>
        </w:rPr>
        <w:t xml:space="preserve"> (Accessed: 2</w:t>
      </w:r>
      <w:r>
        <w:rPr>
          <w:rFonts w:ascii="Arial" w:hAnsi="Arial" w:cs="Arial"/>
          <w:sz w:val="24"/>
          <w:szCs w:val="24"/>
        </w:rPr>
        <w:t>2</w:t>
      </w:r>
      <w:r w:rsidRPr="001B053D">
        <w:rPr>
          <w:rFonts w:ascii="Arial" w:hAnsi="Arial" w:cs="Arial"/>
          <w:sz w:val="24"/>
          <w:szCs w:val="24"/>
        </w:rPr>
        <w:t xml:space="preserve"> October 2025).</w:t>
      </w:r>
    </w:p>
    <w:p w14:paraId="710FAA6A"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McKinsey &amp; Company (2023) The Future of Food Delivery. Available at: </w:t>
      </w:r>
      <w:hyperlink r:id="rId19" w:history="1">
        <w:r w:rsidRPr="00E535C7">
          <w:rPr>
            <w:rStyle w:val="Hyperlink"/>
            <w:rFonts w:ascii="Arial" w:hAnsi="Arial" w:cs="Arial"/>
            <w:sz w:val="24"/>
            <w:szCs w:val="24"/>
          </w:rPr>
          <w:t>https://www.mckinsey.com/industries/retail/our-insights/food-delivery</w:t>
        </w:r>
      </w:hyperlink>
      <w:r w:rsidRPr="00E535C7">
        <w:rPr>
          <w:rFonts w:ascii="Arial" w:hAnsi="Arial" w:cs="Arial"/>
          <w:sz w:val="24"/>
          <w:szCs w:val="24"/>
        </w:rPr>
        <w:t> (Accessed: 20 October 2025).</w:t>
      </w:r>
    </w:p>
    <w:p w14:paraId="0109A012"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Parker, G.G., Van Alstyne, M.W. and Choudary, S.P. (2016) Platform Revolution: How Networked Markets Are Transforming the Economy. New York: W.W. Norton.</w:t>
      </w:r>
    </w:p>
    <w:p w14:paraId="694E7F6B"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Rochet, J.C. and Tirole, J. (2003) 'Platform competition in two-sided markets', Journal of the European Economic Association, 1(4), pp. 990-1029.</w:t>
      </w:r>
    </w:p>
    <w:p w14:paraId="037B2483"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Statista (2023) Online Food Delivery UK Statistics 2023. Available at: </w:t>
      </w:r>
      <w:hyperlink r:id="rId20" w:history="1">
        <w:r w:rsidRPr="00E535C7">
          <w:rPr>
            <w:rStyle w:val="Hyperlink"/>
            <w:rFonts w:ascii="Arial" w:hAnsi="Arial" w:cs="Arial"/>
            <w:sz w:val="24"/>
            <w:szCs w:val="24"/>
          </w:rPr>
          <w:t>https://www.statista.com/outlook/online-food-delivery-uk</w:t>
        </w:r>
      </w:hyperlink>
      <w:r w:rsidRPr="00E535C7">
        <w:rPr>
          <w:rFonts w:ascii="Arial" w:hAnsi="Arial" w:cs="Arial"/>
          <w:sz w:val="24"/>
          <w:szCs w:val="24"/>
        </w:rPr>
        <w:t> (Accessed: 20 October 2025).</w:t>
      </w:r>
    </w:p>
    <w:p w14:paraId="26345F1A" w14:textId="77777777" w:rsidR="00EE2849" w:rsidRPr="00E535C7" w:rsidRDefault="00EE2849" w:rsidP="00EE2849">
      <w:pPr>
        <w:spacing w:line="360" w:lineRule="auto"/>
        <w:rPr>
          <w:rFonts w:ascii="Arial" w:hAnsi="Arial" w:cs="Arial"/>
          <w:sz w:val="24"/>
          <w:szCs w:val="24"/>
        </w:rPr>
      </w:pPr>
      <w:r w:rsidRPr="001B053D">
        <w:rPr>
          <w:rFonts w:ascii="Arial" w:hAnsi="Arial" w:cs="Arial"/>
          <w:sz w:val="24"/>
          <w:szCs w:val="24"/>
        </w:rPr>
        <w:t xml:space="preserve">Statista Research Department (2025) ‘Online food delivery in the United Kingdom – statistics &amp; facts’. Available at: </w:t>
      </w:r>
      <w:hyperlink r:id="rId21" w:tgtFrame="_new" w:history="1">
        <w:r w:rsidRPr="001B053D">
          <w:rPr>
            <w:rStyle w:val="Hyperlink"/>
            <w:rFonts w:ascii="Arial" w:hAnsi="Arial" w:cs="Arial"/>
            <w:sz w:val="24"/>
            <w:szCs w:val="24"/>
          </w:rPr>
          <w:t>https://www.statista.com/topics/11325/online-food-delivery-in-the-uk/</w:t>
        </w:r>
      </w:hyperlink>
      <w:r w:rsidRPr="001B053D">
        <w:rPr>
          <w:rFonts w:ascii="Arial" w:hAnsi="Arial" w:cs="Arial"/>
          <w:sz w:val="24"/>
          <w:szCs w:val="24"/>
        </w:rPr>
        <w:t xml:space="preserve"> (Accessed: 24 October 2025).</w:t>
      </w:r>
    </w:p>
    <w:p w14:paraId="4231340C"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Supreme Court (2021) Uber BV and others v Aslam and others. [2021] UKSC 5.</w:t>
      </w:r>
    </w:p>
    <w:p w14:paraId="74A694C3"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Teece, D.J. (2009) Dynamic Capabilities and Strategic Management: Organizing for Innovation and Growth. Oxford: Oxford University Press.</w:t>
      </w:r>
    </w:p>
    <w:p w14:paraId="35A5E5F7" w14:textId="77777777" w:rsidR="00EE2849" w:rsidRPr="00E535C7" w:rsidRDefault="00EE2849" w:rsidP="00EE2849">
      <w:pPr>
        <w:spacing w:line="360" w:lineRule="auto"/>
        <w:rPr>
          <w:rFonts w:ascii="Arial" w:hAnsi="Arial" w:cs="Arial"/>
          <w:sz w:val="24"/>
          <w:szCs w:val="24"/>
        </w:rPr>
      </w:pPr>
      <w:r w:rsidRPr="00E535C7">
        <w:rPr>
          <w:rFonts w:ascii="Arial" w:hAnsi="Arial" w:cs="Arial"/>
          <w:sz w:val="24"/>
          <w:szCs w:val="24"/>
        </w:rPr>
        <w:t>Vallas, S.P. and Schor, J.B. (2020) 'What do platforms do? Understanding the gig economy', Annual Review of Sociology, 46, pp. 273-294.</w:t>
      </w:r>
    </w:p>
    <w:p w14:paraId="38740893" w14:textId="77777777" w:rsidR="00EE2849" w:rsidRDefault="00EE2849" w:rsidP="00EE2849">
      <w:pPr>
        <w:spacing w:line="360" w:lineRule="auto"/>
        <w:rPr>
          <w:rFonts w:ascii="Arial" w:hAnsi="Arial" w:cs="Arial"/>
          <w:sz w:val="24"/>
          <w:szCs w:val="24"/>
        </w:rPr>
      </w:pPr>
      <w:r w:rsidRPr="00E535C7">
        <w:rPr>
          <w:rFonts w:ascii="Arial" w:hAnsi="Arial" w:cs="Arial"/>
          <w:sz w:val="24"/>
          <w:szCs w:val="24"/>
        </w:rPr>
        <w:t>Wood, A.J., Graham, M., Lehdonvirta, V. and Hjorth, I. (2019) 'Good gig, bad gig: autonomy and algorithmic control in the global gig economy', Work, Employment and Society, 33(1), pp. 56-75.</w:t>
      </w:r>
    </w:p>
    <w:p w14:paraId="34C1527B" w14:textId="77777777" w:rsidR="002175DC" w:rsidRDefault="002175DC"/>
    <w:sectPr w:rsidR="002175DC" w:rsidSect="002175DC">
      <w:footerReference w:type="default" r:id="rId22"/>
      <w:pgSz w:w="12240" w:h="15840"/>
      <w:pgMar w:top="1685" w:right="1080" w:bottom="274"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5EE95" w14:textId="77777777" w:rsidR="00E10D75" w:rsidRDefault="00E10D75" w:rsidP="00EE2849">
      <w:pPr>
        <w:spacing w:after="0" w:line="240" w:lineRule="auto"/>
      </w:pPr>
      <w:r>
        <w:separator/>
      </w:r>
    </w:p>
  </w:endnote>
  <w:endnote w:type="continuationSeparator" w:id="0">
    <w:p w14:paraId="31AA7C48" w14:textId="77777777" w:rsidR="00E10D75" w:rsidRDefault="00E10D75" w:rsidP="00EE2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1272653"/>
      <w:docPartObj>
        <w:docPartGallery w:val="Page Numbers (Bottom of Page)"/>
        <w:docPartUnique/>
      </w:docPartObj>
    </w:sdtPr>
    <w:sdtEndPr>
      <w:rPr>
        <w:noProof/>
      </w:rPr>
    </w:sdtEndPr>
    <w:sdtContent>
      <w:p w14:paraId="77F74B47" w14:textId="2A7365C4" w:rsidR="00EE2849" w:rsidRDefault="00EE28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F3BDB6" w14:textId="77777777" w:rsidR="00EE2849" w:rsidRDefault="00EE2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73AB0" w14:textId="77777777" w:rsidR="00E10D75" w:rsidRDefault="00E10D75" w:rsidP="00EE2849">
      <w:pPr>
        <w:spacing w:after="0" w:line="240" w:lineRule="auto"/>
      </w:pPr>
      <w:r>
        <w:separator/>
      </w:r>
    </w:p>
  </w:footnote>
  <w:footnote w:type="continuationSeparator" w:id="0">
    <w:p w14:paraId="407E4FE2" w14:textId="77777777" w:rsidR="00E10D75" w:rsidRDefault="00E10D75" w:rsidP="00EE28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849"/>
    <w:rsid w:val="00017924"/>
    <w:rsid w:val="00087AAE"/>
    <w:rsid w:val="00097270"/>
    <w:rsid w:val="0021192F"/>
    <w:rsid w:val="002175DC"/>
    <w:rsid w:val="005A381B"/>
    <w:rsid w:val="00603B91"/>
    <w:rsid w:val="00694267"/>
    <w:rsid w:val="006B14EB"/>
    <w:rsid w:val="006F2A50"/>
    <w:rsid w:val="00A236B5"/>
    <w:rsid w:val="00A33B95"/>
    <w:rsid w:val="00CB4008"/>
    <w:rsid w:val="00CF5E48"/>
    <w:rsid w:val="00E10D75"/>
    <w:rsid w:val="00EE28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EB5C9"/>
  <w15:chartTrackingRefBased/>
  <w15:docId w15:val="{2369354F-C399-42D0-AA1B-A7ACD92AE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849"/>
    <w:pPr>
      <w:spacing w:line="259" w:lineRule="auto"/>
    </w:pPr>
    <w:rPr>
      <w:rFonts w:cs="Vrinda"/>
      <w:kern w:val="0"/>
      <w:sz w:val="22"/>
      <w:szCs w:val="28"/>
    </w:rPr>
  </w:style>
  <w:style w:type="paragraph" w:styleId="Heading1">
    <w:name w:val="heading 1"/>
    <w:basedOn w:val="Normal"/>
    <w:next w:val="Normal"/>
    <w:link w:val="Heading1Char"/>
    <w:uiPriority w:val="9"/>
    <w:qFormat/>
    <w:rsid w:val="00EE2849"/>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50"/>
    </w:rPr>
  </w:style>
  <w:style w:type="paragraph" w:styleId="Heading2">
    <w:name w:val="heading 2"/>
    <w:basedOn w:val="Normal"/>
    <w:next w:val="Normal"/>
    <w:link w:val="Heading2Char"/>
    <w:uiPriority w:val="9"/>
    <w:semiHidden/>
    <w:unhideWhenUsed/>
    <w:qFormat/>
    <w:rsid w:val="00EE2849"/>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40"/>
    </w:rPr>
  </w:style>
  <w:style w:type="paragraph" w:styleId="Heading3">
    <w:name w:val="heading 3"/>
    <w:basedOn w:val="Normal"/>
    <w:next w:val="Normal"/>
    <w:link w:val="Heading3Char"/>
    <w:uiPriority w:val="9"/>
    <w:semiHidden/>
    <w:unhideWhenUsed/>
    <w:qFormat/>
    <w:rsid w:val="00EE2849"/>
    <w:pPr>
      <w:keepNext/>
      <w:keepLines/>
      <w:spacing w:before="160" w:after="80" w:line="278" w:lineRule="auto"/>
      <w:outlineLvl w:val="2"/>
    </w:pPr>
    <w:rPr>
      <w:rFonts w:eastAsiaTheme="majorEastAsia" w:cstheme="majorBidi"/>
      <w:color w:val="2F5496" w:themeColor="accent1" w:themeShade="BF"/>
      <w:kern w:val="2"/>
      <w:sz w:val="28"/>
      <w:szCs w:val="35"/>
    </w:rPr>
  </w:style>
  <w:style w:type="paragraph" w:styleId="Heading4">
    <w:name w:val="heading 4"/>
    <w:basedOn w:val="Normal"/>
    <w:next w:val="Normal"/>
    <w:link w:val="Heading4Char"/>
    <w:uiPriority w:val="9"/>
    <w:semiHidden/>
    <w:unhideWhenUsed/>
    <w:qFormat/>
    <w:rsid w:val="00EE2849"/>
    <w:pPr>
      <w:keepNext/>
      <w:keepLines/>
      <w:spacing w:before="80" w:after="40" w:line="278" w:lineRule="auto"/>
      <w:outlineLvl w:val="3"/>
    </w:pPr>
    <w:rPr>
      <w:rFonts w:eastAsiaTheme="majorEastAsia" w:cstheme="majorBidi"/>
      <w:i/>
      <w:iCs/>
      <w:color w:val="2F5496" w:themeColor="accent1" w:themeShade="BF"/>
      <w:kern w:val="2"/>
      <w:sz w:val="24"/>
      <w:szCs w:val="30"/>
    </w:rPr>
  </w:style>
  <w:style w:type="paragraph" w:styleId="Heading5">
    <w:name w:val="heading 5"/>
    <w:basedOn w:val="Normal"/>
    <w:next w:val="Normal"/>
    <w:link w:val="Heading5Char"/>
    <w:uiPriority w:val="9"/>
    <w:semiHidden/>
    <w:unhideWhenUsed/>
    <w:qFormat/>
    <w:rsid w:val="00EE2849"/>
    <w:pPr>
      <w:keepNext/>
      <w:keepLines/>
      <w:spacing w:before="80" w:after="40" w:line="278" w:lineRule="auto"/>
      <w:outlineLvl w:val="4"/>
    </w:pPr>
    <w:rPr>
      <w:rFonts w:eastAsiaTheme="majorEastAsia" w:cstheme="majorBidi"/>
      <w:color w:val="2F5496" w:themeColor="accent1" w:themeShade="BF"/>
      <w:kern w:val="2"/>
      <w:sz w:val="24"/>
      <w:szCs w:val="30"/>
    </w:rPr>
  </w:style>
  <w:style w:type="paragraph" w:styleId="Heading6">
    <w:name w:val="heading 6"/>
    <w:basedOn w:val="Normal"/>
    <w:next w:val="Normal"/>
    <w:link w:val="Heading6Char"/>
    <w:uiPriority w:val="9"/>
    <w:semiHidden/>
    <w:unhideWhenUsed/>
    <w:qFormat/>
    <w:rsid w:val="00EE2849"/>
    <w:pPr>
      <w:keepNext/>
      <w:keepLines/>
      <w:spacing w:before="40" w:after="0" w:line="278" w:lineRule="auto"/>
      <w:outlineLvl w:val="5"/>
    </w:pPr>
    <w:rPr>
      <w:rFonts w:eastAsiaTheme="majorEastAsia" w:cstheme="majorBidi"/>
      <w:i/>
      <w:iCs/>
      <w:color w:val="595959" w:themeColor="text1" w:themeTint="A6"/>
      <w:kern w:val="2"/>
      <w:sz w:val="24"/>
      <w:szCs w:val="30"/>
    </w:rPr>
  </w:style>
  <w:style w:type="paragraph" w:styleId="Heading7">
    <w:name w:val="heading 7"/>
    <w:basedOn w:val="Normal"/>
    <w:next w:val="Normal"/>
    <w:link w:val="Heading7Char"/>
    <w:uiPriority w:val="9"/>
    <w:semiHidden/>
    <w:unhideWhenUsed/>
    <w:qFormat/>
    <w:rsid w:val="00EE2849"/>
    <w:pPr>
      <w:keepNext/>
      <w:keepLines/>
      <w:spacing w:before="40" w:after="0" w:line="278" w:lineRule="auto"/>
      <w:outlineLvl w:val="6"/>
    </w:pPr>
    <w:rPr>
      <w:rFonts w:eastAsiaTheme="majorEastAsia" w:cstheme="majorBidi"/>
      <w:color w:val="595959" w:themeColor="text1" w:themeTint="A6"/>
      <w:kern w:val="2"/>
      <w:sz w:val="24"/>
      <w:szCs w:val="30"/>
    </w:rPr>
  </w:style>
  <w:style w:type="paragraph" w:styleId="Heading8">
    <w:name w:val="heading 8"/>
    <w:basedOn w:val="Normal"/>
    <w:next w:val="Normal"/>
    <w:link w:val="Heading8Char"/>
    <w:uiPriority w:val="9"/>
    <w:semiHidden/>
    <w:unhideWhenUsed/>
    <w:qFormat/>
    <w:rsid w:val="00EE2849"/>
    <w:pPr>
      <w:keepNext/>
      <w:keepLines/>
      <w:spacing w:after="0" w:line="278" w:lineRule="auto"/>
      <w:outlineLvl w:val="7"/>
    </w:pPr>
    <w:rPr>
      <w:rFonts w:eastAsiaTheme="majorEastAsia" w:cstheme="majorBidi"/>
      <w:i/>
      <w:iCs/>
      <w:color w:val="272727" w:themeColor="text1" w:themeTint="D8"/>
      <w:kern w:val="2"/>
      <w:sz w:val="24"/>
      <w:szCs w:val="30"/>
    </w:rPr>
  </w:style>
  <w:style w:type="paragraph" w:styleId="Heading9">
    <w:name w:val="heading 9"/>
    <w:basedOn w:val="Normal"/>
    <w:next w:val="Normal"/>
    <w:link w:val="Heading9Char"/>
    <w:uiPriority w:val="9"/>
    <w:semiHidden/>
    <w:unhideWhenUsed/>
    <w:qFormat/>
    <w:rsid w:val="00EE2849"/>
    <w:pPr>
      <w:keepNext/>
      <w:keepLines/>
      <w:spacing w:after="0" w:line="278" w:lineRule="auto"/>
      <w:outlineLvl w:val="8"/>
    </w:pPr>
    <w:rPr>
      <w:rFonts w:eastAsiaTheme="majorEastAsia" w:cstheme="majorBidi"/>
      <w:color w:val="272727" w:themeColor="text1" w:themeTint="D8"/>
      <w:kern w:val="2"/>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849"/>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semiHidden/>
    <w:rsid w:val="00EE2849"/>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EE2849"/>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EE28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28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2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849"/>
    <w:rPr>
      <w:rFonts w:eastAsiaTheme="majorEastAsia" w:cstheme="majorBidi"/>
      <w:color w:val="272727" w:themeColor="text1" w:themeTint="D8"/>
    </w:rPr>
  </w:style>
  <w:style w:type="paragraph" w:styleId="Title">
    <w:name w:val="Title"/>
    <w:basedOn w:val="Normal"/>
    <w:next w:val="Normal"/>
    <w:link w:val="TitleChar"/>
    <w:uiPriority w:val="10"/>
    <w:qFormat/>
    <w:rsid w:val="00EE284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E284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E2849"/>
    <w:pPr>
      <w:numPr>
        <w:ilvl w:val="1"/>
      </w:numPr>
      <w:spacing w:line="278" w:lineRule="auto"/>
    </w:pPr>
    <w:rPr>
      <w:rFonts w:eastAsiaTheme="majorEastAsia" w:cstheme="majorBidi"/>
      <w:color w:val="595959" w:themeColor="text1" w:themeTint="A6"/>
      <w:spacing w:val="15"/>
      <w:kern w:val="2"/>
      <w:sz w:val="28"/>
      <w:szCs w:val="35"/>
    </w:rPr>
  </w:style>
  <w:style w:type="character" w:customStyle="1" w:styleId="SubtitleChar">
    <w:name w:val="Subtitle Char"/>
    <w:basedOn w:val="DefaultParagraphFont"/>
    <w:link w:val="Subtitle"/>
    <w:uiPriority w:val="11"/>
    <w:rsid w:val="00EE284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E2849"/>
    <w:pPr>
      <w:spacing w:before="160" w:line="278" w:lineRule="auto"/>
      <w:jc w:val="center"/>
    </w:pPr>
    <w:rPr>
      <w:rFonts w:cstheme="minorBidi"/>
      <w:i/>
      <w:iCs/>
      <w:color w:val="404040" w:themeColor="text1" w:themeTint="BF"/>
      <w:kern w:val="2"/>
      <w:sz w:val="24"/>
      <w:szCs w:val="30"/>
    </w:rPr>
  </w:style>
  <w:style w:type="character" w:customStyle="1" w:styleId="QuoteChar">
    <w:name w:val="Quote Char"/>
    <w:basedOn w:val="DefaultParagraphFont"/>
    <w:link w:val="Quote"/>
    <w:uiPriority w:val="29"/>
    <w:rsid w:val="00EE2849"/>
    <w:rPr>
      <w:i/>
      <w:iCs/>
      <w:color w:val="404040" w:themeColor="text1" w:themeTint="BF"/>
    </w:rPr>
  </w:style>
  <w:style w:type="paragraph" w:styleId="ListParagraph">
    <w:name w:val="List Paragraph"/>
    <w:basedOn w:val="Normal"/>
    <w:uiPriority w:val="34"/>
    <w:qFormat/>
    <w:rsid w:val="00EE2849"/>
    <w:pPr>
      <w:spacing w:line="278" w:lineRule="auto"/>
      <w:ind w:left="720"/>
      <w:contextualSpacing/>
    </w:pPr>
    <w:rPr>
      <w:rFonts w:cstheme="minorBidi"/>
      <w:kern w:val="2"/>
      <w:sz w:val="24"/>
      <w:szCs w:val="30"/>
    </w:rPr>
  </w:style>
  <w:style w:type="character" w:styleId="IntenseEmphasis">
    <w:name w:val="Intense Emphasis"/>
    <w:basedOn w:val="DefaultParagraphFont"/>
    <w:uiPriority w:val="21"/>
    <w:qFormat/>
    <w:rsid w:val="00EE2849"/>
    <w:rPr>
      <w:i/>
      <w:iCs/>
      <w:color w:val="2F5496" w:themeColor="accent1" w:themeShade="BF"/>
    </w:rPr>
  </w:style>
  <w:style w:type="paragraph" w:styleId="IntenseQuote">
    <w:name w:val="Intense Quote"/>
    <w:basedOn w:val="Normal"/>
    <w:next w:val="Normal"/>
    <w:link w:val="IntenseQuoteChar"/>
    <w:uiPriority w:val="30"/>
    <w:qFormat/>
    <w:rsid w:val="00EE2849"/>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cstheme="minorBidi"/>
      <w:i/>
      <w:iCs/>
      <w:color w:val="2F5496" w:themeColor="accent1" w:themeShade="BF"/>
      <w:kern w:val="2"/>
      <w:sz w:val="24"/>
      <w:szCs w:val="30"/>
    </w:rPr>
  </w:style>
  <w:style w:type="character" w:customStyle="1" w:styleId="IntenseQuoteChar">
    <w:name w:val="Intense Quote Char"/>
    <w:basedOn w:val="DefaultParagraphFont"/>
    <w:link w:val="IntenseQuote"/>
    <w:uiPriority w:val="30"/>
    <w:rsid w:val="00EE2849"/>
    <w:rPr>
      <w:i/>
      <w:iCs/>
      <w:color w:val="2F5496" w:themeColor="accent1" w:themeShade="BF"/>
    </w:rPr>
  </w:style>
  <w:style w:type="character" w:styleId="IntenseReference">
    <w:name w:val="Intense Reference"/>
    <w:basedOn w:val="DefaultParagraphFont"/>
    <w:uiPriority w:val="32"/>
    <w:qFormat/>
    <w:rsid w:val="00EE2849"/>
    <w:rPr>
      <w:b/>
      <w:bCs/>
      <w:smallCaps/>
      <w:color w:val="2F5496" w:themeColor="accent1" w:themeShade="BF"/>
      <w:spacing w:val="5"/>
    </w:rPr>
  </w:style>
  <w:style w:type="character" w:styleId="Hyperlink">
    <w:name w:val="Hyperlink"/>
    <w:basedOn w:val="DefaultParagraphFont"/>
    <w:uiPriority w:val="99"/>
    <w:unhideWhenUsed/>
    <w:rsid w:val="00EE2849"/>
    <w:rPr>
      <w:color w:val="0563C1" w:themeColor="hyperlink"/>
      <w:u w:val="single"/>
    </w:rPr>
  </w:style>
  <w:style w:type="paragraph" w:styleId="Header">
    <w:name w:val="header"/>
    <w:basedOn w:val="Normal"/>
    <w:link w:val="HeaderChar"/>
    <w:uiPriority w:val="99"/>
    <w:unhideWhenUsed/>
    <w:rsid w:val="00EE28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2849"/>
    <w:rPr>
      <w:rFonts w:cs="Vrinda"/>
      <w:kern w:val="0"/>
      <w:sz w:val="22"/>
      <w:szCs w:val="28"/>
    </w:rPr>
  </w:style>
  <w:style w:type="paragraph" w:styleId="Footer">
    <w:name w:val="footer"/>
    <w:basedOn w:val="Normal"/>
    <w:link w:val="FooterChar"/>
    <w:uiPriority w:val="99"/>
    <w:unhideWhenUsed/>
    <w:rsid w:val="00EE28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2849"/>
    <w:rPr>
      <w:rFonts w:cs="Vrinda"/>
      <w:kern w:val="0"/>
      <w:sz w:val="22"/>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c.europa.eu/commission/presscorner/detail/en/ip_21_6605" TargetMode="External"/><Relationship Id="rId18" Type="http://schemas.openxmlformats.org/officeDocument/2006/relationships/hyperlink" Target="https://www.lumina-intelligence.com/blog/foodservice/uk-food-delivery-market-growth-share-size-statistics-2025/?utm_source=chatgpt.com" TargetMode="External"/><Relationship Id="rId3" Type="http://schemas.openxmlformats.org/officeDocument/2006/relationships/webSettings" Target="webSettings.xml"/><Relationship Id="rId21" Type="http://schemas.openxmlformats.org/officeDocument/2006/relationships/hyperlink" Target="https://www.statista.com/topics/11325/online-food-delivery-in-the-uk/?utm_source=chatgpt.com" TargetMode="External"/><Relationship Id="rId7" Type="http://schemas.openxmlformats.org/officeDocument/2006/relationships/image" Target="media/image2.png"/><Relationship Id="rId12" Type="http://schemas.openxmlformats.org/officeDocument/2006/relationships/hyperlink" Target="https://corporate.deliveroo.co.uk/our-impact/" TargetMode="External"/><Relationship Id="rId17" Type="http://schemas.openxmlformats.org/officeDocument/2006/relationships/hyperlink" Target="https://www.justeattakeaway.com/about-us/strategy/" TargetMode="External"/><Relationship Id="rId2" Type="http://schemas.openxmlformats.org/officeDocument/2006/relationships/settings" Target="settings.xml"/><Relationship Id="rId16" Type="http://schemas.openxmlformats.org/officeDocument/2006/relationships/hyperlink" Target="https://www.justeattakeaway.com/investors/results-centre/" TargetMode="External"/><Relationship Id="rId20" Type="http://schemas.openxmlformats.org/officeDocument/2006/relationships/hyperlink" Target="https://www.statista.com/outlook/online-food-delivery-uk"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corporate.deliveroo.co.uk/investors/results-report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grandviewresearch.com/horizon/outlook/online-food-delivery-market/uk?utm_source=chatgpt.com" TargetMode="External"/><Relationship Id="rId23" Type="http://schemas.openxmlformats.org/officeDocument/2006/relationships/fontTable" Target="fontTable.xml"/><Relationship Id="rId10" Type="http://schemas.openxmlformats.org/officeDocument/2006/relationships/hyperlink" Target="https://www.gov.uk/cma-cases/online-platforms-and-digital-advertising-market-study" TargetMode="External"/><Relationship Id="rId19" Type="http://schemas.openxmlformats.org/officeDocument/2006/relationships/hyperlink" Target="https://www.mckinsey.com/industries/retail/our-insights/food-deliver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ft.com/content/deliveroo-share-price-202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15</Pages>
  <Words>3671</Words>
  <Characters>20926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Tarikul Islam Tarek</dc:creator>
  <cp:keywords/>
  <dc:description/>
  <cp:lastModifiedBy>Tarikul Islam Tarek</cp:lastModifiedBy>
  <cp:revision>5</cp:revision>
  <dcterms:created xsi:type="dcterms:W3CDTF">2025-10-24T09:50:00Z</dcterms:created>
  <dcterms:modified xsi:type="dcterms:W3CDTF">2025-10-24T10:45:00Z</dcterms:modified>
</cp:coreProperties>
</file>