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88F8A" w14:textId="1DFFBF97" w:rsidR="007D755A" w:rsidRPr="00CE3AFF" w:rsidRDefault="007D755A" w:rsidP="007D755A">
      <w:pPr>
        <w:shd w:val="clear" w:color="auto" w:fill="FFFFFF"/>
        <w:spacing w:after="0" w:line="240" w:lineRule="auto"/>
        <w:jc w:val="both"/>
        <w:rPr>
          <w:rFonts w:ascii="Times New Roman" w:hAnsi="Times New Roman"/>
          <w:color w:val="222222"/>
          <w:sz w:val="24"/>
          <w:szCs w:val="24"/>
          <w:lang w:eastAsia="en-GB"/>
        </w:rPr>
      </w:pPr>
      <w:r w:rsidRPr="00CE3AFF">
        <w:rPr>
          <w:rFonts w:ascii="Times New Roman" w:hAnsi="Times New Roman"/>
          <w:color w:val="222222"/>
          <w:sz w:val="24"/>
          <w:szCs w:val="24"/>
          <w:lang w:eastAsia="en-GB"/>
        </w:rPr>
        <w:t xml:space="preserve">1. How </w:t>
      </w:r>
      <w:bookmarkStart w:id="0" w:name="_Hlk508554733"/>
      <w:r w:rsidRPr="00CE3AFF">
        <w:rPr>
          <w:rFonts w:ascii="Times New Roman" w:hAnsi="Times New Roman"/>
          <w:color w:val="222222"/>
          <w:sz w:val="24"/>
          <w:szCs w:val="24"/>
          <w:lang w:eastAsia="en-GB"/>
        </w:rPr>
        <w:t>complete was the Norman conquest and colonisation of England by 1100</w:t>
      </w:r>
      <w:bookmarkEnd w:id="0"/>
      <w:r w:rsidRPr="00CE3AFF">
        <w:rPr>
          <w:rFonts w:ascii="Times New Roman" w:hAnsi="Times New Roman"/>
          <w:color w:val="222222"/>
          <w:sz w:val="24"/>
          <w:szCs w:val="24"/>
          <w:lang w:eastAsia="en-GB"/>
        </w:rPr>
        <w:t>?</w:t>
      </w:r>
    </w:p>
    <w:p w14:paraId="0D578D2F" w14:textId="77777777" w:rsidR="007D755A" w:rsidRPr="00CE3AFF" w:rsidRDefault="007D755A" w:rsidP="007D755A">
      <w:pPr>
        <w:shd w:val="clear" w:color="auto" w:fill="FFFFFF"/>
        <w:spacing w:after="0" w:line="240" w:lineRule="auto"/>
        <w:jc w:val="both"/>
        <w:rPr>
          <w:rFonts w:ascii="Times New Roman" w:hAnsi="Times New Roman"/>
          <w:color w:val="222222"/>
          <w:sz w:val="24"/>
          <w:szCs w:val="24"/>
          <w:lang w:eastAsia="en-GB"/>
        </w:rPr>
      </w:pPr>
    </w:p>
    <w:p w14:paraId="24495D1D" w14:textId="77777777" w:rsidR="0088440A" w:rsidRPr="00CE3AFF" w:rsidRDefault="00B05A90">
      <w:pPr>
        <w:rPr>
          <w:rFonts w:ascii="Times New Roman" w:hAnsi="Times New Roman"/>
          <w:sz w:val="24"/>
          <w:szCs w:val="24"/>
        </w:rPr>
      </w:pPr>
      <w:r w:rsidRPr="00CE3AFF">
        <w:rPr>
          <w:rFonts w:ascii="Times New Roman" w:hAnsi="Times New Roman"/>
          <w:sz w:val="24"/>
          <w:szCs w:val="24"/>
        </w:rPr>
        <w:t>In this essay, the topic of discussion will be concentrated on the history of the Normans and their occupation in England from when they invaded England in 1066 until 1100.</w:t>
      </w:r>
      <w:r w:rsidR="00883900" w:rsidRPr="00CE3AFF">
        <w:rPr>
          <w:rFonts w:ascii="Times New Roman" w:hAnsi="Times New Roman"/>
          <w:sz w:val="24"/>
          <w:szCs w:val="24"/>
        </w:rPr>
        <w:t xml:space="preserve"> </w:t>
      </w:r>
      <w:r w:rsidR="00AB3CF1" w:rsidRPr="00CE3AFF">
        <w:rPr>
          <w:rFonts w:ascii="Times New Roman" w:hAnsi="Times New Roman"/>
          <w:sz w:val="24"/>
          <w:szCs w:val="24"/>
        </w:rPr>
        <w:t>I will be discussing the timeline of the Norman conquest of England and the colonisation that followed</w:t>
      </w:r>
      <w:r w:rsidR="00FB5351" w:rsidRPr="00CE3AFF">
        <w:rPr>
          <w:rFonts w:ascii="Times New Roman" w:hAnsi="Times New Roman"/>
          <w:sz w:val="24"/>
          <w:szCs w:val="24"/>
        </w:rPr>
        <w:t xml:space="preserve"> just the Normans conquering England following the battle of Hastings in 1066</w:t>
      </w:r>
      <w:r w:rsidR="004728EE" w:rsidRPr="00CE3AFF">
        <w:rPr>
          <w:rFonts w:ascii="Times New Roman" w:hAnsi="Times New Roman"/>
          <w:sz w:val="24"/>
          <w:szCs w:val="24"/>
        </w:rPr>
        <w:t>.</w:t>
      </w:r>
      <w:r w:rsidR="0088440A" w:rsidRPr="00CE3AFF">
        <w:rPr>
          <w:rFonts w:ascii="Times New Roman" w:hAnsi="Times New Roman"/>
          <w:sz w:val="24"/>
          <w:szCs w:val="24"/>
        </w:rPr>
        <w:t xml:space="preserve"> </w:t>
      </w:r>
    </w:p>
    <w:p w14:paraId="75DB2D9D" w14:textId="5523CEEF" w:rsidR="0088440A" w:rsidRPr="00CE3AFF" w:rsidRDefault="0088440A" w:rsidP="0088440A">
      <w:pPr>
        <w:pStyle w:val="NormalWeb"/>
        <w:ind w:firstLine="720"/>
      </w:pPr>
      <w:r w:rsidRPr="00CE3AFF">
        <w:t>There have been writings that have been written by various people about the events of the Battle of Hastings. This can be seen in the Anglo-Saxon Chronicle. In the Anglo-Saxon Chronicle, the English perspective of the battle of Hastings in represented in its work. The Peterborough MS, which is originally based on a chronicle that is said to have probably come from Canterbury, which was then rewritten in 1121, is a piece of writing that is said to be ‘all too brief’</w:t>
      </w:r>
      <w:r w:rsidRPr="00CE3AFF">
        <w:rPr>
          <w:rStyle w:val="FootnoteReference"/>
        </w:rPr>
        <w:footnoteReference w:id="1"/>
      </w:r>
      <w:r w:rsidRPr="00CE3AFF">
        <w:t>. Although it must be said that up until the 12</w:t>
      </w:r>
      <w:r w:rsidRPr="00CE3AFF">
        <w:rPr>
          <w:vertAlign w:val="superscript"/>
        </w:rPr>
        <w:t>th</w:t>
      </w:r>
      <w:r w:rsidRPr="00CE3AFF">
        <w:t xml:space="preserve"> century, the chronicle consisted of writings that were comprised from anonymous people, therefore this could hinder the historical accuracy of the events written and the factual content cannot be taken at face value. </w:t>
      </w:r>
    </w:p>
    <w:p w14:paraId="7471E1E2" w14:textId="77777777" w:rsidR="0088440A" w:rsidRPr="00CE3AFF" w:rsidRDefault="0088440A" w:rsidP="0088440A">
      <w:pPr>
        <w:pStyle w:val="NormalWeb"/>
      </w:pPr>
      <w:r w:rsidRPr="00CE3AFF">
        <w:t xml:space="preserve">"And meanwhile Earl William [came] up at Hastings on the Feast of St Michael [September 28] and Harold came from the </w:t>
      </w:r>
      <w:proofErr w:type="gramStart"/>
      <w:r w:rsidRPr="00CE3AFF">
        <w:t>north, and</w:t>
      </w:r>
      <w:proofErr w:type="gramEnd"/>
      <w:r w:rsidRPr="00CE3AFF">
        <w:t xml:space="preserve"> fought with him before all his raiding-army had come; and there he fell, and his two brothers, </w:t>
      </w:r>
      <w:proofErr w:type="spellStart"/>
      <w:r w:rsidRPr="00CE3AFF">
        <w:t>Gyrth</w:t>
      </w:r>
      <w:proofErr w:type="spellEnd"/>
      <w:r w:rsidRPr="00CE3AFF">
        <w:t xml:space="preserve"> and </w:t>
      </w:r>
      <w:proofErr w:type="spellStart"/>
      <w:r w:rsidRPr="00CE3AFF">
        <w:t>Leofwine</w:t>
      </w:r>
      <w:proofErr w:type="spellEnd"/>
      <w:r w:rsidRPr="00CE3AFF">
        <w:t xml:space="preserve">. And William conquered this land, and came to Westminster, and Archbishop </w:t>
      </w:r>
      <w:proofErr w:type="spellStart"/>
      <w:r w:rsidRPr="00CE3AFF">
        <w:t>Aldred</w:t>
      </w:r>
      <w:proofErr w:type="spellEnd"/>
      <w:r w:rsidRPr="00CE3AFF">
        <w:t xml:space="preserve"> consecrated him as king. And men paid him tribute, and gave hostages, and afterwards bought their lands."</w:t>
      </w:r>
      <w:r w:rsidRPr="00CE3AFF">
        <w:rPr>
          <w:rStyle w:val="FootnoteReference"/>
        </w:rPr>
        <w:footnoteReference w:id="2"/>
      </w:r>
    </w:p>
    <w:p w14:paraId="4FF39310" w14:textId="77777777" w:rsidR="0088440A" w:rsidRPr="00CE3AFF" w:rsidRDefault="0088440A" w:rsidP="0088440A">
      <w:pPr>
        <w:pStyle w:val="NormalWeb"/>
      </w:pPr>
      <w:r w:rsidRPr="00CE3AFF">
        <w:t xml:space="preserve">Another version of this event is written again in a rewritten version of the </w:t>
      </w:r>
      <w:r w:rsidRPr="00CE3AFF">
        <w:rPr>
          <w:iCs/>
        </w:rPr>
        <w:t>Chronicle</w:t>
      </w:r>
      <w:r w:rsidRPr="00CE3AFF">
        <w:t xml:space="preserve"> and it is the only contemporary English account of the battle and probably was written very soon after it was fought, as the </w:t>
      </w:r>
      <w:proofErr w:type="spellStart"/>
      <w:r w:rsidRPr="00CE3AFF">
        <w:t>annal</w:t>
      </w:r>
      <w:proofErr w:type="spellEnd"/>
      <w:r w:rsidRPr="00CE3AFF">
        <w:t xml:space="preserve">, </w:t>
      </w:r>
      <w:r w:rsidRPr="00CE3AFF">
        <w:rPr>
          <w:shd w:val="clear" w:color="auto" w:fill="FFFFFF"/>
        </w:rPr>
        <w:t>the record of the events of one year,</w:t>
      </w:r>
      <w:r w:rsidRPr="00CE3AFF">
        <w:t xml:space="preserve"> for that particular year ends with a prayer, "When God wills, may the end be good."</w:t>
      </w:r>
      <w:r w:rsidRPr="00CE3AFF">
        <w:rPr>
          <w:rStyle w:val="FootnoteReference"/>
        </w:rPr>
        <w:footnoteReference w:id="3"/>
      </w:r>
    </w:p>
    <w:p w14:paraId="4E5D9F4F" w14:textId="77777777" w:rsidR="0088440A" w:rsidRPr="00CE3AFF" w:rsidRDefault="0088440A" w:rsidP="0088440A">
      <w:pPr>
        <w:pStyle w:val="NormalWeb"/>
      </w:pPr>
      <w:r w:rsidRPr="00CE3AFF">
        <w:t>"Then King William came from Normandy into Pevensey, on the eve of the Feast of St. Michael, and as soon as they were fit, made a castle at Hastings market-town. Then this became known to King Harold and he gathered a great raiding-</w:t>
      </w:r>
      <w:proofErr w:type="gramStart"/>
      <w:r w:rsidRPr="00CE3AFF">
        <w:t>army, and</w:t>
      </w:r>
      <w:proofErr w:type="gramEnd"/>
      <w:r w:rsidRPr="00CE3AFF">
        <w:t xml:space="preserve"> came against him at the grey apple-tree. And William came upon him by surprise before his people were marshalled. </w:t>
      </w:r>
      <w:proofErr w:type="gramStart"/>
      <w:r w:rsidRPr="00CE3AFF">
        <w:t>Nevertheless</w:t>
      </w:r>
      <w:proofErr w:type="gramEnd"/>
      <w:r w:rsidRPr="00CE3AFF">
        <w:t xml:space="preserve"> the king fought very hard against him with those men who wanted to support him, and there was a great slaughter on either side. There were killed King Harold, and Earl </w:t>
      </w:r>
      <w:proofErr w:type="spellStart"/>
      <w:r w:rsidRPr="00CE3AFF">
        <w:t>Leofwine</w:t>
      </w:r>
      <w:proofErr w:type="spellEnd"/>
      <w:r w:rsidRPr="00CE3AFF">
        <w:t xml:space="preserve"> his brother, and Earl </w:t>
      </w:r>
      <w:proofErr w:type="spellStart"/>
      <w:r w:rsidRPr="00CE3AFF">
        <w:t>Gyrth</w:t>
      </w:r>
      <w:proofErr w:type="spellEnd"/>
      <w:r w:rsidRPr="00CE3AFF">
        <w:t xml:space="preserve"> his brother, and many good men. And the French had possession of the place of slaughter, just as God granted them because of the people's sins."</w:t>
      </w:r>
      <w:r w:rsidRPr="00CE3AFF">
        <w:rPr>
          <w:rStyle w:val="FootnoteReference"/>
        </w:rPr>
        <w:footnoteReference w:id="4"/>
      </w:r>
    </w:p>
    <w:p w14:paraId="11C66DD4" w14:textId="25864674" w:rsidR="003E6B1B" w:rsidRPr="00CE3AFF" w:rsidRDefault="0088440A" w:rsidP="0088440A">
      <w:pPr>
        <w:pStyle w:val="NormalWeb"/>
      </w:pPr>
      <w:r w:rsidRPr="00CE3AFF">
        <w:t>The author of this source gives us the impression that they believe that there was no justification for the Conquest, and due to this, it led to many deaths that could be seen to be unnecessary. What is interesting is that neither version of the </w:t>
      </w:r>
      <w:r w:rsidRPr="00CE3AFF">
        <w:rPr>
          <w:iCs/>
        </w:rPr>
        <w:t>Chronicle</w:t>
      </w:r>
      <w:r w:rsidRPr="00CE3AFF">
        <w:t> mentions Harold's earlier visit to Normandy, nor of his promising William the succession to the English throne upon the death of Edward the Confessor.</w:t>
      </w:r>
    </w:p>
    <w:p w14:paraId="56FB2048" w14:textId="77777777" w:rsidR="0066095A" w:rsidRPr="00CE3AFF" w:rsidRDefault="006024C6" w:rsidP="006024C6">
      <w:pPr>
        <w:pStyle w:val="NormalWeb"/>
      </w:pPr>
      <w:r w:rsidRPr="00CE3AFF">
        <w:lastRenderedPageBreak/>
        <w:tab/>
        <w:t>The completeness of the Norman conquest that followed from the battle of Hastings can be seen in this source from the California State University, and this tells us in detail how the colonisation of England took place, via the introduction of the French language. In this chapter from this document from the California State University, describes how the Norman conquest affected different languages, and how this brought change to an already changing England. This document also includes a translated copy of “Robert of Gloucester’s Chronicle (1300)”</w:t>
      </w:r>
      <w:r w:rsidRPr="00CE3AFF">
        <w:rPr>
          <w:rStyle w:val="FootnoteReference"/>
        </w:rPr>
        <w:footnoteReference w:id="5"/>
      </w:r>
      <w:r w:rsidRPr="00CE3AFF">
        <w:t>. In this document it details how French</w:t>
      </w:r>
      <w:r w:rsidR="006103E1" w:rsidRPr="00CE3AFF">
        <w:t xml:space="preserve"> had been introduced and</w:t>
      </w:r>
      <w:r w:rsidRPr="00CE3AFF">
        <w:t xml:space="preserve"> was now </w:t>
      </w:r>
      <w:r w:rsidR="006103E1" w:rsidRPr="00CE3AFF">
        <w:t xml:space="preserve">seen as </w:t>
      </w:r>
      <w:r w:rsidRPr="00CE3AFF">
        <w:t xml:space="preserve">language that was spoken in an already bilingual society, </w:t>
      </w:r>
      <w:proofErr w:type="gramStart"/>
      <w:r w:rsidRPr="00CE3AFF">
        <w:t>due to the fact that</w:t>
      </w:r>
      <w:proofErr w:type="gramEnd"/>
      <w:r w:rsidRPr="00CE3AFF">
        <w:t xml:space="preserve"> English and Latin were already widely spoken, this is without the languages that were spoken in Ireland, Wales and Scotland, as it was mainly England that the Normans had conquered. </w:t>
      </w:r>
    </w:p>
    <w:p w14:paraId="0925E406" w14:textId="77777777" w:rsidR="0066095A" w:rsidRPr="00CE3AFF" w:rsidRDefault="006024C6" w:rsidP="0066095A">
      <w:pPr>
        <w:pStyle w:val="NormalWeb"/>
        <w:ind w:firstLine="720"/>
      </w:pPr>
      <w:r w:rsidRPr="00CE3AFF">
        <w:t>“</w:t>
      </w:r>
      <w:proofErr w:type="gramStart"/>
      <w:r w:rsidRPr="00CE3AFF">
        <w:t>Thus</w:t>
      </w:r>
      <w:proofErr w:type="gramEnd"/>
      <w:r w:rsidRPr="00CE3AFF">
        <w:t xml:space="preserve"> lo the English folk. for nought to ground came (were beaten) for a false king that not-had no right. to the kingdom. &amp; came to a new lord. that more in right was but their neither (neither of them) as one may see. in pure right was. &amp; </w:t>
      </w:r>
      <w:proofErr w:type="gramStart"/>
      <w:r w:rsidRPr="00CE3AFF">
        <w:t>thus</w:t>
      </w:r>
      <w:proofErr w:type="gramEnd"/>
      <w:r w:rsidRPr="00CE3AFF">
        <w:t xml:space="preserve"> was in </w:t>
      </w:r>
      <w:proofErr w:type="spellStart"/>
      <w:r w:rsidRPr="00CE3AFF">
        <w:t>norman’s</w:t>
      </w:r>
      <w:proofErr w:type="spellEnd"/>
      <w:r w:rsidRPr="00CE3AFF">
        <w:t xml:space="preserve"> hand that land brought indeed. </w:t>
      </w:r>
      <w:proofErr w:type="gramStart"/>
      <w:r w:rsidRPr="00CE3AFF">
        <w:t>thus</w:t>
      </w:r>
      <w:proofErr w:type="gramEnd"/>
      <w:r w:rsidRPr="00CE3AFF">
        <w:t xml:space="preserve"> came lo England into Normandy’s hand.”</w:t>
      </w:r>
      <w:r w:rsidRPr="00CE3AFF">
        <w:rPr>
          <w:rStyle w:val="FootnoteReference"/>
        </w:rPr>
        <w:footnoteReference w:id="6"/>
      </w:r>
      <w:r w:rsidRPr="00CE3AFF">
        <w:t xml:space="preserve"> </w:t>
      </w:r>
    </w:p>
    <w:p w14:paraId="40A6BAEA" w14:textId="37A8CF30" w:rsidR="003E6B1B" w:rsidRPr="00CE3AFF" w:rsidRDefault="006024C6" w:rsidP="003E6B1B">
      <w:pPr>
        <w:pStyle w:val="NormalWeb"/>
        <w:ind w:firstLine="720"/>
      </w:pPr>
      <w:r w:rsidRPr="00CE3AFF">
        <w:t xml:space="preserve">This source from Robert of Gloucester tells us that the English were not pleased that they had a Norman king, as it put England as the possession of Normandy. </w:t>
      </w:r>
      <w:r w:rsidR="006A33BA" w:rsidRPr="00CE3AFF">
        <w:t>The speaking of the French language continued throughout William the Conqueror’s reign and was solidified in 1154 when the throne of England was inherited by Henry of Anjou, which led to the uniting of England with the half of the lower region of France.</w:t>
      </w:r>
    </w:p>
    <w:p w14:paraId="0811141C" w14:textId="2D58C502" w:rsidR="0066095A" w:rsidRPr="00CE3AFF" w:rsidRDefault="0066095A" w:rsidP="0066095A">
      <w:pPr>
        <w:ind w:firstLine="720"/>
        <w:rPr>
          <w:rFonts w:ascii="Times New Roman" w:hAnsi="Times New Roman"/>
          <w:sz w:val="24"/>
          <w:szCs w:val="24"/>
        </w:rPr>
      </w:pPr>
      <w:r w:rsidRPr="00CE3AFF">
        <w:rPr>
          <w:rFonts w:ascii="Times New Roman" w:hAnsi="Times New Roman"/>
          <w:sz w:val="24"/>
          <w:szCs w:val="24"/>
        </w:rPr>
        <w:t xml:space="preserve">It was widely thought that the Normans were tyrannical in the way that they oppressed the Anglo-Saxon after the Norman conquest. The Anglo-Saxons were seen to be people who were free and </w:t>
      </w:r>
      <w:proofErr w:type="gramStart"/>
      <w:r w:rsidRPr="00CE3AFF">
        <w:rPr>
          <w:rFonts w:ascii="Times New Roman" w:hAnsi="Times New Roman"/>
          <w:sz w:val="24"/>
          <w:szCs w:val="24"/>
        </w:rPr>
        <w:t>equal to each other</w:t>
      </w:r>
      <w:proofErr w:type="gramEnd"/>
      <w:r w:rsidRPr="00CE3AFF">
        <w:rPr>
          <w:rFonts w:ascii="Times New Roman" w:hAnsi="Times New Roman"/>
          <w:sz w:val="24"/>
          <w:szCs w:val="24"/>
        </w:rPr>
        <w:t xml:space="preserve">, this was due to the fact that prior to the Normans invading and conquering England, the Anglo-Saxons had a democratic system of representative government, which also had a legal system that created laws and such. </w:t>
      </w:r>
    </w:p>
    <w:p w14:paraId="123D3C02" w14:textId="77777777" w:rsidR="0066095A" w:rsidRPr="00CE3AFF" w:rsidRDefault="0066095A" w:rsidP="0066095A">
      <w:pPr>
        <w:rPr>
          <w:rFonts w:ascii="Times New Roman" w:hAnsi="Times New Roman"/>
          <w:sz w:val="24"/>
          <w:szCs w:val="24"/>
        </w:rPr>
      </w:pPr>
      <w:r w:rsidRPr="00CE3AFF">
        <w:rPr>
          <w:rFonts w:ascii="Times New Roman" w:hAnsi="Times New Roman"/>
          <w:sz w:val="24"/>
          <w:szCs w:val="24"/>
        </w:rPr>
        <w:tab/>
        <w:t xml:space="preserve">After the Normans conquering England, many Normans moved to England, and this led to England becoming a colony that belonged to Normandy. This then brought changes to the Anglo-Saxon people through many forms. The Normans introduced a Church that was Rome-dependent, they also introduced a new system that was seen by the Anglo-Saxons as tyrannical, and this was the feudal system. </w:t>
      </w:r>
    </w:p>
    <w:p w14:paraId="5233D74A" w14:textId="77777777" w:rsidR="0066095A" w:rsidRPr="00CE3AFF" w:rsidRDefault="0066095A" w:rsidP="0066095A">
      <w:pPr>
        <w:rPr>
          <w:rFonts w:ascii="Times New Roman" w:hAnsi="Times New Roman"/>
          <w:sz w:val="24"/>
          <w:szCs w:val="24"/>
        </w:rPr>
      </w:pPr>
      <w:r w:rsidRPr="00CE3AFF">
        <w:rPr>
          <w:rFonts w:ascii="Times New Roman" w:hAnsi="Times New Roman"/>
          <w:sz w:val="24"/>
          <w:szCs w:val="24"/>
        </w:rPr>
        <w:t>‘</w:t>
      </w:r>
      <w:r w:rsidRPr="00CE3AFF">
        <w:rPr>
          <w:rFonts w:ascii="Times New Roman" w:eastAsiaTheme="minorEastAsia" w:hAnsi="Times New Roman"/>
          <w:sz w:val="24"/>
          <w:szCs w:val="24"/>
        </w:rPr>
        <w:t xml:space="preserve">William the Conqueror, in token as it were of a </w:t>
      </w:r>
      <w:proofErr w:type="spellStart"/>
      <w:r w:rsidRPr="00CE3AFF">
        <w:rPr>
          <w:rFonts w:ascii="Times New Roman" w:eastAsiaTheme="minorEastAsia" w:hAnsi="Times New Roman"/>
          <w:sz w:val="24"/>
          <w:szCs w:val="24"/>
        </w:rPr>
        <w:t>Trophee</w:t>
      </w:r>
      <w:proofErr w:type="spellEnd"/>
      <w:r w:rsidRPr="00CE3AFF">
        <w:rPr>
          <w:rFonts w:ascii="Times New Roman" w:eastAsiaTheme="minorEastAsia" w:hAnsi="Times New Roman"/>
          <w:sz w:val="24"/>
          <w:szCs w:val="24"/>
        </w:rPr>
        <w:t xml:space="preserve"> for this conquest, abrogated [revoked] some part of the ancient positive laws of England, brought in some </w:t>
      </w:r>
      <w:proofErr w:type="spellStart"/>
      <w:r w:rsidRPr="00CE3AFF">
        <w:rPr>
          <w:rFonts w:ascii="Times New Roman" w:eastAsiaTheme="minorEastAsia" w:hAnsi="Times New Roman"/>
          <w:sz w:val="24"/>
          <w:szCs w:val="24"/>
        </w:rPr>
        <w:t>Customes</w:t>
      </w:r>
      <w:proofErr w:type="spellEnd"/>
      <w:r w:rsidRPr="00CE3AFF">
        <w:rPr>
          <w:rFonts w:ascii="Times New Roman" w:eastAsiaTheme="minorEastAsia" w:hAnsi="Times New Roman"/>
          <w:sz w:val="24"/>
          <w:szCs w:val="24"/>
        </w:rPr>
        <w:t xml:space="preserve"> of Normandie, and </w:t>
      </w:r>
      <w:proofErr w:type="gramStart"/>
      <w:r w:rsidRPr="00CE3AFF">
        <w:rPr>
          <w:rFonts w:ascii="Times New Roman" w:eastAsiaTheme="minorEastAsia" w:hAnsi="Times New Roman"/>
          <w:sz w:val="24"/>
          <w:szCs w:val="24"/>
        </w:rPr>
        <w:t>by virtue of</w:t>
      </w:r>
      <w:proofErr w:type="gramEnd"/>
      <w:r w:rsidRPr="00CE3AFF">
        <w:rPr>
          <w:rFonts w:ascii="Times New Roman" w:eastAsiaTheme="minorEastAsia" w:hAnsi="Times New Roman"/>
          <w:sz w:val="24"/>
          <w:szCs w:val="24"/>
        </w:rPr>
        <w:t xml:space="preserve"> a decree, commanded. That all causes should be pleaded in the French tongue.</w:t>
      </w:r>
      <w:r w:rsidRPr="00CE3AFF">
        <w:rPr>
          <w:rFonts w:ascii="Times New Roman" w:hAnsi="Times New Roman"/>
          <w:sz w:val="24"/>
          <w:szCs w:val="24"/>
        </w:rPr>
        <w:t>’</w:t>
      </w:r>
      <w:r w:rsidRPr="00CE3AFF">
        <w:rPr>
          <w:rStyle w:val="FootnoteReference"/>
          <w:rFonts w:ascii="Times New Roman" w:hAnsi="Times New Roman"/>
          <w:sz w:val="24"/>
          <w:szCs w:val="24"/>
        </w:rPr>
        <w:footnoteReference w:id="7"/>
      </w:r>
    </w:p>
    <w:p w14:paraId="29D7256D" w14:textId="77777777" w:rsidR="0066095A" w:rsidRPr="00CE3AFF" w:rsidRDefault="0066095A" w:rsidP="0066095A">
      <w:pPr>
        <w:spacing w:after="160" w:line="259" w:lineRule="auto"/>
        <w:rPr>
          <w:rFonts w:ascii="Times New Roman" w:hAnsi="Times New Roman"/>
          <w:sz w:val="24"/>
          <w:szCs w:val="24"/>
        </w:rPr>
      </w:pPr>
      <w:r w:rsidRPr="00CE3AFF">
        <w:rPr>
          <w:rFonts w:ascii="Times New Roman" w:hAnsi="Times New Roman"/>
          <w:sz w:val="24"/>
          <w:szCs w:val="24"/>
        </w:rPr>
        <w:t xml:space="preserve">This source from William Camden depicts that the Normans were attempting to bring their thoughts and practices from Normandy and were attempting and succeeding to push it onto the people of England. </w:t>
      </w:r>
    </w:p>
    <w:p w14:paraId="3DC37D85" w14:textId="77777777" w:rsidR="0066095A" w:rsidRPr="00CE3AFF" w:rsidRDefault="0066095A" w:rsidP="0066095A">
      <w:pPr>
        <w:rPr>
          <w:rFonts w:ascii="Times New Roman" w:hAnsi="Times New Roman"/>
          <w:sz w:val="24"/>
          <w:szCs w:val="24"/>
        </w:rPr>
      </w:pPr>
      <w:r w:rsidRPr="00CE3AFF">
        <w:rPr>
          <w:rFonts w:ascii="Times New Roman" w:hAnsi="Times New Roman"/>
          <w:sz w:val="24"/>
          <w:szCs w:val="24"/>
        </w:rPr>
        <w:lastRenderedPageBreak/>
        <w:t xml:space="preserve"> </w:t>
      </w:r>
      <w:r w:rsidRPr="00CE3AFF">
        <w:rPr>
          <w:rFonts w:ascii="Times New Roman" w:hAnsi="Times New Roman"/>
          <w:sz w:val="24"/>
          <w:szCs w:val="24"/>
        </w:rPr>
        <w:tab/>
        <w:t xml:space="preserve">After the conquest of the Normans and the colonisation that followed, the Anglo-Saxons struggled against the rule of the Normans for several generations. This struggle could be seen through the class system of England, as later upper-class generations descended from the Normans, while the working class </w:t>
      </w:r>
      <w:proofErr w:type="gramStart"/>
      <w:r w:rsidRPr="00CE3AFF">
        <w:rPr>
          <w:rFonts w:ascii="Times New Roman" w:hAnsi="Times New Roman"/>
          <w:sz w:val="24"/>
          <w:szCs w:val="24"/>
        </w:rPr>
        <w:t>were seen as</w:t>
      </w:r>
      <w:proofErr w:type="gramEnd"/>
      <w:r w:rsidRPr="00CE3AFF">
        <w:rPr>
          <w:rFonts w:ascii="Times New Roman" w:hAnsi="Times New Roman"/>
          <w:sz w:val="24"/>
          <w:szCs w:val="24"/>
        </w:rPr>
        <w:t xml:space="preserve"> English. </w:t>
      </w:r>
    </w:p>
    <w:p w14:paraId="0FB336A1" w14:textId="77777777" w:rsidR="0066095A" w:rsidRPr="00CE3AFF" w:rsidRDefault="0066095A" w:rsidP="0066095A">
      <w:pPr>
        <w:ind w:firstLine="720"/>
        <w:rPr>
          <w:rFonts w:ascii="Times New Roman" w:hAnsi="Times New Roman"/>
          <w:sz w:val="24"/>
          <w:szCs w:val="24"/>
        </w:rPr>
      </w:pPr>
      <w:r w:rsidRPr="00CE3AFF">
        <w:rPr>
          <w:rFonts w:ascii="Times New Roman" w:hAnsi="Times New Roman"/>
          <w:sz w:val="24"/>
          <w:szCs w:val="24"/>
        </w:rPr>
        <w:t>‘</w:t>
      </w:r>
      <w:r w:rsidRPr="00CE3AFF">
        <w:rPr>
          <w:rFonts w:ascii="Times New Roman" w:eastAsiaTheme="minorEastAsia" w:hAnsi="Times New Roman"/>
          <w:sz w:val="24"/>
          <w:szCs w:val="24"/>
        </w:rPr>
        <w:t xml:space="preserve">And </w:t>
      </w:r>
      <w:proofErr w:type="gramStart"/>
      <w:r w:rsidRPr="00CE3AFF">
        <w:rPr>
          <w:rFonts w:ascii="Times New Roman" w:eastAsiaTheme="minorEastAsia" w:hAnsi="Times New Roman"/>
          <w:sz w:val="24"/>
          <w:szCs w:val="24"/>
        </w:rPr>
        <w:t>so</w:t>
      </w:r>
      <w:proofErr w:type="gramEnd"/>
      <w:r w:rsidRPr="00CE3AFF">
        <w:rPr>
          <w:rFonts w:ascii="Times New Roman" w:eastAsiaTheme="minorEastAsia" w:hAnsi="Times New Roman"/>
          <w:sz w:val="24"/>
          <w:szCs w:val="24"/>
        </w:rPr>
        <w:t xml:space="preserve"> the English groaned aloud for their lost liberty and plotted ceaselessly to find some way of shaking off a yoke that was so intolerable and unaccustomed. </w:t>
      </w:r>
      <w:r w:rsidRPr="00CE3AFF">
        <w:rPr>
          <w:rFonts w:ascii="Times New Roman" w:hAnsi="Times New Roman"/>
          <w:sz w:val="24"/>
          <w:szCs w:val="24"/>
        </w:rPr>
        <w:t>‘</w:t>
      </w:r>
      <w:r w:rsidRPr="00CE3AFF">
        <w:rPr>
          <w:rStyle w:val="FootnoteReference"/>
          <w:rFonts w:ascii="Times New Roman" w:hAnsi="Times New Roman"/>
          <w:sz w:val="24"/>
          <w:szCs w:val="24"/>
        </w:rPr>
        <w:footnoteReference w:id="8"/>
      </w:r>
    </w:p>
    <w:p w14:paraId="694373C3" w14:textId="77777777" w:rsidR="0066095A" w:rsidRPr="00CE3AFF" w:rsidRDefault="0066095A" w:rsidP="0066095A">
      <w:pPr>
        <w:rPr>
          <w:rFonts w:ascii="Times New Roman" w:hAnsi="Times New Roman"/>
          <w:sz w:val="24"/>
          <w:szCs w:val="24"/>
        </w:rPr>
      </w:pPr>
      <w:r w:rsidRPr="00CE3AFF">
        <w:rPr>
          <w:rFonts w:ascii="Times New Roman" w:hAnsi="Times New Roman"/>
          <w:sz w:val="24"/>
          <w:szCs w:val="24"/>
        </w:rPr>
        <w:t xml:space="preserve">This source from the </w:t>
      </w:r>
      <w:r w:rsidRPr="00CE3AFF">
        <w:rPr>
          <w:rFonts w:ascii="Times New Roman" w:eastAsiaTheme="minorEastAsia" w:hAnsi="Times New Roman"/>
          <w:iCs/>
          <w:sz w:val="24"/>
          <w:szCs w:val="24"/>
        </w:rPr>
        <w:t xml:space="preserve">Historia </w:t>
      </w:r>
      <w:proofErr w:type="spellStart"/>
      <w:r w:rsidRPr="00CE3AFF">
        <w:rPr>
          <w:rFonts w:ascii="Times New Roman" w:eastAsiaTheme="minorEastAsia" w:hAnsi="Times New Roman"/>
          <w:iCs/>
          <w:sz w:val="24"/>
          <w:szCs w:val="24"/>
        </w:rPr>
        <w:t>Ecclesiastica</w:t>
      </w:r>
      <w:proofErr w:type="spellEnd"/>
      <w:r w:rsidRPr="00CE3AFF">
        <w:rPr>
          <w:rFonts w:ascii="Times New Roman" w:hAnsi="Times New Roman"/>
          <w:iCs/>
          <w:sz w:val="24"/>
          <w:szCs w:val="24"/>
        </w:rPr>
        <w:t xml:space="preserve"> by the </w:t>
      </w:r>
      <w:proofErr w:type="spellStart"/>
      <w:r w:rsidRPr="00CE3AFF">
        <w:rPr>
          <w:rFonts w:ascii="Times New Roman" w:eastAsiaTheme="minorEastAsia" w:hAnsi="Times New Roman"/>
          <w:sz w:val="24"/>
          <w:szCs w:val="24"/>
        </w:rPr>
        <w:t>Orderic</w:t>
      </w:r>
      <w:proofErr w:type="spellEnd"/>
      <w:r w:rsidRPr="00CE3AFF">
        <w:rPr>
          <w:rFonts w:ascii="Times New Roman" w:eastAsiaTheme="minorEastAsia" w:hAnsi="Times New Roman"/>
          <w:sz w:val="24"/>
          <w:szCs w:val="24"/>
        </w:rPr>
        <w:t xml:space="preserve"> Vitalis</w:t>
      </w:r>
      <w:r w:rsidRPr="00CE3AFF">
        <w:rPr>
          <w:rFonts w:ascii="Times New Roman" w:hAnsi="Times New Roman"/>
          <w:sz w:val="24"/>
          <w:szCs w:val="24"/>
        </w:rPr>
        <w:t xml:space="preserve"> shows the opinion of the English, and how they rebelled against the rule of the Normans and their invasion of England. </w:t>
      </w:r>
    </w:p>
    <w:p w14:paraId="5A084131" w14:textId="7FF3C73B" w:rsidR="00081382" w:rsidRPr="00CE3AFF" w:rsidRDefault="00081382" w:rsidP="00081382">
      <w:pPr>
        <w:ind w:firstLine="720"/>
        <w:rPr>
          <w:rFonts w:ascii="Times New Roman" w:hAnsi="Times New Roman"/>
          <w:sz w:val="24"/>
          <w:szCs w:val="24"/>
        </w:rPr>
      </w:pPr>
      <w:r w:rsidRPr="00CE3AFF">
        <w:rPr>
          <w:rFonts w:ascii="Times New Roman" w:hAnsi="Times New Roman"/>
          <w:sz w:val="24"/>
          <w:szCs w:val="24"/>
        </w:rPr>
        <w:t xml:space="preserve">In the Normans settling in England, many of the gentry of Normandy that helped in the conquest were offered estates in England. It is said according to </w:t>
      </w:r>
      <w:proofErr w:type="spellStart"/>
      <w:r w:rsidRPr="00CE3AFF">
        <w:rPr>
          <w:rFonts w:ascii="Times New Roman" w:hAnsi="Times New Roman"/>
          <w:sz w:val="24"/>
          <w:szCs w:val="24"/>
        </w:rPr>
        <w:t>Orderic</w:t>
      </w:r>
      <w:proofErr w:type="spellEnd"/>
      <w:r w:rsidRPr="00CE3AFF">
        <w:rPr>
          <w:rFonts w:ascii="Times New Roman" w:hAnsi="Times New Roman"/>
          <w:sz w:val="24"/>
          <w:szCs w:val="24"/>
        </w:rPr>
        <w:t xml:space="preserve"> Vitalis, that Gilbert of </w:t>
      </w:r>
      <w:proofErr w:type="spellStart"/>
      <w:r w:rsidRPr="00CE3AFF">
        <w:rPr>
          <w:rFonts w:ascii="Times New Roman" w:hAnsi="Times New Roman"/>
          <w:sz w:val="24"/>
          <w:szCs w:val="24"/>
        </w:rPr>
        <w:t>D’Auffay</w:t>
      </w:r>
      <w:proofErr w:type="spellEnd"/>
      <w:r w:rsidRPr="00CE3AFF">
        <w:rPr>
          <w:rFonts w:ascii="Times New Roman" w:hAnsi="Times New Roman"/>
          <w:sz w:val="24"/>
          <w:szCs w:val="24"/>
        </w:rPr>
        <w:t>, who had fought with William the Conqueror was offered these as gifts, but declined, ‘he declined to have any part in plunder. Content with his own, he rejected other men’s goods.’</w:t>
      </w:r>
      <w:r w:rsidRPr="00CE3AFF">
        <w:rPr>
          <w:rStyle w:val="FootnoteReference"/>
          <w:rFonts w:ascii="Times New Roman" w:hAnsi="Times New Roman"/>
          <w:sz w:val="24"/>
          <w:szCs w:val="24"/>
        </w:rPr>
        <w:footnoteReference w:id="9"/>
      </w:r>
      <w:r w:rsidRPr="00CE3AFF">
        <w:rPr>
          <w:rFonts w:ascii="Times New Roman" w:hAnsi="Times New Roman"/>
          <w:sz w:val="24"/>
          <w:szCs w:val="24"/>
        </w:rPr>
        <w:t xml:space="preserve"> Although that </w:t>
      </w:r>
      <w:proofErr w:type="spellStart"/>
      <w:r w:rsidRPr="00CE3AFF">
        <w:rPr>
          <w:rFonts w:ascii="Times New Roman" w:hAnsi="Times New Roman"/>
          <w:sz w:val="24"/>
          <w:szCs w:val="24"/>
        </w:rPr>
        <w:t>Orderic</w:t>
      </w:r>
      <w:proofErr w:type="spellEnd"/>
      <w:r w:rsidRPr="00CE3AFF">
        <w:rPr>
          <w:rFonts w:ascii="Times New Roman" w:hAnsi="Times New Roman"/>
          <w:sz w:val="24"/>
          <w:szCs w:val="24"/>
        </w:rPr>
        <w:t xml:space="preserve"> Vitalis knew the family well, this cannot be taken at face value in its factual evidence, although in the Domesday book, Gilbert of </w:t>
      </w:r>
      <w:proofErr w:type="spellStart"/>
      <w:r w:rsidRPr="00CE3AFF">
        <w:rPr>
          <w:rFonts w:ascii="Times New Roman" w:hAnsi="Times New Roman"/>
          <w:sz w:val="24"/>
          <w:szCs w:val="24"/>
        </w:rPr>
        <w:t>D’Auffay</w:t>
      </w:r>
      <w:proofErr w:type="spellEnd"/>
      <w:r w:rsidRPr="00CE3AFF">
        <w:rPr>
          <w:rFonts w:ascii="Times New Roman" w:hAnsi="Times New Roman"/>
          <w:sz w:val="24"/>
          <w:szCs w:val="24"/>
        </w:rPr>
        <w:t xml:space="preserve"> in 1086 indeed had not lands in England that belonged to him. </w:t>
      </w:r>
    </w:p>
    <w:p w14:paraId="09B9EC04" w14:textId="77777777" w:rsidR="00081382" w:rsidRPr="00CE3AFF" w:rsidRDefault="00081382" w:rsidP="00081382">
      <w:pPr>
        <w:ind w:firstLine="720"/>
        <w:rPr>
          <w:rFonts w:ascii="Times New Roman" w:hAnsi="Times New Roman"/>
          <w:sz w:val="24"/>
          <w:szCs w:val="24"/>
        </w:rPr>
      </w:pPr>
      <w:r w:rsidRPr="00CE3AFF">
        <w:rPr>
          <w:rFonts w:ascii="Times New Roman" w:hAnsi="Times New Roman"/>
          <w:sz w:val="24"/>
          <w:szCs w:val="24"/>
        </w:rPr>
        <w:t xml:space="preserve">In the years that followed the conquest, the aristocracy became a class that </w:t>
      </w:r>
      <w:proofErr w:type="gramStart"/>
      <w:r w:rsidRPr="00CE3AFF">
        <w:rPr>
          <w:rFonts w:ascii="Times New Roman" w:hAnsi="Times New Roman"/>
          <w:sz w:val="24"/>
          <w:szCs w:val="24"/>
        </w:rPr>
        <w:t>was considered to be</w:t>
      </w:r>
      <w:proofErr w:type="gramEnd"/>
      <w:r w:rsidRPr="00CE3AFF">
        <w:rPr>
          <w:rFonts w:ascii="Times New Roman" w:hAnsi="Times New Roman"/>
          <w:sz w:val="24"/>
          <w:szCs w:val="24"/>
        </w:rPr>
        <w:t xml:space="preserve"> ‘alien’</w:t>
      </w:r>
      <w:r w:rsidRPr="00CE3AFF">
        <w:rPr>
          <w:rStyle w:val="FootnoteReference"/>
          <w:rFonts w:ascii="Times New Roman" w:hAnsi="Times New Roman"/>
          <w:sz w:val="24"/>
          <w:szCs w:val="24"/>
        </w:rPr>
        <w:footnoteReference w:id="10"/>
      </w:r>
      <w:r w:rsidRPr="00CE3AFF">
        <w:rPr>
          <w:rFonts w:ascii="Times New Roman" w:hAnsi="Times New Roman"/>
          <w:sz w:val="24"/>
          <w:szCs w:val="24"/>
        </w:rPr>
        <w:t>, and this is due to the aristocracy from Normandy settling in England. Although their numbers were small, it is said that according to William Corbett that stated that at the time of the Domesday survey, it is said that ‘50 per cent of the recorded landed wealth of England was in the hands of less than 190lay tenants-chief, but nearly half of this wealth was held by just 11 men’</w:t>
      </w:r>
      <w:r w:rsidRPr="00CE3AFF">
        <w:rPr>
          <w:rStyle w:val="FootnoteReference"/>
          <w:rFonts w:ascii="Times New Roman" w:hAnsi="Times New Roman"/>
          <w:sz w:val="24"/>
          <w:szCs w:val="24"/>
        </w:rPr>
        <w:footnoteReference w:id="11"/>
      </w:r>
      <w:r w:rsidRPr="00CE3AFF">
        <w:rPr>
          <w:rFonts w:ascii="Times New Roman" w:hAnsi="Times New Roman"/>
          <w:sz w:val="24"/>
          <w:szCs w:val="24"/>
        </w:rPr>
        <w:t>.</w:t>
      </w:r>
    </w:p>
    <w:p w14:paraId="5BBCDF4C" w14:textId="79D8F876" w:rsidR="0066095A" w:rsidRPr="00CE3AFF" w:rsidRDefault="00AE0FB0" w:rsidP="0066095A">
      <w:pPr>
        <w:rPr>
          <w:rFonts w:ascii="Times New Roman" w:hAnsi="Times New Roman"/>
          <w:sz w:val="24"/>
          <w:szCs w:val="24"/>
        </w:rPr>
      </w:pPr>
      <w:r w:rsidRPr="00CE3AFF">
        <w:rPr>
          <w:rFonts w:ascii="Times New Roman" w:hAnsi="Times New Roman"/>
          <w:sz w:val="24"/>
          <w:szCs w:val="24"/>
        </w:rPr>
        <w:tab/>
        <w:t>Although many Normans have written that the Normans were not as tyrannical as English writers have them portrayed. William of Poitiers said that ‘nothing that had been unjustly taken from any Englishman was given to any Frenchman.</w:t>
      </w:r>
      <w:r w:rsidRPr="00CE3AFF">
        <w:rPr>
          <w:rStyle w:val="FootnoteReference"/>
          <w:rFonts w:ascii="Times New Roman" w:hAnsi="Times New Roman"/>
          <w:sz w:val="24"/>
          <w:szCs w:val="24"/>
        </w:rPr>
        <w:footnoteReference w:id="12"/>
      </w:r>
      <w:r w:rsidRPr="00CE3AFF">
        <w:rPr>
          <w:rFonts w:ascii="Times New Roman" w:hAnsi="Times New Roman"/>
          <w:sz w:val="24"/>
          <w:szCs w:val="24"/>
        </w:rPr>
        <w:t xml:space="preserve">’ This extract from William of Poitiers is very ambiguous, as there is the undercurrent question about what about the items that had been ‘justly’ taken from an Englishman? What would happen to those items, were they given to </w:t>
      </w:r>
      <w:r w:rsidR="00C442F0" w:rsidRPr="00CE3AFF">
        <w:rPr>
          <w:rFonts w:ascii="Times New Roman" w:hAnsi="Times New Roman"/>
          <w:sz w:val="24"/>
          <w:szCs w:val="24"/>
        </w:rPr>
        <w:t>a</w:t>
      </w:r>
      <w:r w:rsidRPr="00CE3AFF">
        <w:rPr>
          <w:rFonts w:ascii="Times New Roman" w:hAnsi="Times New Roman"/>
          <w:sz w:val="24"/>
          <w:szCs w:val="24"/>
        </w:rPr>
        <w:t xml:space="preserve"> Frenchman?</w:t>
      </w:r>
    </w:p>
    <w:p w14:paraId="39BDC23C" w14:textId="3139E96D" w:rsidR="0066095A" w:rsidRPr="00CE3AFF" w:rsidRDefault="00F10CA1" w:rsidP="00D739DD">
      <w:pPr>
        <w:pStyle w:val="NormalWeb"/>
        <w:ind w:firstLine="720"/>
      </w:pPr>
      <w:r w:rsidRPr="00CE3AFF">
        <w:t xml:space="preserve">There are also </w:t>
      </w:r>
      <w:r w:rsidR="00D43C69" w:rsidRPr="00CE3AFF">
        <w:t xml:space="preserve">examples where Anglo-Saxon Englishmen succeeded in retrieving their lands from the Normans. Although this pertained mostly to monasteries, lay tenants also bought back their lands in the months that </w:t>
      </w:r>
      <w:proofErr w:type="gramStart"/>
      <w:r w:rsidR="00D43C69" w:rsidRPr="00CE3AFF">
        <w:t>followed after</w:t>
      </w:r>
      <w:proofErr w:type="gramEnd"/>
      <w:r w:rsidR="00D43C69" w:rsidRPr="00CE3AFF">
        <w:t xml:space="preserve"> the battle of Hastings. </w:t>
      </w:r>
      <w:r w:rsidR="00126947" w:rsidRPr="00CE3AFF">
        <w:t>Even Lords that were native to England had trouble in retaining their lands from the hands of the Norman king, William the conqueror.</w:t>
      </w:r>
      <w:r w:rsidR="00B82C02" w:rsidRPr="00CE3AFF">
        <w:t xml:space="preserve"> Under the Norman rule following the conquest of Normandy over Anglo-Saxon England, the </w:t>
      </w:r>
      <w:r w:rsidR="00865A1E" w:rsidRPr="00CE3AFF">
        <w:t xml:space="preserve">dynamic of the Norman settlement and distribution of lands is seen to have been varied from case to case, this is due to the fact on whether the land in question was held by lay or ecclesiastical lords. The Norman greed was seen throughout </w:t>
      </w:r>
      <w:r w:rsidR="00865A1E" w:rsidRPr="00CE3AFF">
        <w:lastRenderedPageBreak/>
        <w:t xml:space="preserve">England and this was no exception </w:t>
      </w:r>
      <w:proofErr w:type="gramStart"/>
      <w:r w:rsidR="00865A1E" w:rsidRPr="00CE3AFF">
        <w:t>in regards to</w:t>
      </w:r>
      <w:proofErr w:type="gramEnd"/>
      <w:r w:rsidR="00865A1E" w:rsidRPr="00CE3AFF">
        <w:t xml:space="preserve"> the matters of the church. After the conquest and in the early days of the Norman colonisation, allocation of lands was determined by both political and military considerations, and these considerations were mainly whether they had sided with the crown, William the Conqueror, or not.</w:t>
      </w:r>
      <w:r w:rsidR="00D739DD" w:rsidRPr="00CE3AFF">
        <w:t xml:space="preserve"> It was during this time that many French Lords were able to detain lands in England. This can be seen when the Earls Edwin and </w:t>
      </w:r>
      <w:proofErr w:type="spellStart"/>
      <w:r w:rsidR="00D739DD" w:rsidRPr="00CE3AFF">
        <w:t>Morcar</w:t>
      </w:r>
      <w:proofErr w:type="spellEnd"/>
      <w:r w:rsidR="00D739DD" w:rsidRPr="00CE3AFF">
        <w:t xml:space="preserve"> forfeited their lands in the north and midlands that </w:t>
      </w:r>
      <w:r w:rsidR="00AA1D1C" w:rsidRPr="00CE3AFF">
        <w:t xml:space="preserve">the Norman, </w:t>
      </w:r>
      <w:r w:rsidR="00D739DD" w:rsidRPr="00CE3AFF">
        <w:t xml:space="preserve">‘Drogo de la </w:t>
      </w:r>
      <w:proofErr w:type="spellStart"/>
      <w:r w:rsidR="00D739DD" w:rsidRPr="00CE3AFF">
        <w:t>Beuvri</w:t>
      </w:r>
      <w:r w:rsidR="00E81B68" w:rsidRPr="00CE3AFF">
        <w:t>è</w:t>
      </w:r>
      <w:r w:rsidR="00D739DD" w:rsidRPr="00CE3AFF">
        <w:t>re</w:t>
      </w:r>
      <w:proofErr w:type="spellEnd"/>
      <w:r w:rsidR="00E81B68" w:rsidRPr="00CE3AFF">
        <w:t xml:space="preserve"> obtained the greater part of his estates in Holderness and </w:t>
      </w:r>
      <w:r w:rsidR="00BD288D" w:rsidRPr="00CE3AFF">
        <w:t>Lincolnshire</w:t>
      </w:r>
      <w:r w:rsidR="00E81B68" w:rsidRPr="00CE3AFF">
        <w:t>.’</w:t>
      </w:r>
      <w:r w:rsidR="00E81B68" w:rsidRPr="00CE3AFF">
        <w:rPr>
          <w:rStyle w:val="FootnoteReference"/>
        </w:rPr>
        <w:footnoteReference w:id="13"/>
      </w:r>
    </w:p>
    <w:p w14:paraId="15BCB844" w14:textId="27CBD165" w:rsidR="009B47AB" w:rsidRPr="00CE3AFF" w:rsidRDefault="009B47AB" w:rsidP="00D739DD">
      <w:pPr>
        <w:pStyle w:val="NormalWeb"/>
        <w:ind w:firstLine="720"/>
      </w:pPr>
      <w:r w:rsidRPr="00CE3AFF">
        <w:t>The Norman colonisation was also seen in the towns of Anglo-Saxon England. William the Conqueror knew that importance of the English towns, as it was in the towns that the resistance played an important role. After the initial years of the Norman colonisation of England, ‘many Anglo-Norman magnates owned urban property’</w:t>
      </w:r>
      <w:r w:rsidRPr="00CE3AFF">
        <w:rPr>
          <w:rStyle w:val="FootnoteReference"/>
        </w:rPr>
        <w:footnoteReference w:id="14"/>
      </w:r>
      <w:r w:rsidRPr="00CE3AFF">
        <w:t xml:space="preserve">.  They had taken the incentive from their predecessors, the Anglo-Saxons. </w:t>
      </w:r>
      <w:r w:rsidR="006221AE" w:rsidRPr="00CE3AFF">
        <w:t xml:space="preserve">Unlike many locations throughout England following the Norman conquest, the towns are seen to have flourished. This could be due to </w:t>
      </w:r>
      <w:r w:rsidR="00D509F8" w:rsidRPr="00CE3AFF">
        <w:t xml:space="preserve">the new rules that the Norman king, William the conqueror implemented. ‘Royal licences markets are indicated in Domesday book; William I granted a Sunday market to his foundation of Battle and a three-day fair (extended to five days by William II) to </w:t>
      </w:r>
      <w:proofErr w:type="spellStart"/>
      <w:r w:rsidR="00D509F8" w:rsidRPr="00CE3AFF">
        <w:t>Malmesbury</w:t>
      </w:r>
      <w:proofErr w:type="spellEnd"/>
      <w:r w:rsidR="00D509F8" w:rsidRPr="00CE3AFF">
        <w:t xml:space="preserve"> abbey.’</w:t>
      </w:r>
      <w:r w:rsidR="00791402" w:rsidRPr="00CE3AFF">
        <w:rPr>
          <w:rStyle w:val="FootnoteReference"/>
        </w:rPr>
        <w:footnoteReference w:id="15"/>
      </w:r>
      <w:r w:rsidR="00791402" w:rsidRPr="00CE3AFF">
        <w:t xml:space="preserve"> These new implementations by the king created new opportunities for the people of he markets. Although trade was still controlled by associations or guilds of merchants in many </w:t>
      </w:r>
      <w:proofErr w:type="gramStart"/>
      <w:r w:rsidR="00791402" w:rsidRPr="00CE3AFF">
        <w:t>places,  ‘</w:t>
      </w:r>
      <w:proofErr w:type="gramEnd"/>
      <w:r w:rsidR="00791402" w:rsidRPr="00CE3AFF">
        <w:t>there is no indication that individual markets were formally regulated by the king or lords.</w:t>
      </w:r>
      <w:r w:rsidR="00791402" w:rsidRPr="00CE3AFF">
        <w:rPr>
          <w:rStyle w:val="FootnoteReference"/>
        </w:rPr>
        <w:footnoteReference w:id="16"/>
      </w:r>
    </w:p>
    <w:p w14:paraId="2D2A18C8" w14:textId="66338BA3" w:rsidR="000B4F2E" w:rsidRPr="00CE3AFF" w:rsidRDefault="003E6B1B" w:rsidP="000B4F2E">
      <w:pPr>
        <w:pStyle w:val="NormalWeb"/>
        <w:ind w:firstLine="720"/>
      </w:pPr>
      <w:r w:rsidRPr="00CE3AFF">
        <w:tab/>
      </w:r>
      <w:r w:rsidR="00791402" w:rsidRPr="00CE3AFF">
        <w:t>Therefore,</w:t>
      </w:r>
      <w:r w:rsidRPr="00CE3AFF">
        <w:t xml:space="preserve"> in conclusion, from the sources used in this essay, I have </w:t>
      </w:r>
      <w:proofErr w:type="gramStart"/>
      <w:r w:rsidRPr="00CE3AFF">
        <w:t>come to the conclusion</w:t>
      </w:r>
      <w:proofErr w:type="gramEnd"/>
      <w:r w:rsidRPr="00CE3AFF">
        <w:t xml:space="preserve"> that the Norman conquest was a complete conquest of an Anglo-Saxon England, it can be seen throughout the events that transpired throughout England following the Normans invading and conquering England. The completeness of the conquering of England can be seen in the Normans introducing their values and practices to the Anglo-Saxons, and the introduction of the feudal system </w:t>
      </w:r>
      <w:proofErr w:type="gramStart"/>
      <w:r w:rsidRPr="00CE3AFF">
        <w:t>in regards to</w:t>
      </w:r>
      <w:proofErr w:type="gramEnd"/>
      <w:r w:rsidRPr="00CE3AFF">
        <w:t xml:space="preserve"> the judicial system. </w:t>
      </w:r>
    </w:p>
    <w:p w14:paraId="50C00035" w14:textId="70D4C22C" w:rsidR="000B4F2E" w:rsidRPr="00CE3AFF" w:rsidRDefault="000B4F2E" w:rsidP="000B4F2E">
      <w:pPr>
        <w:pStyle w:val="NormalWeb"/>
        <w:ind w:firstLine="720"/>
      </w:pPr>
      <w:r w:rsidRPr="00CE3AFF">
        <w:t xml:space="preserve">Although it could be argued that the conquering of England was not a complete conquest </w:t>
      </w:r>
      <w:proofErr w:type="gramStart"/>
      <w:r w:rsidRPr="00CE3AFF">
        <w:t>in regards to</w:t>
      </w:r>
      <w:proofErr w:type="gramEnd"/>
      <w:r w:rsidRPr="00CE3AFF">
        <w:t xml:space="preserve"> the people of England, as the Normans that had led the conquest, i.e. William the Conqueror and his allies, had experienced a negative output from the Anglo-Saxons. Many of them rebelled against the Norman rule that they were not under. It can be said with certainty that the people of England were not pleased that they were under the rule of Normandy, and when the Normans implemented their new policies, </w:t>
      </w:r>
      <w:proofErr w:type="gramStart"/>
      <w:r w:rsidRPr="00CE3AFF">
        <w:t>in regards to</w:t>
      </w:r>
      <w:proofErr w:type="gramEnd"/>
      <w:r w:rsidRPr="00CE3AFF">
        <w:t xml:space="preserve"> the churches and the introduction of the feudal system, it was seen as a very negative event. </w:t>
      </w:r>
    </w:p>
    <w:p w14:paraId="03B314DE" w14:textId="48EBD9BF" w:rsidR="00D12396" w:rsidRPr="00CE3AFF" w:rsidRDefault="00D12396" w:rsidP="0088440A">
      <w:pPr>
        <w:pStyle w:val="NormalWeb"/>
      </w:pPr>
    </w:p>
    <w:p w14:paraId="1B0D55F2" w14:textId="6A5CB801" w:rsidR="00390EEA" w:rsidRPr="00CE3AFF" w:rsidRDefault="00390EEA" w:rsidP="0088440A">
      <w:pPr>
        <w:pStyle w:val="NormalWeb"/>
      </w:pPr>
      <w:r w:rsidRPr="00CE3AFF">
        <w:tab/>
        <w:t xml:space="preserve">The colonisation of England that followed the </w:t>
      </w:r>
      <w:r w:rsidR="008910CE" w:rsidRPr="00CE3AFF">
        <w:t>conquest</w:t>
      </w:r>
      <w:r w:rsidRPr="00CE3AFF">
        <w:t xml:space="preserve"> can be seen in my opinion, as a comp</w:t>
      </w:r>
      <w:r w:rsidR="00EF021F">
        <w:t>l</w:t>
      </w:r>
      <w:r w:rsidRPr="00CE3AFF">
        <w:t xml:space="preserve">ete event that occurred after the battle of Hastings in 1066. This is </w:t>
      </w:r>
      <w:proofErr w:type="gramStart"/>
      <w:r w:rsidRPr="00CE3AFF">
        <w:t>due to the fact that</w:t>
      </w:r>
      <w:proofErr w:type="gramEnd"/>
      <w:r w:rsidRPr="00CE3AFF">
        <w:t xml:space="preserve"> many historical </w:t>
      </w:r>
      <w:r w:rsidR="008910CE" w:rsidRPr="00CE3AFF">
        <w:t>writings</w:t>
      </w:r>
      <w:r w:rsidRPr="00CE3AFF">
        <w:t xml:space="preserve"> that were compiled at the time of the colonisation, for example</w:t>
      </w:r>
      <w:r w:rsidR="00294B69">
        <w:t>,</w:t>
      </w:r>
      <w:r w:rsidRPr="00CE3AFF">
        <w:t xml:space="preserve"> the </w:t>
      </w:r>
      <w:r w:rsidRPr="00CE3AFF">
        <w:lastRenderedPageBreak/>
        <w:t xml:space="preserve">Anglo-Saxon Chronicle, it </w:t>
      </w:r>
      <w:r w:rsidR="0096493E" w:rsidRPr="00CE3AFF">
        <w:t>includes information that tells us how comp</w:t>
      </w:r>
      <w:r w:rsidR="005E69AA">
        <w:t>l</w:t>
      </w:r>
      <w:r w:rsidR="0096493E" w:rsidRPr="00CE3AFF">
        <w:t xml:space="preserve">ete and through the Normans colonisation into the lands of England.  We know now that the Normans had colonised throughout England and had also settled into Wales. In a map from the book ‘conquest and colonisation’ that is written by Brian Golding, there is a map that shows the settlements of the Normans throughout Wales, from </w:t>
      </w:r>
      <w:proofErr w:type="spellStart"/>
      <w:r w:rsidR="0096493E" w:rsidRPr="00CE3AFF">
        <w:t>Deganwy</w:t>
      </w:r>
      <w:proofErr w:type="spellEnd"/>
      <w:r w:rsidR="0096493E" w:rsidRPr="00CE3AFF">
        <w:t xml:space="preserve"> in North Wales, Cardigan in the West, Carmarthen in mid</w:t>
      </w:r>
      <w:r w:rsidR="002E533B">
        <w:t>-</w:t>
      </w:r>
      <w:r w:rsidR="0096493E" w:rsidRPr="00CE3AFF">
        <w:t>Wales, and as far south as Llandaff near modern</w:t>
      </w:r>
      <w:r w:rsidR="002E533B">
        <w:t>-</w:t>
      </w:r>
      <w:r w:rsidR="0096493E" w:rsidRPr="00CE3AFF">
        <w:t>day Cardiff.</w:t>
      </w:r>
      <w:r w:rsidR="0096493E" w:rsidRPr="00CE3AFF">
        <w:rPr>
          <w:rStyle w:val="FootnoteReference"/>
        </w:rPr>
        <w:footnoteReference w:id="17"/>
      </w:r>
      <w:r w:rsidR="00510D24" w:rsidRPr="00CE3AFF">
        <w:t xml:space="preserve"> Although in a map that depicts where the locations of the Norman churches in </w:t>
      </w:r>
      <w:r w:rsidR="001F7F7F" w:rsidRPr="00CE3AFF">
        <w:t xml:space="preserve">a post-conquest </w:t>
      </w:r>
      <w:r w:rsidR="00510D24" w:rsidRPr="00CE3AFF">
        <w:t xml:space="preserve">Wales were </w:t>
      </w:r>
      <w:r w:rsidR="001F7F7F" w:rsidRPr="00CE3AFF">
        <w:t>located,</w:t>
      </w:r>
      <w:r w:rsidR="00510D24" w:rsidRPr="00CE3AFF">
        <w:t xml:space="preserve"> there are only three post-conquest monastic foundation</w:t>
      </w:r>
      <w:r w:rsidR="001F7F7F" w:rsidRPr="00CE3AFF">
        <w:t>s and three secular cathedrals.</w:t>
      </w:r>
      <w:r w:rsidR="00D6008A" w:rsidRPr="00CE3AFF">
        <w:t xml:space="preserve"> The competed of the colonisation of the Norman from 1066 to 1100 is mostly seen throughout the Normans integrating into the aristocracy and upper-class of England. As stated earlier in the essay, the generations that followed after the Norman conquest over England and the colonisation of the Normans in England, the upper-classes from around 1066 onwards are said to have Norman bloodlines included in them, due to the fact that the Norman Lords had succeeded in attaining lands in England, whether through the king gifting it to them through military merit or through the native lords forfeiting their lands, this is a</w:t>
      </w:r>
      <w:r w:rsidR="006E393C">
        <w:t>n</w:t>
      </w:r>
      <w:bookmarkStart w:id="1" w:name="_GoBack"/>
      <w:bookmarkEnd w:id="1"/>
      <w:r w:rsidR="00D6008A" w:rsidRPr="00CE3AFF">
        <w:t xml:space="preserve"> important example of how compete the Norman conquest and more importantly the colonisation of England by 1100. </w:t>
      </w:r>
    </w:p>
    <w:p w14:paraId="0EDB380D" w14:textId="77777777" w:rsidR="00390EEA" w:rsidRPr="00CE3AFF" w:rsidRDefault="00390EEA" w:rsidP="00D12396">
      <w:pPr>
        <w:pStyle w:val="NormalWeb"/>
        <w:ind w:firstLine="720"/>
      </w:pPr>
    </w:p>
    <w:p w14:paraId="630F8CDC" w14:textId="77777777" w:rsidR="00CF2320" w:rsidRPr="00CE3AFF" w:rsidRDefault="00CF2320" w:rsidP="00CF2320">
      <w:pPr>
        <w:rPr>
          <w:rFonts w:ascii="Times New Roman" w:hAnsi="Times New Roman"/>
          <w:sz w:val="24"/>
          <w:szCs w:val="24"/>
        </w:rPr>
      </w:pPr>
      <w:r w:rsidRPr="00CE3AFF">
        <w:rPr>
          <w:rFonts w:ascii="Times New Roman" w:hAnsi="Times New Roman"/>
          <w:sz w:val="24"/>
          <w:szCs w:val="24"/>
        </w:rPr>
        <w:t>Bibliography</w:t>
      </w:r>
    </w:p>
    <w:p w14:paraId="669BC1FD" w14:textId="77777777" w:rsidR="00CF2320" w:rsidRPr="00CE3AFF" w:rsidRDefault="00CF2320" w:rsidP="00CF2320">
      <w:pPr>
        <w:rPr>
          <w:rFonts w:ascii="Times New Roman" w:hAnsi="Times New Roman"/>
          <w:sz w:val="24"/>
          <w:szCs w:val="24"/>
        </w:rPr>
      </w:pPr>
      <w:r w:rsidRPr="00CE3AFF">
        <w:rPr>
          <w:rFonts w:ascii="Times New Roman" w:hAnsi="Times New Roman"/>
          <w:sz w:val="24"/>
          <w:szCs w:val="24"/>
        </w:rPr>
        <w:t>Primary Sources</w:t>
      </w:r>
    </w:p>
    <w:p w14:paraId="1E827D8E" w14:textId="333BB70F" w:rsidR="00534392" w:rsidRPr="00CE3AFF" w:rsidRDefault="00534392" w:rsidP="00CF2320">
      <w:pPr>
        <w:rPr>
          <w:rFonts w:ascii="Times New Roman" w:hAnsi="Times New Roman"/>
          <w:color w:val="000000"/>
          <w:sz w:val="24"/>
          <w:szCs w:val="24"/>
          <w:shd w:val="clear" w:color="auto" w:fill="FFFFFF"/>
        </w:rPr>
      </w:pPr>
      <w:r w:rsidRPr="00CE3AFF">
        <w:rPr>
          <w:rFonts w:ascii="Times New Roman" w:hAnsi="Times New Roman"/>
          <w:iCs/>
          <w:color w:val="000000"/>
          <w:sz w:val="24"/>
          <w:szCs w:val="24"/>
          <w:shd w:val="clear" w:color="auto" w:fill="FFFFFF"/>
        </w:rPr>
        <w:t>Anglo-Norman Historians: The Anglo-Saxon Chronicle</w:t>
      </w:r>
      <w:r w:rsidRPr="00CE3AFF">
        <w:rPr>
          <w:rFonts w:ascii="Times New Roman" w:hAnsi="Times New Roman"/>
          <w:color w:val="000000"/>
          <w:sz w:val="24"/>
          <w:szCs w:val="24"/>
          <w:shd w:val="clear" w:color="auto" w:fill="FFFFFF"/>
        </w:rPr>
        <w:t> (April 1, 2017) &lt;http://penelope.uchicago.edu/~grout/encyclopaedia_romana/britannia/anglo-saxon/hastings/anglonorman.html&gt; [accessed 10 March 2018].</w:t>
      </w:r>
    </w:p>
    <w:p w14:paraId="14EA8FF2" w14:textId="77777777" w:rsidR="00243165" w:rsidRPr="00CE3AFF" w:rsidRDefault="00243165" w:rsidP="00CF2320">
      <w:pPr>
        <w:rPr>
          <w:rFonts w:ascii="Times New Roman" w:hAnsi="Times New Roman"/>
          <w:color w:val="000000"/>
          <w:sz w:val="24"/>
          <w:szCs w:val="24"/>
          <w:shd w:val="clear" w:color="auto" w:fill="FFFFFF"/>
        </w:rPr>
      </w:pPr>
    </w:p>
    <w:p w14:paraId="0F17863B" w14:textId="05A0F40F" w:rsidR="00534392" w:rsidRPr="00CE3AFF" w:rsidRDefault="00534392" w:rsidP="00CF2320">
      <w:pPr>
        <w:rPr>
          <w:rFonts w:ascii="Times New Roman" w:hAnsi="Times New Roman"/>
          <w:color w:val="000000"/>
          <w:sz w:val="24"/>
          <w:szCs w:val="24"/>
          <w:shd w:val="clear" w:color="auto" w:fill="FFFFFF"/>
        </w:rPr>
      </w:pPr>
      <w:r w:rsidRPr="00CE3AFF">
        <w:rPr>
          <w:rFonts w:ascii="Times New Roman" w:hAnsi="Times New Roman"/>
          <w:color w:val="000000"/>
          <w:sz w:val="24"/>
          <w:szCs w:val="24"/>
          <w:shd w:val="clear" w:color="auto" w:fill="FFFFFF"/>
        </w:rPr>
        <w:t xml:space="preserve">Reading Museum Service, Britain’s </w:t>
      </w:r>
      <w:r w:rsidRPr="00CE3AFF">
        <w:rPr>
          <w:rFonts w:ascii="Times New Roman" w:hAnsi="Times New Roman"/>
          <w:iCs/>
          <w:color w:val="000000"/>
          <w:sz w:val="24"/>
          <w:szCs w:val="24"/>
          <w:shd w:val="clear" w:color="auto" w:fill="FFFFFF"/>
        </w:rPr>
        <w:t>Bayeux Tapestry</w:t>
      </w:r>
      <w:r w:rsidRPr="00CE3AFF">
        <w:rPr>
          <w:rFonts w:ascii="Times New Roman" w:hAnsi="Times New Roman"/>
          <w:color w:val="000000"/>
          <w:sz w:val="24"/>
          <w:szCs w:val="24"/>
          <w:shd w:val="clear" w:color="auto" w:fill="FFFFFF"/>
        </w:rPr>
        <w:t> (2014) &lt;http://www.bayeuxtapestry.org.uk/BayeuxContents.htm&gt; [accessed 10 March 2018].</w:t>
      </w:r>
    </w:p>
    <w:p w14:paraId="0ABF9F52" w14:textId="77777777" w:rsidR="00243165" w:rsidRPr="00CE3AFF" w:rsidRDefault="00243165" w:rsidP="00CF2320">
      <w:pPr>
        <w:rPr>
          <w:rFonts w:ascii="Times New Roman" w:hAnsi="Times New Roman"/>
          <w:color w:val="000000"/>
          <w:sz w:val="24"/>
          <w:szCs w:val="24"/>
          <w:shd w:val="clear" w:color="auto" w:fill="FFFFFF"/>
        </w:rPr>
      </w:pPr>
    </w:p>
    <w:p w14:paraId="14855084" w14:textId="744FC548" w:rsidR="00534392" w:rsidRPr="00CE3AFF" w:rsidRDefault="00534392" w:rsidP="00CF2320">
      <w:pPr>
        <w:rPr>
          <w:rFonts w:ascii="Times New Roman" w:hAnsi="Times New Roman"/>
          <w:color w:val="000000"/>
          <w:sz w:val="24"/>
          <w:szCs w:val="24"/>
          <w:shd w:val="clear" w:color="auto" w:fill="FFFFFF"/>
        </w:rPr>
      </w:pPr>
      <w:r w:rsidRPr="00CE3AFF">
        <w:rPr>
          <w:rFonts w:ascii="Times New Roman" w:hAnsi="Times New Roman"/>
          <w:iCs/>
          <w:color w:val="000000"/>
          <w:sz w:val="24"/>
          <w:szCs w:val="24"/>
          <w:shd w:val="clear" w:color="auto" w:fill="FFFFFF"/>
        </w:rPr>
        <w:t>The Anglo-Saxon Chronicle</w:t>
      </w:r>
      <w:r w:rsidRPr="00CE3AFF">
        <w:rPr>
          <w:rFonts w:ascii="Times New Roman" w:hAnsi="Times New Roman"/>
          <w:color w:val="000000"/>
          <w:sz w:val="24"/>
          <w:szCs w:val="24"/>
          <w:shd w:val="clear" w:color="auto" w:fill="FFFFFF"/>
        </w:rPr>
        <w:t xml:space="preserve">, trans. by Rev. James Ingram (London, 1823), </w:t>
      </w:r>
      <w:proofErr w:type="spellStart"/>
      <w:r w:rsidRPr="00CE3AFF">
        <w:rPr>
          <w:rFonts w:ascii="Times New Roman" w:hAnsi="Times New Roman"/>
          <w:color w:val="000000"/>
          <w:sz w:val="24"/>
          <w:szCs w:val="24"/>
          <w:shd w:val="clear" w:color="auto" w:fill="FFFFFF"/>
        </w:rPr>
        <w:t>Dr.</w:t>
      </w:r>
      <w:proofErr w:type="spellEnd"/>
      <w:r w:rsidRPr="00CE3AFF">
        <w:rPr>
          <w:rFonts w:ascii="Times New Roman" w:hAnsi="Times New Roman"/>
          <w:color w:val="000000"/>
          <w:sz w:val="24"/>
          <w:szCs w:val="24"/>
          <w:shd w:val="clear" w:color="auto" w:fill="FFFFFF"/>
        </w:rPr>
        <w:t xml:space="preserve"> J.A. Giles (London, 1847). (London: Everyman Press, 1912).</w:t>
      </w:r>
    </w:p>
    <w:p w14:paraId="335059B6" w14:textId="77777777" w:rsidR="00243165" w:rsidRPr="00CE3AFF" w:rsidRDefault="00243165" w:rsidP="00CF2320">
      <w:pPr>
        <w:rPr>
          <w:rFonts w:ascii="Times New Roman" w:hAnsi="Times New Roman"/>
          <w:color w:val="000000"/>
          <w:sz w:val="24"/>
          <w:szCs w:val="24"/>
          <w:shd w:val="clear" w:color="auto" w:fill="FFFFFF"/>
        </w:rPr>
      </w:pPr>
    </w:p>
    <w:p w14:paraId="596E8B94" w14:textId="2C8E6D04" w:rsidR="00534392" w:rsidRPr="00CE3AFF" w:rsidRDefault="00534392" w:rsidP="00CF2320">
      <w:pPr>
        <w:rPr>
          <w:rFonts w:ascii="Times New Roman" w:eastAsiaTheme="minorEastAsia" w:hAnsi="Times New Roman"/>
          <w:sz w:val="24"/>
          <w:szCs w:val="24"/>
        </w:rPr>
      </w:pPr>
      <w:r w:rsidRPr="00CE3AFF">
        <w:rPr>
          <w:rFonts w:ascii="Times New Roman" w:eastAsiaTheme="minorEastAsia" w:hAnsi="Times New Roman"/>
          <w:sz w:val="24"/>
          <w:szCs w:val="24"/>
        </w:rPr>
        <w:t>Vitalis</w:t>
      </w:r>
      <w:r w:rsidRPr="00CE3AFF">
        <w:rPr>
          <w:rFonts w:ascii="Times New Roman" w:eastAsiaTheme="minorEastAsia" w:hAnsi="Times New Roman"/>
          <w:sz w:val="24"/>
          <w:szCs w:val="24"/>
        </w:rPr>
        <w:t xml:space="preserve">, </w:t>
      </w:r>
      <w:proofErr w:type="spellStart"/>
      <w:r w:rsidRPr="00CE3AFF">
        <w:rPr>
          <w:rFonts w:ascii="Times New Roman" w:eastAsiaTheme="minorEastAsia" w:hAnsi="Times New Roman"/>
          <w:sz w:val="24"/>
          <w:szCs w:val="24"/>
        </w:rPr>
        <w:t>Orderic</w:t>
      </w:r>
      <w:proofErr w:type="spellEnd"/>
      <w:r w:rsidRPr="00CE3AFF">
        <w:rPr>
          <w:rFonts w:ascii="Times New Roman" w:eastAsiaTheme="minorEastAsia" w:hAnsi="Times New Roman"/>
          <w:sz w:val="24"/>
          <w:szCs w:val="24"/>
        </w:rPr>
        <w:t xml:space="preserve">, </w:t>
      </w:r>
      <w:r w:rsidRPr="00CE3AFF">
        <w:rPr>
          <w:rFonts w:ascii="Times New Roman" w:eastAsiaTheme="minorEastAsia" w:hAnsi="Times New Roman"/>
          <w:iCs/>
          <w:sz w:val="24"/>
          <w:szCs w:val="24"/>
        </w:rPr>
        <w:t xml:space="preserve">Historia </w:t>
      </w:r>
      <w:proofErr w:type="spellStart"/>
      <w:r w:rsidRPr="00CE3AFF">
        <w:rPr>
          <w:rFonts w:ascii="Times New Roman" w:eastAsiaTheme="minorEastAsia" w:hAnsi="Times New Roman"/>
          <w:iCs/>
          <w:sz w:val="24"/>
          <w:szCs w:val="24"/>
        </w:rPr>
        <w:t>Ecclesiastica</w:t>
      </w:r>
      <w:proofErr w:type="spellEnd"/>
      <w:r w:rsidRPr="00CE3AFF">
        <w:rPr>
          <w:rFonts w:ascii="Times New Roman" w:eastAsiaTheme="minorEastAsia" w:hAnsi="Times New Roman"/>
          <w:sz w:val="24"/>
          <w:szCs w:val="24"/>
        </w:rPr>
        <w:t>, Vol II.</w:t>
      </w:r>
    </w:p>
    <w:p w14:paraId="6EF8FA62" w14:textId="77777777" w:rsidR="00243165" w:rsidRPr="00CE3AFF" w:rsidRDefault="00243165" w:rsidP="00CF2320">
      <w:pPr>
        <w:rPr>
          <w:rFonts w:ascii="Times New Roman" w:hAnsi="Times New Roman"/>
          <w:sz w:val="24"/>
          <w:szCs w:val="24"/>
        </w:rPr>
      </w:pPr>
    </w:p>
    <w:p w14:paraId="00ED8C61" w14:textId="60AA69D3" w:rsidR="00534392" w:rsidRPr="00CE3AFF" w:rsidRDefault="00534392" w:rsidP="00CF2320">
      <w:pPr>
        <w:rPr>
          <w:rFonts w:ascii="Times New Roman" w:hAnsi="Times New Roman"/>
          <w:sz w:val="24"/>
          <w:szCs w:val="24"/>
          <w:shd w:val="clear" w:color="auto" w:fill="FFFFFF"/>
        </w:rPr>
      </w:pPr>
      <w:r w:rsidRPr="00CE3AFF">
        <w:rPr>
          <w:rFonts w:ascii="Times New Roman" w:hAnsi="Times New Roman"/>
          <w:sz w:val="24"/>
          <w:szCs w:val="24"/>
          <w:shd w:val="clear" w:color="auto" w:fill="FFFFFF"/>
        </w:rPr>
        <w:lastRenderedPageBreak/>
        <w:t xml:space="preserve">William of </w:t>
      </w:r>
      <w:proofErr w:type="spellStart"/>
      <w:r w:rsidRPr="00CE3AFF">
        <w:rPr>
          <w:rFonts w:ascii="Times New Roman" w:hAnsi="Times New Roman"/>
          <w:sz w:val="24"/>
          <w:szCs w:val="24"/>
          <w:shd w:val="clear" w:color="auto" w:fill="FFFFFF"/>
        </w:rPr>
        <w:t>Malmesbury</w:t>
      </w:r>
      <w:proofErr w:type="spellEnd"/>
      <w:r w:rsidRPr="00CE3AFF">
        <w:rPr>
          <w:rFonts w:ascii="Times New Roman" w:hAnsi="Times New Roman"/>
          <w:sz w:val="24"/>
          <w:szCs w:val="24"/>
          <w:shd w:val="clear" w:color="auto" w:fill="FFFFFF"/>
        </w:rPr>
        <w:t>, </w:t>
      </w:r>
      <w:r w:rsidRPr="00CE3AFF">
        <w:rPr>
          <w:rFonts w:ascii="Times New Roman" w:hAnsi="Times New Roman"/>
          <w:sz w:val="24"/>
          <w:szCs w:val="24"/>
          <w:u w:val="single"/>
          <w:shd w:val="clear" w:color="auto" w:fill="FFFFFF"/>
        </w:rPr>
        <w:t xml:space="preserve">De </w:t>
      </w:r>
      <w:proofErr w:type="spellStart"/>
      <w:r w:rsidRPr="00CE3AFF">
        <w:rPr>
          <w:rFonts w:ascii="Times New Roman" w:hAnsi="Times New Roman"/>
          <w:sz w:val="24"/>
          <w:szCs w:val="24"/>
          <w:u w:val="single"/>
          <w:shd w:val="clear" w:color="auto" w:fill="FFFFFF"/>
        </w:rPr>
        <w:t>Gestis</w:t>
      </w:r>
      <w:proofErr w:type="spellEnd"/>
      <w:r w:rsidRPr="00CE3AFF">
        <w:rPr>
          <w:rFonts w:ascii="Times New Roman" w:hAnsi="Times New Roman"/>
          <w:sz w:val="24"/>
          <w:szCs w:val="24"/>
          <w:u w:val="single"/>
          <w:shd w:val="clear" w:color="auto" w:fill="FFFFFF"/>
        </w:rPr>
        <w:t xml:space="preserve"> </w:t>
      </w:r>
      <w:proofErr w:type="spellStart"/>
      <w:r w:rsidRPr="00CE3AFF">
        <w:rPr>
          <w:rFonts w:ascii="Times New Roman" w:hAnsi="Times New Roman"/>
          <w:sz w:val="24"/>
          <w:szCs w:val="24"/>
          <w:u w:val="single"/>
          <w:shd w:val="clear" w:color="auto" w:fill="FFFFFF"/>
        </w:rPr>
        <w:t>Regum</w:t>
      </w:r>
      <w:proofErr w:type="spellEnd"/>
      <w:r w:rsidRPr="00CE3AFF">
        <w:rPr>
          <w:rFonts w:ascii="Times New Roman" w:hAnsi="Times New Roman"/>
          <w:sz w:val="24"/>
          <w:szCs w:val="24"/>
          <w:u w:val="single"/>
          <w:shd w:val="clear" w:color="auto" w:fill="FFFFFF"/>
        </w:rPr>
        <w:t xml:space="preserve"> </w:t>
      </w:r>
      <w:proofErr w:type="spellStart"/>
      <w:r w:rsidRPr="00CE3AFF">
        <w:rPr>
          <w:rFonts w:ascii="Times New Roman" w:hAnsi="Times New Roman"/>
          <w:sz w:val="24"/>
          <w:szCs w:val="24"/>
          <w:u w:val="single"/>
          <w:shd w:val="clear" w:color="auto" w:fill="FFFFFF"/>
        </w:rPr>
        <w:t>Anglorum</w:t>
      </w:r>
      <w:proofErr w:type="spellEnd"/>
      <w:r w:rsidRPr="00CE3AFF">
        <w:rPr>
          <w:rFonts w:ascii="Times New Roman" w:hAnsi="Times New Roman"/>
          <w:sz w:val="24"/>
          <w:szCs w:val="24"/>
          <w:shd w:val="clear" w:color="auto" w:fill="FFFFFF"/>
        </w:rPr>
        <w:t>, ed. R. Stubbs (London, 1887-9)</w:t>
      </w:r>
    </w:p>
    <w:p w14:paraId="04AAB6F9" w14:textId="77777777" w:rsidR="00243165" w:rsidRPr="00CE3AFF" w:rsidRDefault="00243165" w:rsidP="00CF2320">
      <w:pPr>
        <w:rPr>
          <w:rFonts w:ascii="Times New Roman" w:hAnsi="Times New Roman"/>
          <w:sz w:val="24"/>
          <w:szCs w:val="24"/>
          <w:shd w:val="clear" w:color="auto" w:fill="FFFFFF"/>
        </w:rPr>
      </w:pPr>
    </w:p>
    <w:p w14:paraId="5B31F647" w14:textId="243A107A" w:rsidR="00081382" w:rsidRPr="00CE3AFF" w:rsidRDefault="00CF2320" w:rsidP="00EE55C9">
      <w:pPr>
        <w:rPr>
          <w:rFonts w:ascii="Times New Roman" w:hAnsi="Times New Roman"/>
          <w:sz w:val="24"/>
          <w:szCs w:val="24"/>
        </w:rPr>
      </w:pPr>
      <w:r w:rsidRPr="00CE3AFF">
        <w:rPr>
          <w:rFonts w:ascii="Times New Roman" w:hAnsi="Times New Roman"/>
          <w:sz w:val="24"/>
          <w:szCs w:val="24"/>
        </w:rPr>
        <w:t>Secondary Sources</w:t>
      </w:r>
    </w:p>
    <w:p w14:paraId="132FB315" w14:textId="77777777" w:rsidR="00983070" w:rsidRPr="00CE3AFF" w:rsidRDefault="00983070" w:rsidP="00EE55C9">
      <w:pPr>
        <w:pStyle w:val="FootnoteText"/>
        <w:rPr>
          <w:rFonts w:ascii="Times New Roman" w:hAnsi="Times New Roman" w:cs="Times New Roman"/>
          <w:sz w:val="24"/>
          <w:szCs w:val="24"/>
        </w:rPr>
      </w:pPr>
    </w:p>
    <w:p w14:paraId="27F5D59E" w14:textId="01FDAB1A" w:rsidR="00983070" w:rsidRPr="00CE3AFF" w:rsidRDefault="00983070" w:rsidP="00CF2320">
      <w:pPr>
        <w:rPr>
          <w:rFonts w:ascii="Times New Roman" w:hAnsi="Times New Roman"/>
          <w:color w:val="000000"/>
          <w:sz w:val="24"/>
          <w:szCs w:val="24"/>
          <w:shd w:val="clear" w:color="auto" w:fill="FFFFFF"/>
        </w:rPr>
      </w:pPr>
      <w:r w:rsidRPr="00CE3AFF">
        <w:rPr>
          <w:rFonts w:ascii="Times New Roman" w:hAnsi="Times New Roman"/>
          <w:color w:val="000000"/>
          <w:sz w:val="24"/>
          <w:szCs w:val="24"/>
          <w:shd w:val="clear" w:color="auto" w:fill="FFFFFF"/>
        </w:rPr>
        <w:t>California State University, </w:t>
      </w:r>
      <w:r w:rsidRPr="00CE3AFF">
        <w:rPr>
          <w:rFonts w:ascii="Times New Roman" w:hAnsi="Times New Roman"/>
          <w:iCs/>
          <w:color w:val="000000"/>
          <w:sz w:val="24"/>
          <w:szCs w:val="24"/>
          <w:shd w:val="clear" w:color="auto" w:fill="FFFFFF"/>
        </w:rPr>
        <w:t>Chapter 5. Middle English</w:t>
      </w:r>
      <w:r w:rsidRPr="00CE3AFF">
        <w:rPr>
          <w:rFonts w:ascii="Times New Roman" w:hAnsi="Times New Roman"/>
          <w:color w:val="000000"/>
          <w:sz w:val="24"/>
          <w:szCs w:val="24"/>
          <w:shd w:val="clear" w:color="auto" w:fill="FFFFFF"/>
        </w:rPr>
        <w:t> (2013) &lt;</w:t>
      </w:r>
      <w:r w:rsidRPr="00CE3AFF">
        <w:rPr>
          <w:rFonts w:ascii="Times New Roman" w:hAnsi="Times New Roman"/>
          <w:color w:val="444444"/>
          <w:sz w:val="24"/>
          <w:szCs w:val="24"/>
          <w:shd w:val="clear" w:color="auto" w:fill="151515"/>
        </w:rPr>
        <w:t xml:space="preserve"> </w:t>
      </w:r>
      <w:r w:rsidRPr="00CE3AFF">
        <w:rPr>
          <w:rFonts w:ascii="Times New Roman" w:hAnsi="Times New Roman"/>
          <w:sz w:val="24"/>
          <w:szCs w:val="24"/>
        </w:rPr>
        <w:t>http://www.csun.edu/~sk36711/WWW/engl400/me1.pdf</w:t>
      </w:r>
      <w:r w:rsidRPr="00CE3AFF">
        <w:rPr>
          <w:rFonts w:ascii="Times New Roman" w:hAnsi="Times New Roman"/>
          <w:sz w:val="24"/>
          <w:szCs w:val="24"/>
          <w:shd w:val="clear" w:color="auto" w:fill="FFFFFF"/>
        </w:rPr>
        <w:t xml:space="preserve"> </w:t>
      </w:r>
      <w:r w:rsidRPr="00CE3AFF">
        <w:rPr>
          <w:rFonts w:ascii="Times New Roman" w:hAnsi="Times New Roman"/>
          <w:color w:val="000000"/>
          <w:sz w:val="24"/>
          <w:szCs w:val="24"/>
          <w:shd w:val="clear" w:color="auto" w:fill="FFFFFF"/>
        </w:rPr>
        <w:t>&gt; [accessed 10 March 2018].</w:t>
      </w:r>
    </w:p>
    <w:p w14:paraId="7B99C541" w14:textId="77777777" w:rsidR="00983070" w:rsidRPr="00CE3AFF" w:rsidRDefault="00983070" w:rsidP="00CF2320">
      <w:pPr>
        <w:rPr>
          <w:rFonts w:ascii="Times New Roman" w:hAnsi="Times New Roman"/>
          <w:sz w:val="24"/>
          <w:szCs w:val="24"/>
        </w:rPr>
      </w:pPr>
    </w:p>
    <w:p w14:paraId="1D10CF97" w14:textId="77777777" w:rsidR="00983070" w:rsidRPr="00CE3AFF" w:rsidRDefault="00983070" w:rsidP="00EE55C9">
      <w:pPr>
        <w:pStyle w:val="FootnoteText"/>
        <w:rPr>
          <w:rFonts w:ascii="Times New Roman" w:hAnsi="Times New Roman" w:cs="Times New Roman"/>
          <w:sz w:val="24"/>
          <w:szCs w:val="24"/>
        </w:rPr>
      </w:pPr>
      <w:r w:rsidRPr="00CE3AFF">
        <w:rPr>
          <w:rFonts w:ascii="Times New Roman" w:hAnsi="Times New Roman" w:cs="Times New Roman"/>
          <w:sz w:val="24"/>
          <w:szCs w:val="24"/>
        </w:rPr>
        <w:t xml:space="preserve">Camden, William, </w:t>
      </w:r>
      <w:r w:rsidRPr="00CE3AFF">
        <w:rPr>
          <w:rFonts w:ascii="Times New Roman" w:hAnsi="Times New Roman" w:cs="Times New Roman"/>
          <w:iCs/>
          <w:sz w:val="24"/>
          <w:szCs w:val="24"/>
        </w:rPr>
        <w:t xml:space="preserve">Britain, or a </w:t>
      </w:r>
      <w:proofErr w:type="spellStart"/>
      <w:r w:rsidRPr="00CE3AFF">
        <w:rPr>
          <w:rFonts w:ascii="Times New Roman" w:hAnsi="Times New Roman" w:cs="Times New Roman"/>
          <w:iCs/>
          <w:sz w:val="24"/>
          <w:szCs w:val="24"/>
        </w:rPr>
        <w:t>Chorographicall</w:t>
      </w:r>
      <w:proofErr w:type="spellEnd"/>
      <w:r w:rsidRPr="00CE3AFF">
        <w:rPr>
          <w:rFonts w:ascii="Times New Roman" w:hAnsi="Times New Roman" w:cs="Times New Roman"/>
          <w:iCs/>
          <w:sz w:val="24"/>
          <w:szCs w:val="24"/>
        </w:rPr>
        <w:t xml:space="preserve"> description of the Most Flourishing </w:t>
      </w:r>
      <w:proofErr w:type="spellStart"/>
      <w:r w:rsidRPr="00CE3AFF">
        <w:rPr>
          <w:rFonts w:ascii="Times New Roman" w:hAnsi="Times New Roman" w:cs="Times New Roman"/>
          <w:iCs/>
          <w:sz w:val="24"/>
          <w:szCs w:val="24"/>
        </w:rPr>
        <w:t>Kingdomes</w:t>
      </w:r>
      <w:proofErr w:type="spellEnd"/>
      <w:r w:rsidRPr="00CE3AFF">
        <w:rPr>
          <w:rFonts w:ascii="Times New Roman" w:hAnsi="Times New Roman" w:cs="Times New Roman"/>
          <w:iCs/>
          <w:sz w:val="24"/>
          <w:szCs w:val="24"/>
        </w:rPr>
        <w:t>, England, Scotland, and Irelan</w:t>
      </w:r>
      <w:r w:rsidRPr="00CE3AFF">
        <w:rPr>
          <w:rFonts w:ascii="Times New Roman" w:hAnsi="Times New Roman" w:cs="Times New Roman"/>
          <w:sz w:val="24"/>
          <w:szCs w:val="24"/>
        </w:rPr>
        <w:t>d, trans. Philemon Holland (London, 1610)</w:t>
      </w:r>
    </w:p>
    <w:p w14:paraId="26255A15" w14:textId="77777777" w:rsidR="00983070" w:rsidRPr="00CE3AFF" w:rsidRDefault="00983070" w:rsidP="00081382">
      <w:pPr>
        <w:rPr>
          <w:rFonts w:ascii="Times New Roman" w:hAnsi="Times New Roman"/>
          <w:color w:val="000000"/>
          <w:sz w:val="24"/>
          <w:szCs w:val="24"/>
          <w:shd w:val="clear" w:color="auto" w:fill="FFFFFF"/>
        </w:rPr>
      </w:pPr>
    </w:p>
    <w:p w14:paraId="28F88862" w14:textId="6194D7BD" w:rsidR="00983070" w:rsidRPr="00CE3AFF" w:rsidRDefault="00983070" w:rsidP="00081382">
      <w:pPr>
        <w:rPr>
          <w:rFonts w:ascii="Times New Roman" w:hAnsi="Times New Roman"/>
          <w:sz w:val="24"/>
          <w:szCs w:val="24"/>
        </w:rPr>
      </w:pPr>
      <w:r w:rsidRPr="00CE3AFF">
        <w:rPr>
          <w:rFonts w:ascii="Times New Roman" w:hAnsi="Times New Roman"/>
          <w:color w:val="000000"/>
          <w:sz w:val="24"/>
          <w:szCs w:val="24"/>
          <w:shd w:val="clear" w:color="auto" w:fill="FFFFFF"/>
        </w:rPr>
        <w:t>Golding, Brian, 'Chapter 4: Settlement and Colonisation', in </w:t>
      </w:r>
      <w:r w:rsidRPr="00CE3AFF">
        <w:rPr>
          <w:rFonts w:ascii="Times New Roman" w:hAnsi="Times New Roman"/>
          <w:iCs/>
          <w:color w:val="000000"/>
          <w:sz w:val="24"/>
          <w:szCs w:val="24"/>
          <w:shd w:val="clear" w:color="auto" w:fill="FFFFFF"/>
        </w:rPr>
        <w:t>Conquest and Colonisation: The Normans in Britain. 1066-1100</w:t>
      </w:r>
      <w:r w:rsidRPr="00CE3AFF">
        <w:rPr>
          <w:rFonts w:ascii="Times New Roman" w:hAnsi="Times New Roman"/>
          <w:color w:val="000000"/>
          <w:sz w:val="24"/>
          <w:szCs w:val="24"/>
          <w:shd w:val="clear" w:color="auto" w:fill="FFFFFF"/>
        </w:rPr>
        <w:t xml:space="preserve">, ed. by Jeremy Black, 2nd </w:t>
      </w:r>
      <w:proofErr w:type="spellStart"/>
      <w:r w:rsidRPr="00CE3AFF">
        <w:rPr>
          <w:rFonts w:ascii="Times New Roman" w:hAnsi="Times New Roman"/>
          <w:color w:val="000000"/>
          <w:sz w:val="24"/>
          <w:szCs w:val="24"/>
          <w:shd w:val="clear" w:color="auto" w:fill="FFFFFF"/>
        </w:rPr>
        <w:t>edn</w:t>
      </w:r>
      <w:proofErr w:type="spellEnd"/>
      <w:r w:rsidRPr="00CE3AFF">
        <w:rPr>
          <w:rFonts w:ascii="Times New Roman" w:hAnsi="Times New Roman"/>
          <w:color w:val="000000"/>
          <w:sz w:val="24"/>
          <w:szCs w:val="24"/>
          <w:shd w:val="clear" w:color="auto" w:fill="FFFFFF"/>
        </w:rPr>
        <w:t>. (Basingstoke: Palgrave MacMillan, 2013), p. 54-84</w:t>
      </w:r>
    </w:p>
    <w:p w14:paraId="3010CE19" w14:textId="77777777" w:rsidR="00081382" w:rsidRPr="00791402" w:rsidRDefault="00081382" w:rsidP="00EE55C9">
      <w:pPr>
        <w:rPr>
          <w:rFonts w:ascii="Times New Roman" w:hAnsi="Times New Roman"/>
          <w:sz w:val="24"/>
          <w:szCs w:val="24"/>
        </w:rPr>
      </w:pPr>
    </w:p>
    <w:sectPr w:rsidR="00081382" w:rsidRPr="007914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D0E7EE" w14:textId="77777777" w:rsidR="00730513" w:rsidRDefault="00730513" w:rsidP="0088440A">
      <w:pPr>
        <w:spacing w:after="0" w:line="240" w:lineRule="auto"/>
      </w:pPr>
      <w:r>
        <w:separator/>
      </w:r>
    </w:p>
  </w:endnote>
  <w:endnote w:type="continuationSeparator" w:id="0">
    <w:p w14:paraId="17798A53" w14:textId="77777777" w:rsidR="00730513" w:rsidRDefault="00730513" w:rsidP="00884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774F31" w14:textId="77777777" w:rsidR="00730513" w:rsidRDefault="00730513" w:rsidP="0088440A">
      <w:pPr>
        <w:spacing w:after="0" w:line="240" w:lineRule="auto"/>
      </w:pPr>
      <w:r>
        <w:separator/>
      </w:r>
    </w:p>
  </w:footnote>
  <w:footnote w:type="continuationSeparator" w:id="0">
    <w:p w14:paraId="3AB2575E" w14:textId="77777777" w:rsidR="00730513" w:rsidRDefault="00730513" w:rsidP="0088440A">
      <w:pPr>
        <w:spacing w:after="0" w:line="240" w:lineRule="auto"/>
      </w:pPr>
      <w:r>
        <w:continuationSeparator/>
      </w:r>
    </w:p>
  </w:footnote>
  <w:footnote w:id="1">
    <w:p w14:paraId="640A27B5" w14:textId="77777777" w:rsidR="0088440A" w:rsidRPr="0088440A" w:rsidRDefault="0088440A" w:rsidP="0088440A">
      <w:pPr>
        <w:pStyle w:val="FootnoteText"/>
        <w:rPr>
          <w:rFonts w:ascii="Times New Roman" w:hAnsi="Times New Roman" w:cs="Times New Roman"/>
        </w:rPr>
      </w:pPr>
      <w:r w:rsidRPr="0088440A">
        <w:rPr>
          <w:rStyle w:val="FootnoteReference"/>
          <w:rFonts w:ascii="Times New Roman" w:hAnsi="Times New Roman" w:cs="Times New Roman"/>
        </w:rPr>
        <w:footnoteRef/>
      </w:r>
      <w:r w:rsidRPr="0088440A">
        <w:rPr>
          <w:rFonts w:ascii="Times New Roman" w:hAnsi="Times New Roman" w:cs="Times New Roman"/>
        </w:rPr>
        <w:t xml:space="preserve"> </w:t>
      </w:r>
      <w:r w:rsidRPr="0088440A">
        <w:rPr>
          <w:rFonts w:ascii="Times New Roman" w:hAnsi="Times New Roman" w:cs="Times New Roman"/>
          <w:i/>
          <w:iCs/>
          <w:color w:val="000000"/>
          <w:shd w:val="clear" w:color="auto" w:fill="FFFFFF"/>
        </w:rPr>
        <w:t>Anglo-Norman Historians: The Anglo-Saxon Chronicle</w:t>
      </w:r>
      <w:r w:rsidRPr="0088440A">
        <w:rPr>
          <w:rFonts w:ascii="Times New Roman" w:hAnsi="Times New Roman" w:cs="Times New Roman"/>
          <w:color w:val="000000"/>
          <w:shd w:val="clear" w:color="auto" w:fill="FFFFFF"/>
        </w:rPr>
        <w:t> (April 1, 2017) &lt;http://penelope.uchicago.edu/~grout/encyclopaedia_romana/britannia/anglo-saxon/hastings/anglonorman.html&gt; [accessed 10 March 2018].</w:t>
      </w:r>
    </w:p>
  </w:footnote>
  <w:footnote w:id="2">
    <w:p w14:paraId="74A24110" w14:textId="77777777" w:rsidR="0088440A" w:rsidRPr="0088440A" w:rsidRDefault="0088440A" w:rsidP="0088440A">
      <w:pPr>
        <w:pStyle w:val="FootnoteText"/>
        <w:rPr>
          <w:rFonts w:ascii="Times New Roman" w:hAnsi="Times New Roman" w:cs="Times New Roman"/>
        </w:rPr>
      </w:pPr>
      <w:r w:rsidRPr="0088440A">
        <w:rPr>
          <w:rStyle w:val="FootnoteReference"/>
          <w:rFonts w:ascii="Times New Roman" w:hAnsi="Times New Roman" w:cs="Times New Roman"/>
        </w:rPr>
        <w:footnoteRef/>
      </w:r>
      <w:r w:rsidRPr="0088440A">
        <w:rPr>
          <w:rFonts w:ascii="Times New Roman" w:hAnsi="Times New Roman" w:cs="Times New Roman"/>
        </w:rPr>
        <w:t xml:space="preserve"> </w:t>
      </w:r>
      <w:r w:rsidRPr="0088440A">
        <w:rPr>
          <w:rFonts w:ascii="Times New Roman" w:hAnsi="Times New Roman" w:cs="Times New Roman"/>
          <w:i/>
          <w:iCs/>
          <w:color w:val="000000"/>
          <w:shd w:val="clear" w:color="auto" w:fill="FFFFFF"/>
        </w:rPr>
        <w:t>Anglo-Norman Historians: The Anglo-Saxon Chronicle</w:t>
      </w:r>
      <w:r w:rsidRPr="0088440A">
        <w:rPr>
          <w:rFonts w:ascii="Times New Roman" w:hAnsi="Times New Roman" w:cs="Times New Roman"/>
          <w:color w:val="000000"/>
          <w:shd w:val="clear" w:color="auto" w:fill="FFFFFF"/>
        </w:rPr>
        <w:t xml:space="preserve"> (April 1, 2017) </w:t>
      </w:r>
    </w:p>
  </w:footnote>
  <w:footnote w:id="3">
    <w:p w14:paraId="0FA6FBC0" w14:textId="77777777" w:rsidR="0088440A" w:rsidRPr="0088440A" w:rsidRDefault="0088440A" w:rsidP="0088440A">
      <w:pPr>
        <w:pStyle w:val="FootnoteText"/>
        <w:rPr>
          <w:rFonts w:ascii="Times New Roman" w:hAnsi="Times New Roman" w:cs="Times New Roman"/>
        </w:rPr>
      </w:pPr>
      <w:r w:rsidRPr="0088440A">
        <w:rPr>
          <w:rStyle w:val="FootnoteReference"/>
          <w:rFonts w:ascii="Times New Roman" w:hAnsi="Times New Roman" w:cs="Times New Roman"/>
        </w:rPr>
        <w:footnoteRef/>
      </w:r>
      <w:r w:rsidRPr="0088440A">
        <w:rPr>
          <w:rFonts w:ascii="Times New Roman" w:hAnsi="Times New Roman" w:cs="Times New Roman"/>
        </w:rPr>
        <w:t xml:space="preserve"> </w:t>
      </w:r>
      <w:r w:rsidRPr="0088440A">
        <w:rPr>
          <w:rFonts w:ascii="Times New Roman" w:hAnsi="Times New Roman" w:cs="Times New Roman"/>
          <w:i/>
          <w:iCs/>
          <w:color w:val="000000"/>
          <w:shd w:val="clear" w:color="auto" w:fill="FFFFFF"/>
        </w:rPr>
        <w:t>Anglo-Norman Historians: The Anglo-Saxon Chronicle</w:t>
      </w:r>
      <w:r w:rsidRPr="0088440A">
        <w:rPr>
          <w:rFonts w:ascii="Times New Roman" w:hAnsi="Times New Roman" w:cs="Times New Roman"/>
          <w:color w:val="000000"/>
          <w:shd w:val="clear" w:color="auto" w:fill="FFFFFF"/>
        </w:rPr>
        <w:t> (April 1, 2017)</w:t>
      </w:r>
    </w:p>
  </w:footnote>
  <w:footnote w:id="4">
    <w:p w14:paraId="1414AED3" w14:textId="77777777" w:rsidR="0088440A" w:rsidRDefault="0088440A" w:rsidP="0088440A">
      <w:pPr>
        <w:pStyle w:val="FootnoteText"/>
      </w:pPr>
      <w:r w:rsidRPr="0088440A">
        <w:rPr>
          <w:rStyle w:val="FootnoteReference"/>
          <w:rFonts w:ascii="Times New Roman" w:hAnsi="Times New Roman" w:cs="Times New Roman"/>
        </w:rPr>
        <w:footnoteRef/>
      </w:r>
      <w:r w:rsidRPr="0088440A">
        <w:rPr>
          <w:rFonts w:ascii="Times New Roman" w:hAnsi="Times New Roman" w:cs="Times New Roman"/>
        </w:rPr>
        <w:t xml:space="preserve"> </w:t>
      </w:r>
      <w:r w:rsidRPr="0088440A">
        <w:rPr>
          <w:rFonts w:ascii="Times New Roman" w:hAnsi="Times New Roman" w:cs="Times New Roman"/>
          <w:i/>
          <w:iCs/>
          <w:color w:val="000000"/>
          <w:shd w:val="clear" w:color="auto" w:fill="FFFFFF"/>
        </w:rPr>
        <w:t>Anglo-Norman Historians: The Anglo-Saxon Chronicle</w:t>
      </w:r>
      <w:r w:rsidRPr="0088440A">
        <w:rPr>
          <w:rFonts w:ascii="Times New Roman" w:hAnsi="Times New Roman" w:cs="Times New Roman"/>
          <w:color w:val="000000"/>
          <w:shd w:val="clear" w:color="auto" w:fill="FFFFFF"/>
        </w:rPr>
        <w:t> (April 1, 2017)</w:t>
      </w:r>
    </w:p>
  </w:footnote>
  <w:footnote w:id="5">
    <w:p w14:paraId="5BCB10FF" w14:textId="77777777" w:rsidR="006024C6" w:rsidRPr="00CE3AFF" w:rsidRDefault="006024C6" w:rsidP="006024C6">
      <w:pPr>
        <w:pStyle w:val="FootnoteText"/>
        <w:rPr>
          <w:rFonts w:ascii="Times New Roman" w:hAnsi="Times New Roman" w:cs="Times New Roman"/>
        </w:rPr>
      </w:pPr>
      <w:r w:rsidRPr="00CE3AFF">
        <w:rPr>
          <w:rStyle w:val="FootnoteReference"/>
          <w:rFonts w:ascii="Times New Roman" w:hAnsi="Times New Roman" w:cs="Times New Roman"/>
        </w:rPr>
        <w:footnoteRef/>
      </w:r>
      <w:r w:rsidRPr="00CE3AFF">
        <w:rPr>
          <w:rFonts w:ascii="Times New Roman" w:hAnsi="Times New Roman" w:cs="Times New Roman"/>
        </w:rPr>
        <w:t xml:space="preserve"> </w:t>
      </w:r>
      <w:r w:rsidRPr="00CE3AFF">
        <w:rPr>
          <w:rFonts w:ascii="Times New Roman" w:hAnsi="Times New Roman" w:cs="Times New Roman"/>
          <w:color w:val="000000"/>
          <w:shd w:val="clear" w:color="auto" w:fill="FFFFFF"/>
        </w:rPr>
        <w:t>California State University, </w:t>
      </w:r>
      <w:r w:rsidRPr="00CE3AFF">
        <w:rPr>
          <w:rFonts w:ascii="Times New Roman" w:hAnsi="Times New Roman" w:cs="Times New Roman"/>
          <w:i/>
          <w:iCs/>
          <w:color w:val="000000"/>
          <w:shd w:val="clear" w:color="auto" w:fill="FFFFFF"/>
        </w:rPr>
        <w:t xml:space="preserve">Chapter 5. Middle English: </w:t>
      </w:r>
      <w:r w:rsidRPr="00CE3AFF">
        <w:rPr>
          <w:rFonts w:ascii="Times New Roman" w:hAnsi="Times New Roman" w:cs="Times New Roman"/>
          <w:color w:val="000000"/>
          <w:shd w:val="clear" w:color="auto" w:fill="FFFFFF"/>
        </w:rPr>
        <w:t>(2013) &lt;https://thenormanconquestofengland.weebly.com/sources.html&gt; [accessed 10 March 2018].</w:t>
      </w:r>
    </w:p>
  </w:footnote>
  <w:footnote w:id="6">
    <w:p w14:paraId="1857FCA7" w14:textId="77777777" w:rsidR="006024C6" w:rsidRPr="00CE3AFF" w:rsidRDefault="006024C6" w:rsidP="006024C6">
      <w:pPr>
        <w:rPr>
          <w:rFonts w:ascii="Times New Roman" w:hAnsi="Times New Roman"/>
          <w:sz w:val="20"/>
          <w:szCs w:val="20"/>
        </w:rPr>
      </w:pPr>
      <w:r w:rsidRPr="00CE3AFF">
        <w:rPr>
          <w:rStyle w:val="FootnoteReference"/>
          <w:rFonts w:ascii="Times New Roman" w:hAnsi="Times New Roman"/>
          <w:sz w:val="20"/>
          <w:szCs w:val="20"/>
        </w:rPr>
        <w:footnoteRef/>
      </w:r>
      <w:r w:rsidRPr="00CE3AFF">
        <w:rPr>
          <w:rFonts w:ascii="Times New Roman" w:hAnsi="Times New Roman"/>
          <w:sz w:val="20"/>
          <w:szCs w:val="20"/>
        </w:rPr>
        <w:t xml:space="preserve"> </w:t>
      </w:r>
      <w:r w:rsidRPr="00CE3AFF">
        <w:rPr>
          <w:rFonts w:ascii="Times New Roman" w:hAnsi="Times New Roman"/>
          <w:color w:val="000000"/>
          <w:sz w:val="20"/>
          <w:szCs w:val="20"/>
          <w:shd w:val="clear" w:color="auto" w:fill="FFFFFF"/>
        </w:rPr>
        <w:t>C.S.U, </w:t>
      </w:r>
      <w:r w:rsidRPr="00CE3AFF">
        <w:rPr>
          <w:rFonts w:ascii="Times New Roman" w:hAnsi="Times New Roman"/>
          <w:i/>
          <w:iCs/>
          <w:color w:val="000000"/>
          <w:sz w:val="20"/>
          <w:szCs w:val="20"/>
          <w:shd w:val="clear" w:color="auto" w:fill="FFFFFF"/>
        </w:rPr>
        <w:t>Chapter 5. Middle English:</w:t>
      </w:r>
      <w:r w:rsidRPr="00CE3AFF">
        <w:rPr>
          <w:rFonts w:ascii="Times New Roman" w:hAnsi="Times New Roman"/>
          <w:sz w:val="20"/>
          <w:szCs w:val="20"/>
        </w:rPr>
        <w:t xml:space="preserve"> Robert of Gloucester’s Chronicle (Southern dialect, c. 1300)</w:t>
      </w:r>
      <w:r w:rsidRPr="00CE3AFF">
        <w:rPr>
          <w:rFonts w:ascii="Times New Roman" w:hAnsi="Times New Roman"/>
          <w:i/>
          <w:iCs/>
          <w:color w:val="000000"/>
          <w:sz w:val="20"/>
          <w:szCs w:val="20"/>
          <w:shd w:val="clear" w:color="auto" w:fill="FFFFFF"/>
        </w:rPr>
        <w:t xml:space="preserve"> </w:t>
      </w:r>
      <w:r w:rsidRPr="00CE3AFF">
        <w:rPr>
          <w:rFonts w:ascii="Times New Roman" w:hAnsi="Times New Roman"/>
          <w:color w:val="000000"/>
          <w:sz w:val="20"/>
          <w:szCs w:val="20"/>
          <w:shd w:val="clear" w:color="auto" w:fill="FFFFFF"/>
        </w:rPr>
        <w:t>(2013)</w:t>
      </w:r>
    </w:p>
  </w:footnote>
  <w:footnote w:id="7">
    <w:p w14:paraId="77CF502E" w14:textId="77777777" w:rsidR="0066095A" w:rsidRDefault="0066095A" w:rsidP="0066095A">
      <w:pPr>
        <w:pStyle w:val="FootnoteText"/>
      </w:pPr>
      <w:r w:rsidRPr="00CE3AFF">
        <w:rPr>
          <w:rStyle w:val="FootnoteReference"/>
          <w:rFonts w:ascii="Times New Roman" w:hAnsi="Times New Roman" w:cs="Times New Roman"/>
        </w:rPr>
        <w:footnoteRef/>
      </w:r>
      <w:r w:rsidRPr="00CE3AFF">
        <w:rPr>
          <w:rFonts w:ascii="Times New Roman" w:hAnsi="Times New Roman" w:cs="Times New Roman"/>
        </w:rPr>
        <w:t xml:space="preserve"> William Camden, </w:t>
      </w:r>
      <w:r w:rsidRPr="00CE3AFF">
        <w:rPr>
          <w:rFonts w:ascii="Times New Roman" w:hAnsi="Times New Roman" w:cs="Times New Roman"/>
          <w:i/>
          <w:iCs/>
        </w:rPr>
        <w:t xml:space="preserve">Britain, or a </w:t>
      </w:r>
      <w:proofErr w:type="spellStart"/>
      <w:r w:rsidRPr="00CE3AFF">
        <w:rPr>
          <w:rFonts w:ascii="Times New Roman" w:hAnsi="Times New Roman" w:cs="Times New Roman"/>
          <w:i/>
          <w:iCs/>
        </w:rPr>
        <w:t>Chorographicall</w:t>
      </w:r>
      <w:proofErr w:type="spellEnd"/>
      <w:r w:rsidRPr="00CE3AFF">
        <w:rPr>
          <w:rFonts w:ascii="Times New Roman" w:hAnsi="Times New Roman" w:cs="Times New Roman"/>
          <w:i/>
          <w:iCs/>
        </w:rPr>
        <w:t xml:space="preserve"> description of the Most Flourishing </w:t>
      </w:r>
      <w:proofErr w:type="spellStart"/>
      <w:r w:rsidRPr="00CE3AFF">
        <w:rPr>
          <w:rFonts w:ascii="Times New Roman" w:hAnsi="Times New Roman" w:cs="Times New Roman"/>
          <w:i/>
          <w:iCs/>
        </w:rPr>
        <w:t>Kingdomes</w:t>
      </w:r>
      <w:proofErr w:type="spellEnd"/>
      <w:r w:rsidRPr="00CE3AFF">
        <w:rPr>
          <w:rFonts w:ascii="Times New Roman" w:hAnsi="Times New Roman" w:cs="Times New Roman"/>
          <w:i/>
          <w:iCs/>
        </w:rPr>
        <w:t>, England, Scotland, and Irelan</w:t>
      </w:r>
      <w:r w:rsidRPr="00CE3AFF">
        <w:rPr>
          <w:rFonts w:ascii="Times New Roman" w:hAnsi="Times New Roman" w:cs="Times New Roman"/>
        </w:rPr>
        <w:t>d, trans. Philemon Holland (London, 1610), p.152</w:t>
      </w:r>
    </w:p>
  </w:footnote>
  <w:footnote w:id="8">
    <w:p w14:paraId="6743F24A" w14:textId="77777777" w:rsidR="0066095A" w:rsidRPr="00CE3AFF" w:rsidRDefault="0066095A" w:rsidP="0066095A">
      <w:pPr>
        <w:pStyle w:val="FootnoteText"/>
        <w:rPr>
          <w:rFonts w:ascii="Times New Roman" w:hAnsi="Times New Roman" w:cs="Times New Roman"/>
        </w:rPr>
      </w:pPr>
      <w:r w:rsidRPr="00CE3AFF">
        <w:rPr>
          <w:rStyle w:val="FootnoteReference"/>
          <w:rFonts w:ascii="Times New Roman" w:hAnsi="Times New Roman" w:cs="Times New Roman"/>
        </w:rPr>
        <w:footnoteRef/>
      </w:r>
      <w:r w:rsidRPr="00CE3AFF">
        <w:rPr>
          <w:rFonts w:ascii="Times New Roman" w:hAnsi="Times New Roman" w:cs="Times New Roman"/>
        </w:rPr>
        <w:t xml:space="preserve"> </w:t>
      </w:r>
      <w:proofErr w:type="spellStart"/>
      <w:r w:rsidRPr="00CE3AFF">
        <w:rPr>
          <w:rFonts w:ascii="Times New Roman" w:hAnsi="Times New Roman" w:cs="Times New Roman"/>
        </w:rPr>
        <w:t>Orderic</w:t>
      </w:r>
      <w:proofErr w:type="spellEnd"/>
      <w:r w:rsidRPr="00CE3AFF">
        <w:rPr>
          <w:rFonts w:ascii="Times New Roman" w:hAnsi="Times New Roman" w:cs="Times New Roman"/>
        </w:rPr>
        <w:t xml:space="preserve"> Vitalis, </w:t>
      </w:r>
      <w:r w:rsidRPr="00CE3AFF">
        <w:rPr>
          <w:rFonts w:ascii="Times New Roman" w:hAnsi="Times New Roman" w:cs="Times New Roman"/>
          <w:i/>
          <w:iCs/>
        </w:rPr>
        <w:t xml:space="preserve">Historia </w:t>
      </w:r>
      <w:proofErr w:type="spellStart"/>
      <w:r w:rsidRPr="00CE3AFF">
        <w:rPr>
          <w:rFonts w:ascii="Times New Roman" w:hAnsi="Times New Roman" w:cs="Times New Roman"/>
          <w:i/>
          <w:iCs/>
        </w:rPr>
        <w:t>Ecclesiastica</w:t>
      </w:r>
      <w:proofErr w:type="spellEnd"/>
      <w:r w:rsidRPr="00CE3AFF">
        <w:rPr>
          <w:rFonts w:ascii="Times New Roman" w:hAnsi="Times New Roman" w:cs="Times New Roman"/>
        </w:rPr>
        <w:t>, Vol II, pp. 202-3</w:t>
      </w:r>
    </w:p>
  </w:footnote>
  <w:footnote w:id="9">
    <w:p w14:paraId="3CA0088E" w14:textId="77777777" w:rsidR="00081382" w:rsidRPr="00CE3AFF" w:rsidRDefault="00081382" w:rsidP="00081382">
      <w:pPr>
        <w:pStyle w:val="FootnoteText"/>
        <w:rPr>
          <w:rFonts w:ascii="Times New Roman" w:hAnsi="Times New Roman" w:cs="Times New Roman"/>
        </w:rPr>
      </w:pPr>
      <w:r w:rsidRPr="00CE3AFF">
        <w:rPr>
          <w:rStyle w:val="FootnoteReference"/>
          <w:rFonts w:ascii="Times New Roman" w:hAnsi="Times New Roman" w:cs="Times New Roman"/>
        </w:rPr>
        <w:footnoteRef/>
      </w:r>
      <w:r w:rsidRPr="00CE3AFF">
        <w:rPr>
          <w:rFonts w:ascii="Times New Roman" w:hAnsi="Times New Roman" w:cs="Times New Roman"/>
        </w:rPr>
        <w:t xml:space="preserve"> </w:t>
      </w:r>
      <w:proofErr w:type="spellStart"/>
      <w:r w:rsidRPr="00CE3AFF">
        <w:rPr>
          <w:rFonts w:ascii="Times New Roman" w:hAnsi="Times New Roman" w:cs="Times New Roman"/>
        </w:rPr>
        <w:t>Orderic</w:t>
      </w:r>
      <w:proofErr w:type="spellEnd"/>
      <w:r w:rsidRPr="00CE3AFF">
        <w:rPr>
          <w:rFonts w:ascii="Times New Roman" w:hAnsi="Times New Roman" w:cs="Times New Roman"/>
        </w:rPr>
        <w:t xml:space="preserve"> Vitalis, iii, pp. 255-7.</w:t>
      </w:r>
    </w:p>
  </w:footnote>
  <w:footnote w:id="10">
    <w:p w14:paraId="627504C7" w14:textId="77777777" w:rsidR="00081382" w:rsidRPr="00CE3AFF" w:rsidRDefault="00081382" w:rsidP="00081382">
      <w:pPr>
        <w:pStyle w:val="FootnoteText"/>
        <w:rPr>
          <w:rFonts w:ascii="Times New Roman" w:hAnsi="Times New Roman" w:cs="Times New Roman"/>
        </w:rPr>
      </w:pPr>
      <w:r w:rsidRPr="00CE3AFF">
        <w:rPr>
          <w:rStyle w:val="FootnoteReference"/>
          <w:rFonts w:ascii="Times New Roman" w:hAnsi="Times New Roman" w:cs="Times New Roman"/>
        </w:rPr>
        <w:footnoteRef/>
      </w:r>
      <w:r w:rsidRPr="00CE3AFF">
        <w:rPr>
          <w:rFonts w:ascii="Times New Roman" w:hAnsi="Times New Roman" w:cs="Times New Roman"/>
        </w:rPr>
        <w:t xml:space="preserve"> </w:t>
      </w:r>
      <w:r w:rsidRPr="00CE3AFF">
        <w:rPr>
          <w:rFonts w:ascii="Times New Roman" w:hAnsi="Times New Roman" w:cs="Times New Roman"/>
          <w:color w:val="000000"/>
          <w:shd w:val="clear" w:color="auto" w:fill="FFFFFF"/>
        </w:rPr>
        <w:t>Brian Golding, 'Chapter 4: Settlement and Colonisation', in </w:t>
      </w:r>
      <w:r w:rsidRPr="00CE3AFF">
        <w:rPr>
          <w:rFonts w:ascii="Times New Roman" w:hAnsi="Times New Roman" w:cs="Times New Roman"/>
          <w:i/>
          <w:iCs/>
          <w:color w:val="000000"/>
          <w:shd w:val="clear" w:color="auto" w:fill="FFFFFF"/>
        </w:rPr>
        <w:t>Conquest and Colonisation: The Normans in Britain. 1066-1100</w:t>
      </w:r>
      <w:r w:rsidRPr="00CE3AFF">
        <w:rPr>
          <w:rFonts w:ascii="Times New Roman" w:hAnsi="Times New Roman" w:cs="Times New Roman"/>
          <w:color w:val="000000"/>
          <w:shd w:val="clear" w:color="auto" w:fill="FFFFFF"/>
        </w:rPr>
        <w:t xml:space="preserve">, ed. by Jeremy Black, 2nd </w:t>
      </w:r>
      <w:proofErr w:type="spellStart"/>
      <w:r w:rsidRPr="00CE3AFF">
        <w:rPr>
          <w:rFonts w:ascii="Times New Roman" w:hAnsi="Times New Roman" w:cs="Times New Roman"/>
          <w:color w:val="000000"/>
          <w:shd w:val="clear" w:color="auto" w:fill="FFFFFF"/>
        </w:rPr>
        <w:t>edn</w:t>
      </w:r>
      <w:proofErr w:type="spellEnd"/>
      <w:r w:rsidRPr="00CE3AFF">
        <w:rPr>
          <w:rFonts w:ascii="Times New Roman" w:hAnsi="Times New Roman" w:cs="Times New Roman"/>
          <w:color w:val="000000"/>
          <w:shd w:val="clear" w:color="auto" w:fill="FFFFFF"/>
        </w:rPr>
        <w:t>. (Basingstoke: Palgrave MacMillan, 2013), p. 54</w:t>
      </w:r>
    </w:p>
  </w:footnote>
  <w:footnote w:id="11">
    <w:p w14:paraId="3E45344A" w14:textId="6FE6C740" w:rsidR="00081382" w:rsidRPr="00CE3AFF" w:rsidRDefault="00081382" w:rsidP="00081382">
      <w:pPr>
        <w:pStyle w:val="FootnoteText"/>
        <w:rPr>
          <w:rFonts w:ascii="Times New Roman" w:hAnsi="Times New Roman" w:cs="Times New Roman"/>
        </w:rPr>
      </w:pPr>
      <w:r w:rsidRPr="00CE3AFF">
        <w:rPr>
          <w:rStyle w:val="FootnoteReference"/>
          <w:rFonts w:ascii="Times New Roman" w:hAnsi="Times New Roman" w:cs="Times New Roman"/>
        </w:rPr>
        <w:footnoteRef/>
      </w:r>
      <w:r w:rsidRPr="00CE3AFF">
        <w:rPr>
          <w:rFonts w:ascii="Times New Roman" w:hAnsi="Times New Roman" w:cs="Times New Roman"/>
        </w:rPr>
        <w:t xml:space="preserve"> </w:t>
      </w:r>
      <w:r w:rsidRPr="00CE3AFF">
        <w:rPr>
          <w:rFonts w:ascii="Times New Roman" w:hAnsi="Times New Roman" w:cs="Times New Roman"/>
          <w:color w:val="000000"/>
          <w:shd w:val="clear" w:color="auto" w:fill="FFFFFF"/>
        </w:rPr>
        <w:t>Brian Golding, 'Chapter 4: Settlement and Colonisation', p. 54</w:t>
      </w:r>
    </w:p>
  </w:footnote>
  <w:footnote w:id="12">
    <w:p w14:paraId="1A340321" w14:textId="147FF46D" w:rsidR="00AE0FB0" w:rsidRDefault="00AE0FB0">
      <w:pPr>
        <w:pStyle w:val="FootnoteText"/>
      </w:pPr>
      <w:r w:rsidRPr="00CE3AFF">
        <w:rPr>
          <w:rStyle w:val="FootnoteReference"/>
          <w:rFonts w:ascii="Times New Roman" w:hAnsi="Times New Roman" w:cs="Times New Roman"/>
        </w:rPr>
        <w:footnoteRef/>
      </w:r>
      <w:r w:rsidRPr="00CE3AFF">
        <w:rPr>
          <w:rFonts w:ascii="Times New Roman" w:hAnsi="Times New Roman" w:cs="Times New Roman"/>
        </w:rPr>
        <w:t xml:space="preserve"> </w:t>
      </w:r>
      <w:r w:rsidRPr="00CE3AFF">
        <w:rPr>
          <w:rFonts w:ascii="Times New Roman" w:hAnsi="Times New Roman" w:cs="Times New Roman"/>
          <w:color w:val="000000"/>
          <w:shd w:val="clear" w:color="auto" w:fill="FFFFFF"/>
        </w:rPr>
        <w:t>Brian Golding, 'Chapter 4: Settlement and Colonisation', p. 58</w:t>
      </w:r>
    </w:p>
  </w:footnote>
  <w:footnote w:id="13">
    <w:p w14:paraId="39288D46" w14:textId="2854494D" w:rsidR="00E81B68" w:rsidRPr="00CE3AFF" w:rsidRDefault="00E81B68" w:rsidP="00E81B68">
      <w:pPr>
        <w:pStyle w:val="FootnoteText"/>
        <w:rPr>
          <w:rFonts w:ascii="Times New Roman" w:hAnsi="Times New Roman" w:cs="Times New Roman"/>
        </w:rPr>
      </w:pPr>
      <w:r w:rsidRPr="00CE3AFF">
        <w:rPr>
          <w:rStyle w:val="FootnoteReference"/>
          <w:rFonts w:ascii="Times New Roman" w:hAnsi="Times New Roman" w:cs="Times New Roman"/>
        </w:rPr>
        <w:footnoteRef/>
      </w:r>
      <w:r w:rsidRPr="00CE3AFF">
        <w:rPr>
          <w:rFonts w:ascii="Times New Roman" w:hAnsi="Times New Roman" w:cs="Times New Roman"/>
        </w:rPr>
        <w:t xml:space="preserve"> </w:t>
      </w:r>
      <w:r w:rsidRPr="00CE3AFF">
        <w:rPr>
          <w:rFonts w:ascii="Times New Roman" w:hAnsi="Times New Roman" w:cs="Times New Roman"/>
          <w:color w:val="000000"/>
          <w:shd w:val="clear" w:color="auto" w:fill="FFFFFF"/>
        </w:rPr>
        <w:t>Brian Golding, 'Chapter 4: Settlement and Colonisation', p. 63</w:t>
      </w:r>
    </w:p>
    <w:p w14:paraId="686AF48C" w14:textId="7E0C4E66" w:rsidR="00E81B68" w:rsidRPr="00CE3AFF" w:rsidRDefault="00E81B68">
      <w:pPr>
        <w:pStyle w:val="FootnoteText"/>
        <w:rPr>
          <w:rFonts w:ascii="Times New Roman" w:hAnsi="Times New Roman" w:cs="Times New Roman"/>
        </w:rPr>
      </w:pPr>
    </w:p>
  </w:footnote>
  <w:footnote w:id="14">
    <w:p w14:paraId="6931EF4B" w14:textId="6342C15D" w:rsidR="009B47AB" w:rsidRPr="00CE3AFF" w:rsidRDefault="009B47AB" w:rsidP="009B47AB">
      <w:pPr>
        <w:pStyle w:val="FootnoteText"/>
        <w:rPr>
          <w:rFonts w:ascii="Times New Roman" w:hAnsi="Times New Roman" w:cs="Times New Roman"/>
        </w:rPr>
      </w:pPr>
      <w:r w:rsidRPr="00CE3AFF">
        <w:rPr>
          <w:rStyle w:val="FootnoteReference"/>
          <w:rFonts w:ascii="Times New Roman" w:hAnsi="Times New Roman" w:cs="Times New Roman"/>
        </w:rPr>
        <w:footnoteRef/>
      </w:r>
      <w:r w:rsidRPr="00CE3AFF">
        <w:rPr>
          <w:rFonts w:ascii="Times New Roman" w:hAnsi="Times New Roman" w:cs="Times New Roman"/>
        </w:rPr>
        <w:t xml:space="preserve"> </w:t>
      </w:r>
      <w:r w:rsidRPr="00CE3AFF">
        <w:rPr>
          <w:rFonts w:ascii="Times New Roman" w:hAnsi="Times New Roman" w:cs="Times New Roman"/>
          <w:color w:val="000000"/>
          <w:shd w:val="clear" w:color="auto" w:fill="FFFFFF"/>
        </w:rPr>
        <w:t>Brian Golding, 'Chapter 4: Settlement and Colonisation', p. 71</w:t>
      </w:r>
    </w:p>
    <w:p w14:paraId="38775A7B" w14:textId="31281171" w:rsidR="009B47AB" w:rsidRPr="00CE3AFF" w:rsidRDefault="009B47AB">
      <w:pPr>
        <w:pStyle w:val="FootnoteText"/>
        <w:rPr>
          <w:rFonts w:ascii="Times New Roman" w:hAnsi="Times New Roman" w:cs="Times New Roman"/>
        </w:rPr>
      </w:pPr>
    </w:p>
  </w:footnote>
  <w:footnote w:id="15">
    <w:p w14:paraId="6B230FC8" w14:textId="661A6592" w:rsidR="00791402" w:rsidRPr="00CE3AFF" w:rsidRDefault="00791402" w:rsidP="00791402">
      <w:pPr>
        <w:pStyle w:val="FootnoteText"/>
        <w:rPr>
          <w:rFonts w:ascii="Times New Roman" w:hAnsi="Times New Roman" w:cs="Times New Roman"/>
        </w:rPr>
      </w:pPr>
      <w:r w:rsidRPr="00CE3AFF">
        <w:rPr>
          <w:rStyle w:val="FootnoteReference"/>
          <w:rFonts w:ascii="Times New Roman" w:hAnsi="Times New Roman" w:cs="Times New Roman"/>
        </w:rPr>
        <w:footnoteRef/>
      </w:r>
      <w:r w:rsidRPr="00CE3AFF">
        <w:rPr>
          <w:rFonts w:ascii="Times New Roman" w:hAnsi="Times New Roman" w:cs="Times New Roman"/>
        </w:rPr>
        <w:t xml:space="preserve"> </w:t>
      </w:r>
      <w:r w:rsidRPr="00CE3AFF">
        <w:rPr>
          <w:rFonts w:ascii="Times New Roman" w:hAnsi="Times New Roman" w:cs="Times New Roman"/>
          <w:color w:val="000000"/>
          <w:shd w:val="clear" w:color="auto" w:fill="FFFFFF"/>
        </w:rPr>
        <w:t>Brian Golding, 'Chapter 4: Settlement and Colonisation', p. 71</w:t>
      </w:r>
    </w:p>
    <w:p w14:paraId="52D0C30E" w14:textId="4ABDB705" w:rsidR="00791402" w:rsidRPr="00CE3AFF" w:rsidRDefault="00791402">
      <w:pPr>
        <w:pStyle w:val="FootnoteText"/>
        <w:rPr>
          <w:rFonts w:ascii="Times New Roman" w:hAnsi="Times New Roman" w:cs="Times New Roman"/>
        </w:rPr>
      </w:pPr>
    </w:p>
  </w:footnote>
  <w:footnote w:id="16">
    <w:p w14:paraId="1E0418EB" w14:textId="35FDB1DC" w:rsidR="00791402" w:rsidRPr="00CE3AFF" w:rsidRDefault="00791402" w:rsidP="00791402">
      <w:pPr>
        <w:pStyle w:val="FootnoteText"/>
        <w:rPr>
          <w:rFonts w:ascii="Times New Roman" w:hAnsi="Times New Roman" w:cs="Times New Roman"/>
        </w:rPr>
      </w:pPr>
      <w:r w:rsidRPr="00CE3AFF">
        <w:rPr>
          <w:rStyle w:val="FootnoteReference"/>
          <w:rFonts w:ascii="Times New Roman" w:hAnsi="Times New Roman" w:cs="Times New Roman"/>
        </w:rPr>
        <w:footnoteRef/>
      </w:r>
      <w:r w:rsidRPr="00CE3AFF">
        <w:rPr>
          <w:rFonts w:ascii="Times New Roman" w:hAnsi="Times New Roman" w:cs="Times New Roman"/>
        </w:rPr>
        <w:t xml:space="preserve"> </w:t>
      </w:r>
      <w:r w:rsidRPr="00CE3AFF">
        <w:rPr>
          <w:rFonts w:ascii="Times New Roman" w:hAnsi="Times New Roman" w:cs="Times New Roman"/>
          <w:color w:val="000000"/>
          <w:shd w:val="clear" w:color="auto" w:fill="FFFFFF"/>
        </w:rPr>
        <w:t>Brian Golding, 'Chapter 4: Settlement and Colonisation', p. 71</w:t>
      </w:r>
    </w:p>
    <w:p w14:paraId="512CC531" w14:textId="3392B3AF" w:rsidR="00791402" w:rsidRDefault="00791402">
      <w:pPr>
        <w:pStyle w:val="FootnoteText"/>
      </w:pPr>
    </w:p>
  </w:footnote>
  <w:footnote w:id="17">
    <w:p w14:paraId="20F9CAA1" w14:textId="1CD9208D" w:rsidR="0096493E" w:rsidRPr="00B57B9A" w:rsidRDefault="0096493E" w:rsidP="0096493E">
      <w:pPr>
        <w:rPr>
          <w:sz w:val="32"/>
        </w:rPr>
      </w:pPr>
      <w:r>
        <w:rPr>
          <w:rStyle w:val="FootnoteReference"/>
        </w:rPr>
        <w:footnoteRef/>
      </w:r>
      <w:r>
        <w:t xml:space="preserve"> </w:t>
      </w:r>
      <w:r>
        <w:rPr>
          <w:color w:val="000000"/>
          <w:sz w:val="29"/>
          <w:szCs w:val="29"/>
          <w:shd w:val="clear" w:color="auto" w:fill="FFFFFF"/>
        </w:rPr>
        <w:t xml:space="preserve">Golding, Brian, </w:t>
      </w:r>
      <w:r>
        <w:rPr>
          <w:i/>
          <w:iCs/>
          <w:color w:val="000000"/>
          <w:sz w:val="29"/>
          <w:szCs w:val="29"/>
          <w:shd w:val="clear" w:color="auto" w:fill="FFFFFF"/>
        </w:rPr>
        <w:t>Conquest and Colonisation: The Normans in Britain. 1066-1100</w:t>
      </w:r>
      <w:r>
        <w:rPr>
          <w:color w:val="000000"/>
          <w:sz w:val="29"/>
          <w:szCs w:val="29"/>
          <w:shd w:val="clear" w:color="auto" w:fill="FFFFFF"/>
        </w:rPr>
        <w:t xml:space="preserve">, ed. by Jeremy Black, 2nd </w:t>
      </w:r>
      <w:proofErr w:type="spellStart"/>
      <w:r>
        <w:rPr>
          <w:color w:val="000000"/>
          <w:sz w:val="29"/>
          <w:szCs w:val="29"/>
          <w:shd w:val="clear" w:color="auto" w:fill="FFFFFF"/>
        </w:rPr>
        <w:t>edn</w:t>
      </w:r>
      <w:proofErr w:type="spellEnd"/>
      <w:r>
        <w:rPr>
          <w:color w:val="000000"/>
          <w:sz w:val="29"/>
          <w:szCs w:val="29"/>
          <w:shd w:val="clear" w:color="auto" w:fill="FFFFFF"/>
        </w:rPr>
        <w:t>. (Basingstoke: Palgrave MacMillan, 2013), p. xv</w:t>
      </w:r>
    </w:p>
    <w:p w14:paraId="010DEBE5" w14:textId="674D7120" w:rsidR="0096493E" w:rsidRDefault="0096493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55A"/>
    <w:rsid w:val="00081382"/>
    <w:rsid w:val="00085D9B"/>
    <w:rsid w:val="000A26B9"/>
    <w:rsid w:val="000B4F2E"/>
    <w:rsid w:val="00126947"/>
    <w:rsid w:val="0018473A"/>
    <w:rsid w:val="001F7F7F"/>
    <w:rsid w:val="00243165"/>
    <w:rsid w:val="00247B1F"/>
    <w:rsid w:val="00294B69"/>
    <w:rsid w:val="002E533B"/>
    <w:rsid w:val="00390EEA"/>
    <w:rsid w:val="003E6B1B"/>
    <w:rsid w:val="00450907"/>
    <w:rsid w:val="00464769"/>
    <w:rsid w:val="004728EE"/>
    <w:rsid w:val="00510D24"/>
    <w:rsid w:val="00534392"/>
    <w:rsid w:val="005E69AA"/>
    <w:rsid w:val="006024C6"/>
    <w:rsid w:val="006103E1"/>
    <w:rsid w:val="006221AE"/>
    <w:rsid w:val="0066095A"/>
    <w:rsid w:val="00667BB3"/>
    <w:rsid w:val="006A33BA"/>
    <w:rsid w:val="006E393C"/>
    <w:rsid w:val="00730513"/>
    <w:rsid w:val="00791402"/>
    <w:rsid w:val="007A6E81"/>
    <w:rsid w:val="007D755A"/>
    <w:rsid w:val="00865A1E"/>
    <w:rsid w:val="00883900"/>
    <w:rsid w:val="0088440A"/>
    <w:rsid w:val="008910CE"/>
    <w:rsid w:val="00947F6D"/>
    <w:rsid w:val="0096493E"/>
    <w:rsid w:val="00983070"/>
    <w:rsid w:val="009B47AB"/>
    <w:rsid w:val="00AA1D1C"/>
    <w:rsid w:val="00AB249C"/>
    <w:rsid w:val="00AB3CF1"/>
    <w:rsid w:val="00AE0FB0"/>
    <w:rsid w:val="00B05A90"/>
    <w:rsid w:val="00B82C02"/>
    <w:rsid w:val="00B94B8F"/>
    <w:rsid w:val="00BD288D"/>
    <w:rsid w:val="00C442F0"/>
    <w:rsid w:val="00CE3AFF"/>
    <w:rsid w:val="00CF2320"/>
    <w:rsid w:val="00D12396"/>
    <w:rsid w:val="00D43C69"/>
    <w:rsid w:val="00D509F8"/>
    <w:rsid w:val="00D6008A"/>
    <w:rsid w:val="00D739DD"/>
    <w:rsid w:val="00E81B68"/>
    <w:rsid w:val="00EE55C9"/>
    <w:rsid w:val="00EF021F"/>
    <w:rsid w:val="00F10CA1"/>
    <w:rsid w:val="00FB5351"/>
    <w:rsid w:val="00FD0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9850B3"/>
  <w15:chartTrackingRefBased/>
  <w15:docId w15:val="{D053D031-28C4-420D-A61D-EB0E1F29B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D755A"/>
    <w:pPr>
      <w:spacing w:after="200" w:line="276" w:lineRule="auto"/>
    </w:pPr>
    <w:rPr>
      <w:rFonts w:ascii="Calibri" w:eastAsia="Times New Roman"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440A"/>
    <w:pPr>
      <w:spacing w:before="100" w:beforeAutospacing="1" w:after="100" w:afterAutospacing="1" w:line="240" w:lineRule="auto"/>
    </w:pPr>
    <w:rPr>
      <w:rFonts w:ascii="Times New Roman" w:hAnsi="Times New Roman"/>
      <w:sz w:val="24"/>
      <w:szCs w:val="24"/>
      <w:lang w:eastAsia="en-GB"/>
    </w:rPr>
  </w:style>
  <w:style w:type="paragraph" w:styleId="FootnoteText">
    <w:name w:val="footnote text"/>
    <w:basedOn w:val="Normal"/>
    <w:link w:val="FootnoteTextChar"/>
    <w:uiPriority w:val="99"/>
    <w:semiHidden/>
    <w:unhideWhenUsed/>
    <w:rsid w:val="0088440A"/>
    <w:pPr>
      <w:spacing w:after="0" w:line="240" w:lineRule="auto"/>
    </w:pPr>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88440A"/>
    <w:rPr>
      <w:sz w:val="20"/>
      <w:szCs w:val="20"/>
    </w:rPr>
  </w:style>
  <w:style w:type="character" w:styleId="FootnoteReference">
    <w:name w:val="footnote reference"/>
    <w:basedOn w:val="DefaultParagraphFont"/>
    <w:uiPriority w:val="99"/>
    <w:semiHidden/>
    <w:unhideWhenUsed/>
    <w:rsid w:val="0088440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9030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EFC3F-4358-41C5-A17B-605C53343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6</Pages>
  <Words>2194</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57</cp:revision>
  <dcterms:created xsi:type="dcterms:W3CDTF">2018-03-03T04:02:00Z</dcterms:created>
  <dcterms:modified xsi:type="dcterms:W3CDTF">2018-03-12T13:55:00Z</dcterms:modified>
</cp:coreProperties>
</file>