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DC68F" w14:textId="77777777" w:rsidR="00756FD6" w:rsidRDefault="006D3B43">
      <w:pPr>
        <w:spacing w:after="106"/>
        <w:ind w:left="-1" w:right="4850"/>
        <w:jc w:val="right"/>
      </w:pPr>
      <w:r>
        <w:rPr>
          <w:noProof/>
        </w:rPr>
        <w:drawing>
          <wp:inline distT="0" distB="0" distL="0" distR="0" wp14:anchorId="1E8B4A55" wp14:editId="60AF6F46">
            <wp:extent cx="2619248" cy="1165860"/>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7"/>
                    <a:stretch>
                      <a:fillRect/>
                    </a:stretch>
                  </pic:blipFill>
                  <pic:spPr>
                    <a:xfrm>
                      <a:off x="0" y="0"/>
                      <a:ext cx="2619248" cy="1165860"/>
                    </a:xfrm>
                    <a:prstGeom prst="rect">
                      <a:avLst/>
                    </a:prstGeom>
                  </pic:spPr>
                </pic:pic>
              </a:graphicData>
            </a:graphic>
          </wp:inline>
        </w:drawing>
      </w:r>
      <w:r>
        <w:rPr>
          <w:rFonts w:ascii="Segoe UI" w:eastAsia="Segoe UI" w:hAnsi="Segoe UI" w:cs="Segoe UI"/>
          <w:sz w:val="20"/>
        </w:rPr>
        <w:t xml:space="preserve"> </w:t>
      </w:r>
    </w:p>
    <w:p w14:paraId="26E742D4" w14:textId="77777777" w:rsidR="00756FD6" w:rsidRDefault="006D3B43">
      <w:pPr>
        <w:spacing w:after="161"/>
      </w:pPr>
      <w:r>
        <w:rPr>
          <w:rFonts w:ascii="Segoe UI" w:eastAsia="Segoe UI" w:hAnsi="Segoe UI" w:cs="Segoe UI"/>
          <w:sz w:val="20"/>
        </w:rPr>
        <w:t xml:space="preserve"> </w:t>
      </w:r>
    </w:p>
    <w:p w14:paraId="10FB81A1" w14:textId="77777777" w:rsidR="00756FD6" w:rsidRDefault="006D3B43">
      <w:pPr>
        <w:spacing w:after="157"/>
      </w:pPr>
      <w:r>
        <w:rPr>
          <w:rFonts w:ascii="Segoe UI" w:eastAsia="Segoe UI" w:hAnsi="Segoe UI" w:cs="Segoe UI"/>
          <w:sz w:val="20"/>
        </w:rPr>
        <w:t xml:space="preserve"> </w:t>
      </w:r>
    </w:p>
    <w:p w14:paraId="1BA8C353" w14:textId="77777777" w:rsidR="00756FD6" w:rsidRDefault="006D3B43">
      <w:pPr>
        <w:spacing w:after="161"/>
      </w:pPr>
      <w:r>
        <w:rPr>
          <w:rFonts w:ascii="Segoe UI" w:eastAsia="Segoe UI" w:hAnsi="Segoe UI" w:cs="Segoe UI"/>
          <w:sz w:val="20"/>
        </w:rPr>
        <w:t xml:space="preserve"> </w:t>
      </w:r>
    </w:p>
    <w:p w14:paraId="345A05B8" w14:textId="77777777" w:rsidR="00756FD6" w:rsidRDefault="006D3B43">
      <w:pPr>
        <w:spacing w:after="156"/>
      </w:pPr>
      <w:r>
        <w:rPr>
          <w:rFonts w:ascii="Segoe UI" w:eastAsia="Segoe UI" w:hAnsi="Segoe UI" w:cs="Segoe UI"/>
          <w:sz w:val="20"/>
        </w:rPr>
        <w:t xml:space="preserve"> </w:t>
      </w:r>
    </w:p>
    <w:p w14:paraId="7C9A3104" w14:textId="77777777" w:rsidR="00756FD6" w:rsidRDefault="006D3B43">
      <w:pPr>
        <w:spacing w:after="207"/>
      </w:pPr>
      <w:r>
        <w:rPr>
          <w:rFonts w:ascii="Segoe UI" w:eastAsia="Segoe UI" w:hAnsi="Segoe UI" w:cs="Segoe UI"/>
          <w:sz w:val="20"/>
        </w:rPr>
        <w:t xml:space="preserve"> </w:t>
      </w:r>
    </w:p>
    <w:p w14:paraId="42576A1A" w14:textId="289701DA" w:rsidR="00756FD6" w:rsidRDefault="006D3B43">
      <w:pPr>
        <w:ind w:left="-5" w:hanging="10"/>
      </w:pPr>
      <w:r>
        <w:rPr>
          <w:rFonts w:ascii="Arial" w:eastAsia="Arial" w:hAnsi="Arial" w:cs="Arial"/>
          <w:sz w:val="28"/>
        </w:rPr>
        <w:t xml:space="preserve">Name: </w:t>
      </w:r>
      <w:proofErr w:type="spellStart"/>
      <w:r w:rsidR="00813ECF">
        <w:rPr>
          <w:rFonts w:ascii="Arial" w:eastAsia="Arial" w:hAnsi="Arial" w:cs="Arial"/>
          <w:sz w:val="28"/>
        </w:rPr>
        <w:t>Alinaqi</w:t>
      </w:r>
      <w:proofErr w:type="spellEnd"/>
      <w:r w:rsidR="00813ECF">
        <w:rPr>
          <w:rFonts w:ascii="Arial" w:eastAsia="Arial" w:hAnsi="Arial" w:cs="Arial"/>
          <w:sz w:val="28"/>
        </w:rPr>
        <w:t xml:space="preserve"> </w:t>
      </w:r>
      <w:proofErr w:type="spellStart"/>
      <w:r w:rsidR="00813ECF">
        <w:rPr>
          <w:rFonts w:ascii="Arial" w:eastAsia="Arial" w:hAnsi="Arial" w:cs="Arial"/>
          <w:sz w:val="28"/>
        </w:rPr>
        <w:t>bukht</w:t>
      </w:r>
      <w:proofErr w:type="spellEnd"/>
      <w:r w:rsidR="00813ECF">
        <w:rPr>
          <w:rFonts w:ascii="Arial" w:eastAsia="Arial" w:hAnsi="Arial" w:cs="Arial"/>
          <w:sz w:val="28"/>
        </w:rPr>
        <w:t xml:space="preserve"> Mirza</w:t>
      </w:r>
    </w:p>
    <w:p w14:paraId="2E8E46D5" w14:textId="2A498F57" w:rsidR="00756FD6" w:rsidRDefault="006D3B43">
      <w:pPr>
        <w:ind w:left="-5" w:hanging="10"/>
      </w:pPr>
      <w:r>
        <w:rPr>
          <w:rFonts w:ascii="Arial" w:eastAsia="Arial" w:hAnsi="Arial" w:cs="Arial"/>
          <w:sz w:val="28"/>
        </w:rPr>
        <w:t xml:space="preserve">Student ID:  </w:t>
      </w:r>
      <w:r w:rsidR="00B94F24">
        <w:rPr>
          <w:rFonts w:ascii="Arial" w:eastAsia="Arial" w:hAnsi="Arial" w:cs="Arial"/>
          <w:sz w:val="28"/>
        </w:rPr>
        <w:t>2530128</w:t>
      </w:r>
    </w:p>
    <w:p w14:paraId="234015A0" w14:textId="7B8FEBC2" w:rsidR="00756FD6" w:rsidRDefault="006D3B43">
      <w:pPr>
        <w:ind w:left="-5" w:hanging="10"/>
      </w:pPr>
      <w:r>
        <w:rPr>
          <w:rFonts w:ascii="Arial" w:eastAsia="Arial" w:hAnsi="Arial" w:cs="Arial"/>
          <w:sz w:val="28"/>
        </w:rPr>
        <w:t xml:space="preserve">Module Code:  </w:t>
      </w:r>
      <w:r w:rsidR="00B94F24">
        <w:rPr>
          <w:rFonts w:ascii="Arial" w:eastAsia="Arial" w:hAnsi="Arial" w:cs="Arial"/>
          <w:sz w:val="28"/>
        </w:rPr>
        <w:t>Academic and Employability skills.</w:t>
      </w:r>
    </w:p>
    <w:p w14:paraId="6C8A5019" w14:textId="3854E693" w:rsidR="00756FD6" w:rsidRDefault="006D3B43">
      <w:pPr>
        <w:ind w:left="-5" w:hanging="10"/>
      </w:pPr>
      <w:r>
        <w:rPr>
          <w:rFonts w:ascii="Arial" w:eastAsia="Arial" w:hAnsi="Arial" w:cs="Arial"/>
          <w:sz w:val="28"/>
        </w:rPr>
        <w:t xml:space="preserve">Module:  </w:t>
      </w:r>
      <w:r w:rsidR="00E613AA">
        <w:rPr>
          <w:rFonts w:ascii="Arial" w:eastAsia="Arial" w:hAnsi="Arial" w:cs="Arial"/>
          <w:sz w:val="28"/>
        </w:rPr>
        <w:t>LCHS4001</w:t>
      </w:r>
    </w:p>
    <w:p w14:paraId="112FB909" w14:textId="60DCE24A" w:rsidR="00756FD6" w:rsidRDefault="006D3B43">
      <w:pPr>
        <w:ind w:left="-5" w:hanging="10"/>
      </w:pPr>
      <w:r>
        <w:rPr>
          <w:rFonts w:ascii="Arial" w:eastAsia="Arial" w:hAnsi="Arial" w:cs="Arial"/>
          <w:sz w:val="28"/>
        </w:rPr>
        <w:t xml:space="preserve">Lecturer:  </w:t>
      </w:r>
      <w:proofErr w:type="spellStart"/>
      <w:r w:rsidR="00E613AA">
        <w:rPr>
          <w:rFonts w:ascii="Arial" w:eastAsia="Arial" w:hAnsi="Arial" w:cs="Arial"/>
          <w:sz w:val="28"/>
        </w:rPr>
        <w:t>charissa</w:t>
      </w:r>
      <w:proofErr w:type="spellEnd"/>
      <w:r w:rsidR="00E613AA">
        <w:rPr>
          <w:rFonts w:ascii="Arial" w:eastAsia="Arial" w:hAnsi="Arial" w:cs="Arial"/>
          <w:sz w:val="28"/>
        </w:rPr>
        <w:t xml:space="preserve"> brain</w:t>
      </w:r>
    </w:p>
    <w:p w14:paraId="6EDA3B99" w14:textId="77777777" w:rsidR="00756FD6" w:rsidRDefault="006D3B43">
      <w:pPr>
        <w:spacing w:after="6" w:line="376" w:lineRule="auto"/>
        <w:ind w:right="8954"/>
      </w:pPr>
      <w:r>
        <w:rPr>
          <w:rFonts w:ascii="Arial" w:eastAsia="Arial" w:hAnsi="Arial" w:cs="Arial"/>
          <w:sz w:val="28"/>
        </w:rPr>
        <w:t xml:space="preserve">  </w:t>
      </w:r>
    </w:p>
    <w:p w14:paraId="452D58AA" w14:textId="77777777" w:rsidR="00756FD6" w:rsidRDefault="006D3B43">
      <w:pPr>
        <w:spacing w:after="5" w:line="376" w:lineRule="auto"/>
        <w:ind w:right="8954"/>
      </w:pPr>
      <w:r>
        <w:rPr>
          <w:rFonts w:ascii="Arial" w:eastAsia="Arial" w:hAnsi="Arial" w:cs="Arial"/>
          <w:sz w:val="28"/>
        </w:rPr>
        <w:t xml:space="preserve">  </w:t>
      </w:r>
    </w:p>
    <w:p w14:paraId="77AF43CD" w14:textId="77777777" w:rsidR="00756FD6" w:rsidRDefault="006D3B43">
      <w:pPr>
        <w:spacing w:after="5" w:line="376" w:lineRule="auto"/>
        <w:ind w:right="8954"/>
      </w:pPr>
      <w:r>
        <w:rPr>
          <w:rFonts w:ascii="Arial" w:eastAsia="Arial" w:hAnsi="Arial" w:cs="Arial"/>
          <w:sz w:val="28"/>
        </w:rPr>
        <w:t xml:space="preserve">  </w:t>
      </w:r>
    </w:p>
    <w:p w14:paraId="19C90BB5" w14:textId="77777777" w:rsidR="00756FD6" w:rsidRDefault="006D3B43">
      <w:pPr>
        <w:spacing w:after="182"/>
      </w:pPr>
      <w:r>
        <w:rPr>
          <w:rFonts w:ascii="Arial" w:eastAsia="Arial" w:hAnsi="Arial" w:cs="Arial"/>
          <w:sz w:val="28"/>
        </w:rPr>
        <w:t xml:space="preserve"> </w:t>
      </w:r>
    </w:p>
    <w:p w14:paraId="50D2D860" w14:textId="0441DB21" w:rsidR="00756FD6" w:rsidRDefault="006D3B43">
      <w:pPr>
        <w:tabs>
          <w:tab w:val="center" w:pos="721"/>
          <w:tab w:val="center" w:pos="1441"/>
          <w:tab w:val="center" w:pos="2161"/>
          <w:tab w:val="center" w:pos="3745"/>
        </w:tabs>
        <w:ind w:left="-15"/>
      </w:pPr>
      <w:r>
        <w:rPr>
          <w:rFonts w:ascii="Arial" w:eastAsia="Arial" w:hAnsi="Arial" w:cs="Arial"/>
          <w:sz w:val="28"/>
        </w:rPr>
        <w:t xml:space="preserve"> </w:t>
      </w:r>
      <w:r>
        <w:rPr>
          <w:rFonts w:ascii="Arial" w:eastAsia="Arial" w:hAnsi="Arial" w:cs="Arial"/>
          <w:sz w:val="28"/>
        </w:rPr>
        <w:tab/>
        <w:t xml:space="preserve"> </w:t>
      </w:r>
      <w:r>
        <w:rPr>
          <w:rFonts w:ascii="Arial" w:eastAsia="Arial" w:hAnsi="Arial" w:cs="Arial"/>
          <w:sz w:val="28"/>
        </w:rPr>
        <w:tab/>
        <w:t xml:space="preserve"> </w:t>
      </w:r>
      <w:r>
        <w:rPr>
          <w:rFonts w:ascii="Arial" w:eastAsia="Arial" w:hAnsi="Arial" w:cs="Arial"/>
          <w:sz w:val="28"/>
        </w:rPr>
        <w:tab/>
        <w:t xml:space="preserve"> </w:t>
      </w:r>
      <w:r>
        <w:rPr>
          <w:rFonts w:ascii="Arial" w:eastAsia="Arial" w:hAnsi="Arial" w:cs="Arial"/>
          <w:sz w:val="28"/>
        </w:rPr>
        <w:tab/>
        <w:t>Submitted</w:t>
      </w:r>
      <w:r w:rsidR="0093046A">
        <w:rPr>
          <w:rFonts w:ascii="Arial" w:eastAsia="Arial" w:hAnsi="Arial" w:cs="Arial"/>
          <w:sz w:val="28"/>
        </w:rPr>
        <w:t xml:space="preserve"> </w:t>
      </w:r>
      <w:r>
        <w:rPr>
          <w:rFonts w:ascii="Arial" w:eastAsia="Arial" w:hAnsi="Arial" w:cs="Arial"/>
          <w:sz w:val="28"/>
        </w:rPr>
        <w:t xml:space="preserve">on:     </w:t>
      </w:r>
    </w:p>
    <w:p w14:paraId="43C3A880" w14:textId="77777777" w:rsidR="00756FD6" w:rsidRDefault="006D3B43">
      <w:pPr>
        <w:spacing w:after="5" w:line="377" w:lineRule="auto"/>
        <w:ind w:right="8954"/>
      </w:pPr>
      <w:r>
        <w:rPr>
          <w:rFonts w:ascii="Arial" w:eastAsia="Arial" w:hAnsi="Arial" w:cs="Arial"/>
          <w:sz w:val="28"/>
        </w:rPr>
        <w:t xml:space="preserve">  </w:t>
      </w:r>
    </w:p>
    <w:p w14:paraId="4424173C" w14:textId="77777777" w:rsidR="00756FD6" w:rsidRDefault="006D3B43">
      <w:pPr>
        <w:spacing w:after="6" w:line="376" w:lineRule="auto"/>
        <w:ind w:right="8954"/>
      </w:pPr>
      <w:r>
        <w:rPr>
          <w:rFonts w:ascii="Arial" w:eastAsia="Arial" w:hAnsi="Arial" w:cs="Arial"/>
          <w:sz w:val="28"/>
        </w:rPr>
        <w:t xml:space="preserve">  </w:t>
      </w:r>
    </w:p>
    <w:p w14:paraId="379C1F61" w14:textId="77777777" w:rsidR="00756FD6" w:rsidRPr="0061095F" w:rsidRDefault="0061095F" w:rsidP="0061095F">
      <w:pPr>
        <w:spacing w:after="160" w:line="259" w:lineRule="auto"/>
        <w:rPr>
          <w:rFonts w:ascii="Arial" w:eastAsia="Arial" w:hAnsi="Arial" w:cs="Arial"/>
          <w:sz w:val="28"/>
        </w:rPr>
      </w:pPr>
      <w:r>
        <w:rPr>
          <w:rFonts w:ascii="Arial" w:eastAsia="Arial" w:hAnsi="Arial" w:cs="Arial"/>
          <w:sz w:val="28"/>
        </w:rPr>
        <w:br w:type="page"/>
      </w:r>
    </w:p>
    <w:sdt>
      <w:sdtPr>
        <w:id w:val="-1151828531"/>
        <w:docPartObj>
          <w:docPartGallery w:val="Table of Contents"/>
        </w:docPartObj>
      </w:sdtPr>
      <w:sdtContent>
        <w:p w14:paraId="7B6CAA1F" w14:textId="77777777" w:rsidR="00756FD6" w:rsidRPr="00C04812" w:rsidRDefault="006D3B43">
          <w:pPr>
            <w:spacing w:after="106"/>
            <w:rPr>
              <w:b/>
            </w:rPr>
          </w:pPr>
          <w:r w:rsidRPr="00C04812">
            <w:rPr>
              <w:rFonts w:ascii="Segoe UI" w:eastAsia="Segoe UI" w:hAnsi="Segoe UI" w:cs="Segoe UI"/>
              <w:b/>
              <w:color w:val="4472C4"/>
              <w:sz w:val="28"/>
            </w:rPr>
            <w:t xml:space="preserve">Table of Contents </w:t>
          </w:r>
        </w:p>
        <w:p w14:paraId="12C757F5" w14:textId="77777777" w:rsidR="00C04812" w:rsidRDefault="006D3B43">
          <w:pPr>
            <w:pStyle w:val="TOC1"/>
            <w:tabs>
              <w:tab w:val="right" w:leader="dot" w:pos="9022"/>
            </w:tabs>
            <w:rPr>
              <w:rFonts w:asciiTheme="minorHAnsi" w:eastAsiaTheme="minorEastAsia" w:hAnsiTheme="minorHAnsi" w:cstheme="minorBidi"/>
              <w:b w:val="0"/>
              <w:i w:val="0"/>
              <w:noProof/>
              <w:color w:val="auto"/>
              <w:sz w:val="22"/>
            </w:rPr>
          </w:pPr>
          <w:r>
            <w:fldChar w:fldCharType="begin"/>
          </w:r>
          <w:r>
            <w:instrText xml:space="preserve"> TOC \o "1-2" \h \z \u </w:instrText>
          </w:r>
          <w:r>
            <w:fldChar w:fldCharType="separate"/>
          </w:r>
          <w:hyperlink w:anchor="_Toc225462814" w:history="1">
            <w:r w:rsidR="00C04812" w:rsidRPr="006406B4">
              <w:rPr>
                <w:rStyle w:val="Hyperlink"/>
                <w:noProof/>
              </w:rPr>
              <w:t>1: Written Report</w:t>
            </w:r>
            <w:r w:rsidR="00C04812">
              <w:rPr>
                <w:noProof/>
                <w:webHidden/>
              </w:rPr>
              <w:tab/>
            </w:r>
            <w:r w:rsidR="00C04812">
              <w:rPr>
                <w:noProof/>
                <w:webHidden/>
              </w:rPr>
              <w:fldChar w:fldCharType="begin"/>
            </w:r>
            <w:r w:rsidR="00C04812">
              <w:rPr>
                <w:noProof/>
                <w:webHidden/>
              </w:rPr>
              <w:instrText xml:space="preserve"> PAGEREF _Toc225462814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04860CAD" w14:textId="77777777" w:rsidR="00C04812" w:rsidRDefault="00000000">
          <w:pPr>
            <w:pStyle w:val="TOC2"/>
            <w:tabs>
              <w:tab w:val="right" w:leader="dot" w:pos="9022"/>
            </w:tabs>
            <w:rPr>
              <w:rFonts w:asciiTheme="minorHAnsi" w:eastAsiaTheme="minorEastAsia" w:hAnsiTheme="minorHAnsi" w:cstheme="minorBidi"/>
              <w:b w:val="0"/>
              <w:noProof/>
              <w:color w:val="auto"/>
              <w:sz w:val="22"/>
            </w:rPr>
          </w:pPr>
          <w:hyperlink w:anchor="_Toc225462815" w:history="1">
            <w:r w:rsidR="00C04812" w:rsidRPr="006406B4">
              <w:rPr>
                <w:rStyle w:val="Hyperlink"/>
                <w:noProof/>
              </w:rPr>
              <w:t>1.1 Introduction</w:t>
            </w:r>
            <w:r w:rsidR="00C04812">
              <w:rPr>
                <w:noProof/>
                <w:webHidden/>
              </w:rPr>
              <w:tab/>
            </w:r>
            <w:r w:rsidR="00C04812">
              <w:rPr>
                <w:noProof/>
                <w:webHidden/>
              </w:rPr>
              <w:fldChar w:fldCharType="begin"/>
            </w:r>
            <w:r w:rsidR="00C04812">
              <w:rPr>
                <w:noProof/>
                <w:webHidden/>
              </w:rPr>
              <w:instrText xml:space="preserve"> PAGEREF _Toc225462815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25A104F1" w14:textId="77777777" w:rsidR="00C04812" w:rsidRDefault="00000000">
          <w:pPr>
            <w:pStyle w:val="TOC2"/>
            <w:tabs>
              <w:tab w:val="right" w:leader="dot" w:pos="9022"/>
            </w:tabs>
            <w:rPr>
              <w:rFonts w:asciiTheme="minorHAnsi" w:eastAsiaTheme="minorEastAsia" w:hAnsiTheme="minorHAnsi" w:cstheme="minorBidi"/>
              <w:b w:val="0"/>
              <w:noProof/>
              <w:color w:val="auto"/>
              <w:sz w:val="22"/>
            </w:rPr>
          </w:pPr>
          <w:hyperlink w:anchor="_Toc225462816" w:history="1">
            <w:r w:rsidR="00C04812" w:rsidRPr="006406B4">
              <w:rPr>
                <w:rStyle w:val="Hyperlink"/>
                <w:noProof/>
              </w:rPr>
              <w:t>1.2 Description of, and background to, Healthcare Assistant</w:t>
            </w:r>
            <w:r w:rsidR="00C04812">
              <w:rPr>
                <w:noProof/>
                <w:webHidden/>
              </w:rPr>
              <w:tab/>
            </w:r>
            <w:r w:rsidR="00C04812">
              <w:rPr>
                <w:noProof/>
                <w:webHidden/>
              </w:rPr>
              <w:fldChar w:fldCharType="begin"/>
            </w:r>
            <w:r w:rsidR="00C04812">
              <w:rPr>
                <w:noProof/>
                <w:webHidden/>
              </w:rPr>
              <w:instrText xml:space="preserve"> PAGEREF _Toc225462816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2D475EF4" w14:textId="77777777" w:rsidR="00C04812" w:rsidRDefault="00000000">
          <w:pPr>
            <w:pStyle w:val="TOC2"/>
            <w:tabs>
              <w:tab w:val="right" w:leader="dot" w:pos="9022"/>
            </w:tabs>
            <w:rPr>
              <w:rFonts w:asciiTheme="minorHAnsi" w:eastAsiaTheme="minorEastAsia" w:hAnsiTheme="minorHAnsi" w:cstheme="minorBidi"/>
              <w:b w:val="0"/>
              <w:noProof/>
              <w:color w:val="auto"/>
              <w:sz w:val="22"/>
            </w:rPr>
          </w:pPr>
          <w:hyperlink w:anchor="_Toc225462817" w:history="1">
            <w:r w:rsidR="00C04812" w:rsidRPr="006406B4">
              <w:rPr>
                <w:rStyle w:val="Hyperlink"/>
                <w:noProof/>
              </w:rPr>
              <w:t>1.3 Evaluation of the skills needed for a Healthcare Assistant</w:t>
            </w:r>
            <w:r w:rsidR="00C04812">
              <w:rPr>
                <w:noProof/>
                <w:webHidden/>
              </w:rPr>
              <w:tab/>
            </w:r>
            <w:r w:rsidR="00C04812">
              <w:rPr>
                <w:noProof/>
                <w:webHidden/>
              </w:rPr>
              <w:fldChar w:fldCharType="begin"/>
            </w:r>
            <w:r w:rsidR="00C04812">
              <w:rPr>
                <w:noProof/>
                <w:webHidden/>
              </w:rPr>
              <w:instrText xml:space="preserve"> PAGEREF _Toc225462817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26128278" w14:textId="77777777" w:rsidR="00C04812" w:rsidRDefault="00000000">
          <w:pPr>
            <w:pStyle w:val="TOC2"/>
            <w:tabs>
              <w:tab w:val="right" w:leader="dot" w:pos="9022"/>
            </w:tabs>
            <w:rPr>
              <w:rFonts w:asciiTheme="minorHAnsi" w:eastAsiaTheme="minorEastAsia" w:hAnsiTheme="minorHAnsi" w:cstheme="minorBidi"/>
              <w:b w:val="0"/>
              <w:noProof/>
              <w:color w:val="auto"/>
              <w:sz w:val="22"/>
            </w:rPr>
          </w:pPr>
          <w:hyperlink w:anchor="_Toc225462818" w:history="1">
            <w:r w:rsidR="00C04812" w:rsidRPr="006406B4">
              <w:rPr>
                <w:rStyle w:val="Hyperlink"/>
                <w:noProof/>
              </w:rPr>
              <w:t>1.4 Strategies to improve the skills for Healthcare Assistant</w:t>
            </w:r>
            <w:r w:rsidR="00C04812">
              <w:rPr>
                <w:noProof/>
                <w:webHidden/>
              </w:rPr>
              <w:tab/>
            </w:r>
            <w:r w:rsidR="00C04812">
              <w:rPr>
                <w:noProof/>
                <w:webHidden/>
              </w:rPr>
              <w:fldChar w:fldCharType="begin"/>
            </w:r>
            <w:r w:rsidR="00C04812">
              <w:rPr>
                <w:noProof/>
                <w:webHidden/>
              </w:rPr>
              <w:instrText xml:space="preserve"> PAGEREF _Toc225462818 \h </w:instrText>
            </w:r>
            <w:r w:rsidR="00C04812">
              <w:rPr>
                <w:noProof/>
                <w:webHidden/>
              </w:rPr>
            </w:r>
            <w:r w:rsidR="00C04812">
              <w:rPr>
                <w:noProof/>
                <w:webHidden/>
              </w:rPr>
              <w:fldChar w:fldCharType="separate"/>
            </w:r>
            <w:r w:rsidR="00C04812">
              <w:rPr>
                <w:noProof/>
                <w:webHidden/>
              </w:rPr>
              <w:t>4</w:t>
            </w:r>
            <w:r w:rsidR="00C04812">
              <w:rPr>
                <w:noProof/>
                <w:webHidden/>
              </w:rPr>
              <w:fldChar w:fldCharType="end"/>
            </w:r>
          </w:hyperlink>
        </w:p>
        <w:p w14:paraId="2F24088A" w14:textId="77777777" w:rsidR="00C04812" w:rsidRDefault="00000000">
          <w:pPr>
            <w:pStyle w:val="TOC2"/>
            <w:tabs>
              <w:tab w:val="right" w:leader="dot" w:pos="9022"/>
            </w:tabs>
            <w:rPr>
              <w:rFonts w:asciiTheme="minorHAnsi" w:eastAsiaTheme="minorEastAsia" w:hAnsiTheme="minorHAnsi" w:cstheme="minorBidi"/>
              <w:b w:val="0"/>
              <w:noProof/>
              <w:color w:val="auto"/>
              <w:sz w:val="22"/>
            </w:rPr>
          </w:pPr>
          <w:hyperlink w:anchor="_Toc225462819" w:history="1">
            <w:r w:rsidR="00C04812" w:rsidRPr="006406B4">
              <w:rPr>
                <w:rStyle w:val="Hyperlink"/>
                <w:noProof/>
              </w:rPr>
              <w:t>1.5 Conclusion</w:t>
            </w:r>
            <w:r w:rsidR="00C04812">
              <w:rPr>
                <w:noProof/>
                <w:webHidden/>
              </w:rPr>
              <w:tab/>
            </w:r>
            <w:r w:rsidR="00C04812">
              <w:rPr>
                <w:noProof/>
                <w:webHidden/>
              </w:rPr>
              <w:fldChar w:fldCharType="begin"/>
            </w:r>
            <w:r w:rsidR="00C04812">
              <w:rPr>
                <w:noProof/>
                <w:webHidden/>
              </w:rPr>
              <w:instrText xml:space="preserve"> PAGEREF _Toc225462819 \h </w:instrText>
            </w:r>
            <w:r w:rsidR="00C04812">
              <w:rPr>
                <w:noProof/>
                <w:webHidden/>
              </w:rPr>
            </w:r>
            <w:r w:rsidR="00C04812">
              <w:rPr>
                <w:noProof/>
                <w:webHidden/>
              </w:rPr>
              <w:fldChar w:fldCharType="separate"/>
            </w:r>
            <w:r w:rsidR="00C04812">
              <w:rPr>
                <w:noProof/>
                <w:webHidden/>
              </w:rPr>
              <w:t>5</w:t>
            </w:r>
            <w:r w:rsidR="00C04812">
              <w:rPr>
                <w:noProof/>
                <w:webHidden/>
              </w:rPr>
              <w:fldChar w:fldCharType="end"/>
            </w:r>
          </w:hyperlink>
        </w:p>
        <w:p w14:paraId="146872E6" w14:textId="77777777" w:rsidR="00C04812" w:rsidRDefault="00000000">
          <w:pPr>
            <w:pStyle w:val="TOC2"/>
            <w:tabs>
              <w:tab w:val="right" w:leader="dot" w:pos="9022"/>
            </w:tabs>
            <w:rPr>
              <w:rFonts w:asciiTheme="minorHAnsi" w:eastAsiaTheme="minorEastAsia" w:hAnsiTheme="minorHAnsi" w:cstheme="minorBidi"/>
              <w:b w:val="0"/>
              <w:noProof/>
              <w:color w:val="auto"/>
              <w:sz w:val="22"/>
            </w:rPr>
          </w:pPr>
          <w:hyperlink w:anchor="_Toc225462820" w:history="1">
            <w:r w:rsidR="00C04812" w:rsidRPr="006406B4">
              <w:rPr>
                <w:rStyle w:val="Hyperlink"/>
                <w:noProof/>
              </w:rPr>
              <w:t>1.6 Reference List</w:t>
            </w:r>
            <w:r w:rsidR="00C04812">
              <w:rPr>
                <w:noProof/>
                <w:webHidden/>
              </w:rPr>
              <w:tab/>
            </w:r>
            <w:r w:rsidR="00C04812">
              <w:rPr>
                <w:noProof/>
                <w:webHidden/>
              </w:rPr>
              <w:fldChar w:fldCharType="begin"/>
            </w:r>
            <w:r w:rsidR="00C04812">
              <w:rPr>
                <w:noProof/>
                <w:webHidden/>
              </w:rPr>
              <w:instrText xml:space="preserve"> PAGEREF _Toc225462820 \h </w:instrText>
            </w:r>
            <w:r w:rsidR="00C04812">
              <w:rPr>
                <w:noProof/>
                <w:webHidden/>
              </w:rPr>
            </w:r>
            <w:r w:rsidR="00C04812">
              <w:rPr>
                <w:noProof/>
                <w:webHidden/>
              </w:rPr>
              <w:fldChar w:fldCharType="separate"/>
            </w:r>
            <w:r w:rsidR="00C04812">
              <w:rPr>
                <w:noProof/>
                <w:webHidden/>
              </w:rPr>
              <w:t>6</w:t>
            </w:r>
            <w:r w:rsidR="00C04812">
              <w:rPr>
                <w:noProof/>
                <w:webHidden/>
              </w:rPr>
              <w:fldChar w:fldCharType="end"/>
            </w:r>
          </w:hyperlink>
        </w:p>
        <w:p w14:paraId="060C9017" w14:textId="77777777" w:rsidR="00756FD6" w:rsidRDefault="006D3B43" w:rsidP="0061095F">
          <w:pPr>
            <w:spacing w:after="160" w:line="259" w:lineRule="auto"/>
          </w:pPr>
          <w:r>
            <w:fldChar w:fldCharType="end"/>
          </w:r>
        </w:p>
      </w:sdtContent>
    </w:sdt>
    <w:p w14:paraId="2B006E1D" w14:textId="77777777" w:rsidR="00442BB2" w:rsidRDefault="00442BB2">
      <w:pPr>
        <w:rPr>
          <w:rFonts w:ascii="Segoe UI" w:eastAsia="Segoe UI" w:hAnsi="Segoe UI" w:cs="Segoe UI"/>
          <w:b/>
          <w:color w:val="4472C4"/>
          <w:sz w:val="32"/>
        </w:rPr>
      </w:pPr>
      <w:r>
        <w:br w:type="page"/>
      </w:r>
    </w:p>
    <w:p w14:paraId="4A8D2B5F" w14:textId="77777777" w:rsidR="00756FD6" w:rsidRDefault="006D3B43">
      <w:pPr>
        <w:pStyle w:val="Heading1"/>
      </w:pPr>
      <w:bookmarkStart w:id="0" w:name="_Toc225462814"/>
      <w:r>
        <w:t>1: Written Report</w:t>
      </w:r>
      <w:bookmarkEnd w:id="0"/>
      <w:r>
        <w:rPr>
          <w:rFonts w:ascii="Segoe UI" w:hAnsi="Segoe UI"/>
        </w:rPr>
        <w:t xml:space="preserve"> </w:t>
      </w:r>
    </w:p>
    <w:p w14:paraId="24C5B760" w14:textId="77777777" w:rsidR="00756FD6" w:rsidRDefault="006D3B43">
      <w:pPr>
        <w:pStyle w:val="Heading2"/>
        <w:ind w:left="-5"/>
      </w:pPr>
      <w:bookmarkStart w:id="1" w:name="_Toc225462815"/>
      <w:r>
        <w:t>1.1 Introduction</w:t>
      </w:r>
      <w:bookmarkEnd w:id="1"/>
      <w:r>
        <w:rPr>
          <w:rFonts w:ascii="Segoe UI" w:hAnsi="Segoe UI"/>
        </w:rPr>
        <w:t xml:space="preserve"> </w:t>
      </w:r>
    </w:p>
    <w:p w14:paraId="5018ABE0" w14:textId="77777777" w:rsidR="00756FD6" w:rsidRDefault="00B24480" w:rsidP="00B3629D">
      <w:r w:rsidRPr="00B24480">
        <w:t xml:space="preserve">The role of a Healthcare Assistant (HCA) in the health and social care sector is examined in this report. The reason behind the role selection is that it is a crucial role </w:t>
      </w:r>
      <w:r w:rsidR="00B62A72">
        <w:t>in</w:t>
      </w:r>
      <w:r w:rsidRPr="00B24480">
        <w:t xml:space="preserve"> helping patients in their daily activities and providing well-being. </w:t>
      </w:r>
      <w:r w:rsidR="00B62A72">
        <w:t>A healthcare</w:t>
      </w:r>
      <w:r w:rsidRPr="00B24480">
        <w:t xml:space="preserve"> assistant collaborates with nurses and other professionals in order to provide safe and effective care. This role is significant because it directly affects the patient comfort, dignity and recovery. This report will explain the role and background of the job, assess three key skills needed in the job and conclude on how these skills can be </w:t>
      </w:r>
      <w:r>
        <w:t>develop</w:t>
      </w:r>
      <w:r w:rsidRPr="00B24480">
        <w:t>ed.</w:t>
      </w:r>
    </w:p>
    <w:p w14:paraId="5D868D96" w14:textId="77777777" w:rsidR="00756FD6" w:rsidRPr="00B24480" w:rsidRDefault="006D3B43" w:rsidP="00B24480">
      <w:pPr>
        <w:pStyle w:val="Heading2"/>
      </w:pPr>
      <w:bookmarkStart w:id="2" w:name="_Toc225462816"/>
      <w:r w:rsidRPr="00B24480">
        <w:t xml:space="preserve">1.2 </w:t>
      </w:r>
      <w:r w:rsidR="0061095F" w:rsidRPr="00B24480">
        <w:t>Description of, and background to, Healthcare Assistant</w:t>
      </w:r>
      <w:bookmarkEnd w:id="2"/>
      <w:r w:rsidRPr="00B24480">
        <w:t xml:space="preserve">  </w:t>
      </w:r>
    </w:p>
    <w:p w14:paraId="0DF28BD6" w14:textId="77777777" w:rsidR="00B62A72" w:rsidRDefault="00B62A72" w:rsidP="00B62A72">
      <w:r>
        <w:t>Healthcare assistants (HCAs) are significant contributors to the healthcare workforce, and they directly assist patients in hospitals, care homes, and communities. They are primarily involved in helping people with their everyday needs, including washing, dressing, eating, and movement (NHS, 2023). They also observe the conditions of the patients, measure vital signs, and inform nurses or doctors about any particular concern.</w:t>
      </w:r>
    </w:p>
    <w:p w14:paraId="2CEB4A24" w14:textId="77777777" w:rsidR="00B62A72" w:rsidRDefault="00B62A72" w:rsidP="00B62A72">
      <w:r>
        <w:t>Patient dignity and comfort are two of the greatest responsibilities of a healthcare assistant. This involves giving emotional support and creating a respectful atmosphere for patients. HCAs tend to spend more time with the patients compared to other professionals, and their involvement is important in detecting changes in the condition of health.</w:t>
      </w:r>
    </w:p>
    <w:p w14:paraId="5987FFCC" w14:textId="77777777" w:rsidR="00756FD6" w:rsidRDefault="00B62A72" w:rsidP="00B62A72">
      <w:r>
        <w:t xml:space="preserve">The position demands a variety of skills such as communication, empathy and working on teams. Communication aids HCAs to interview patient needs, empathy provides caring care, and collaborative teamwork enables such professional collaboration to be effective </w:t>
      </w:r>
      <w:r w:rsidRPr="00B62A72">
        <w:t>(Skills for Care, 2022)</w:t>
      </w:r>
      <w:r>
        <w:t>. The lack of these skills can lower the quality of patient care. Thus, healthcare assistants have a significant role in providing person-centred care and enhancing patient outcomes in the health and social care system.</w:t>
      </w:r>
    </w:p>
    <w:p w14:paraId="516D2234" w14:textId="77777777" w:rsidR="00756FD6" w:rsidRDefault="006D3B43" w:rsidP="00B24480">
      <w:pPr>
        <w:pStyle w:val="Heading2"/>
      </w:pPr>
      <w:bookmarkStart w:id="3" w:name="_Toc225462817"/>
      <w:r>
        <w:t xml:space="preserve">1.3 </w:t>
      </w:r>
      <w:r w:rsidR="00B3629D" w:rsidRPr="00B3629D">
        <w:t xml:space="preserve">Evaluation of the skills needed for </w:t>
      </w:r>
      <w:r w:rsidR="00B3629D">
        <w:t xml:space="preserve">a </w:t>
      </w:r>
      <w:r w:rsidR="00B3629D" w:rsidRPr="00B3629D">
        <w:t>Healthcare Assistant</w:t>
      </w:r>
      <w:bookmarkEnd w:id="3"/>
      <w:r>
        <w:t xml:space="preserve"> </w:t>
      </w:r>
    </w:p>
    <w:p w14:paraId="62C610B6" w14:textId="77777777" w:rsidR="00C04812" w:rsidRPr="00C04812" w:rsidRDefault="00C04812" w:rsidP="00C04812">
      <w:pPr>
        <w:rPr>
          <w:b/>
        </w:rPr>
      </w:pPr>
      <w:r w:rsidRPr="00C04812">
        <w:rPr>
          <w:b/>
        </w:rPr>
        <w:t>Communication Skills</w:t>
      </w:r>
    </w:p>
    <w:p w14:paraId="637BFE91" w14:textId="77777777" w:rsidR="00C04812" w:rsidRDefault="00C04812" w:rsidP="00C04812">
      <w:r>
        <w:t xml:space="preserve">One of the most significant skills of a healthcare assistant is communication. HCAs should be able to communicate well to patients, families, and healthcare teams. The importance of good communication helps the patients feel safe. As an illustration, an HCA is supposed to describe procedures using understandable words to alleviate the stress of the patient. </w:t>
      </w:r>
      <w:proofErr w:type="spellStart"/>
      <w:r>
        <w:t>O’Daniel</w:t>
      </w:r>
      <w:proofErr w:type="spellEnd"/>
      <w:r>
        <w:t xml:space="preserve"> and Rosenstein (2008) state that ineffective communication in healthcare may result in severe mistakes and low patient safety. In the absence of effective communication, misunderstanding can result in the wrong care or dissatisfaction with the patient. As an example, when an HCA does not adequately report on the symptoms of a patient to a nurse, then it might postpone treatment. Hence, effective and safe care delivery depends on communication.</w:t>
      </w:r>
    </w:p>
    <w:p w14:paraId="26E1E276" w14:textId="77777777" w:rsidR="00C04812" w:rsidRPr="00C04812" w:rsidRDefault="00C04812" w:rsidP="00C04812">
      <w:pPr>
        <w:rPr>
          <w:b/>
        </w:rPr>
      </w:pPr>
      <w:r w:rsidRPr="00C04812">
        <w:rPr>
          <w:b/>
        </w:rPr>
        <w:t>Empathy and Compassion</w:t>
      </w:r>
    </w:p>
    <w:p w14:paraId="42B97DEB" w14:textId="77777777" w:rsidR="00C04812" w:rsidRDefault="00C04812" w:rsidP="00C04812">
      <w:r>
        <w:t>The ability to empathise enables a healthcare assistant to feel with the patients. It is particularly significant during the treatment of vulnerable groups like senior citizens or disabled patients. Humane care enhances patient experience and emotional conditions (Halpern, 2014). As an example, an HCA that assists a patient with dementia should exercise patience and tolerance when the patient loses his abilities to make his/her decisions. In the absence of empathy, care would be task-oriented as opposed to patient-centred. This may cause emotional disturbance to patients and even lower care levels. Absence of compassion can also destroy patient-employee confidence. Feeling ignored or disrespected, patients might not follow the treatment, and it may lead to the unfavourable results of recovery.</w:t>
      </w:r>
    </w:p>
    <w:p w14:paraId="61206AEC" w14:textId="77777777" w:rsidR="00C04812" w:rsidRPr="00C04812" w:rsidRDefault="00C04812" w:rsidP="00C04812">
      <w:pPr>
        <w:rPr>
          <w:b/>
        </w:rPr>
      </w:pPr>
      <w:r w:rsidRPr="00C04812">
        <w:rPr>
          <w:b/>
        </w:rPr>
        <w:t>Teamwork Skills</w:t>
      </w:r>
    </w:p>
    <w:p w14:paraId="33B2D5AC" w14:textId="77777777" w:rsidR="004E2F74" w:rsidRDefault="00C04812" w:rsidP="00C04812">
      <w:r>
        <w:t>Healthcare assistants are employed in a multidisciplinary team with nurses, doctors, and therapists. In order to have coordinate and efficient care, teamwork is critical. West et al. (2015) assert that healthy teamwork enhances the safety of patients and promotes health outcomes. To illustrate, an HCA has to exchange knowledge with a patient regarding the condition of the latter during a change in shifts. This facilitates continuity of care. Lack of teamwork can result in loss of information that would otherwise have been crucial and hence cause mistakes or delays in treatments. Inadequate collaboration may also result in conflict at the workplace, which impacts on staff performance and patient care. Thus, collaborating in a supportive work environment and providing high-quality care should be maintained through teamwork.</w:t>
      </w:r>
    </w:p>
    <w:p w14:paraId="6EBBFD93" w14:textId="77777777" w:rsidR="00756FD6" w:rsidRPr="00B24480" w:rsidRDefault="006D3B43" w:rsidP="00B24480">
      <w:pPr>
        <w:pStyle w:val="Heading2"/>
      </w:pPr>
      <w:bookmarkStart w:id="4" w:name="_Toc225462818"/>
      <w:r w:rsidRPr="00B24480">
        <w:t xml:space="preserve">1.4 </w:t>
      </w:r>
      <w:r w:rsidR="00B3629D" w:rsidRPr="00B24480">
        <w:t>Strategies to improve the skills for Healthcare Assistant</w:t>
      </w:r>
      <w:bookmarkEnd w:id="4"/>
      <w:r w:rsidRPr="00B24480">
        <w:t xml:space="preserve"> </w:t>
      </w:r>
    </w:p>
    <w:p w14:paraId="3CFBE54A" w14:textId="77777777" w:rsidR="00B62A72" w:rsidRPr="00B62A72" w:rsidRDefault="00B62A72" w:rsidP="00B62A72">
      <w:pPr>
        <w:rPr>
          <w:b/>
          <w:bCs/>
        </w:rPr>
      </w:pPr>
      <w:r w:rsidRPr="00B62A72">
        <w:rPr>
          <w:b/>
          <w:bCs/>
        </w:rPr>
        <w:t>Training and Professional Development</w:t>
      </w:r>
    </w:p>
    <w:p w14:paraId="26982F83" w14:textId="77777777" w:rsidR="00C04812" w:rsidRDefault="00C04812" w:rsidP="00C04812">
      <w:r>
        <w:t>Regular training is one area of effective strategy to enhance the level of communication and teamwork skills. Training programmes assist the healthcare assistants to grow to acquire knowledge and practical skills. As an example, active listening and speaking-out clearly can be taught during the communication workshops. As Skills for Care (2022) says, a continuous professional development enhances competence and confidence of the staff. Training also enables HCAs to be informed of the healthcare standards. Such approach is effective as it entails organisation of learning and demonstration of specific examples that are applicable in practise.</w:t>
      </w:r>
    </w:p>
    <w:p w14:paraId="37637015" w14:textId="77777777" w:rsidR="00C04812" w:rsidRPr="00C04812" w:rsidRDefault="00C04812" w:rsidP="00C04812">
      <w:pPr>
        <w:rPr>
          <w:b/>
        </w:rPr>
      </w:pPr>
      <w:r w:rsidRPr="00C04812">
        <w:rPr>
          <w:b/>
        </w:rPr>
        <w:t>Reflective Practice</w:t>
      </w:r>
    </w:p>
    <w:p w14:paraId="7CCFB802" w14:textId="77777777" w:rsidR="00C04812" w:rsidRDefault="00C04812" w:rsidP="00C04812">
      <w:r>
        <w:t>Another technique of enhancing empathy and communication skills is reflective practise. This entails reflection of the previous experiences and the places one can improve. The reflective cycle developed by Gibbs is widely applied to health care to direct the process of reflection (Gibbs, 1988). As an illustration, an HCA may discuss with a troubled patient the things that were good and those that could be enhanced after the interaction. This assists in the formation of emotional perception and improved reaction towards future events. Reflective practise is successful since it promotes self-improvement. It enables healthcare assistants to acquire experience in life as well as enhance their professional behaviour.</w:t>
      </w:r>
    </w:p>
    <w:p w14:paraId="47D31186" w14:textId="77777777" w:rsidR="00C04812" w:rsidRPr="00C04812" w:rsidRDefault="00C04812" w:rsidP="00C04812">
      <w:pPr>
        <w:rPr>
          <w:b/>
        </w:rPr>
      </w:pPr>
      <w:r w:rsidRPr="00C04812">
        <w:rPr>
          <w:b/>
        </w:rPr>
        <w:t>Mentoring and Supervision</w:t>
      </w:r>
    </w:p>
    <w:p w14:paraId="075411A2" w14:textId="77777777" w:rsidR="004E2F74" w:rsidRDefault="00C04812" w:rsidP="00B3629D">
      <w:r>
        <w:t xml:space="preserve">Mentoring is an effective practise in which experienced personnel mentor and assist less experienced healthcare assistants. Mentoring may help HCAs to acquire effective communication techniques, collaboration and patient care skills. In a case scenario, an elder nurse can give feedback regarding the interaction of the HCA with the patients. This assists in determining the strengths and areas of improvement. </w:t>
      </w:r>
      <w:proofErr w:type="spellStart"/>
      <w:r>
        <w:t>Gopee</w:t>
      </w:r>
      <w:proofErr w:type="spellEnd"/>
      <w:r>
        <w:t xml:space="preserve"> (2015) argues that mentoring enhances professional confidence and skill development. Supervision is also used to provide best practises and high standards of care adherence by healthcare assistants. This is an effective strategy since it offers individualised guidance and realistic learning experiences.</w:t>
      </w:r>
    </w:p>
    <w:p w14:paraId="3F35200F" w14:textId="77777777" w:rsidR="00756FD6" w:rsidRPr="00B24480" w:rsidRDefault="004E2F74" w:rsidP="00B24480">
      <w:pPr>
        <w:pStyle w:val="Heading2"/>
      </w:pPr>
      <w:bookmarkStart w:id="5" w:name="_Toc225462819"/>
      <w:r w:rsidRPr="00B24480">
        <w:t>1.5</w:t>
      </w:r>
      <w:r w:rsidR="006D3B43" w:rsidRPr="00B24480">
        <w:t xml:space="preserve"> Conclusion</w:t>
      </w:r>
      <w:bookmarkEnd w:id="5"/>
      <w:r w:rsidR="006D3B43" w:rsidRPr="00B24480">
        <w:t xml:space="preserve"> </w:t>
      </w:r>
    </w:p>
    <w:p w14:paraId="741BBFBB" w14:textId="77777777" w:rsidR="004E2F74" w:rsidRDefault="00C04812" w:rsidP="00B3629D">
      <w:r w:rsidRPr="00C04812">
        <w:t>To sum up, the healthcare assistant job is a necessity in providing high-quality and safe care. In this report, critical skills that are needed in this position have been demonstrated through communication, empathy, and team work. The skills can help enhance the safety, satisfaction as well as the overall care results of patients. In the absence of these skills, quality of care can therefore be compromised. Training, reflective practise, and mentoring are some of the effective strategies that help in enhancing these skills. In general, the development of these competences plays a significant role in guaranteeing professional development and ensuring a high level of health and social care.</w:t>
      </w:r>
    </w:p>
    <w:p w14:paraId="6797526E" w14:textId="77777777" w:rsidR="00C04812" w:rsidRDefault="00C04812">
      <w:pPr>
        <w:spacing w:before="0" w:after="160" w:line="259" w:lineRule="auto"/>
        <w:jc w:val="left"/>
        <w:rPr>
          <w:rFonts w:eastAsia="Segoe UI" w:cs="Segoe UI"/>
          <w:b/>
          <w:color w:val="4472C4"/>
          <w:sz w:val="26"/>
        </w:rPr>
      </w:pPr>
      <w:r>
        <w:br w:type="page"/>
      </w:r>
    </w:p>
    <w:p w14:paraId="33423C93" w14:textId="77777777" w:rsidR="00756FD6" w:rsidRPr="00B24480" w:rsidRDefault="004E2F74" w:rsidP="00B24480">
      <w:pPr>
        <w:pStyle w:val="Heading2"/>
      </w:pPr>
      <w:bookmarkStart w:id="6" w:name="_Toc225462820"/>
      <w:r w:rsidRPr="00B24480">
        <w:t>1.6</w:t>
      </w:r>
      <w:r w:rsidR="006D3B43" w:rsidRPr="00B24480">
        <w:t xml:space="preserve"> Reference List</w:t>
      </w:r>
      <w:bookmarkEnd w:id="6"/>
      <w:r w:rsidR="006D3B43" w:rsidRPr="00B24480">
        <w:t xml:space="preserve"> </w:t>
      </w:r>
    </w:p>
    <w:p w14:paraId="0F1A9B7D" w14:textId="77777777" w:rsidR="00C04812" w:rsidRPr="00C04812" w:rsidRDefault="006D3B43" w:rsidP="00C04812">
      <w:pPr>
        <w:ind w:left="720" w:hanging="720"/>
      </w:pPr>
      <w:r>
        <w:t xml:space="preserve"> </w:t>
      </w:r>
      <w:r w:rsidR="00C04812" w:rsidRPr="00C04812">
        <w:t xml:space="preserve">Gibbs, G. (1988) </w:t>
      </w:r>
      <w:r w:rsidR="00C04812" w:rsidRPr="00C04812">
        <w:rPr>
          <w:i/>
          <w:iCs/>
        </w:rPr>
        <w:t>Learning by Doing: A Guide to Teaching and Learning Methods</w:t>
      </w:r>
      <w:r w:rsidR="00C04812" w:rsidRPr="00C04812">
        <w:t>. Oxford: Oxford Polytechnic, p. 49.</w:t>
      </w:r>
    </w:p>
    <w:p w14:paraId="0ACBB3D9" w14:textId="77777777" w:rsidR="00C04812" w:rsidRPr="00C04812" w:rsidRDefault="00C04812" w:rsidP="00C04812">
      <w:pPr>
        <w:ind w:left="720" w:hanging="720"/>
      </w:pPr>
      <w:proofErr w:type="spellStart"/>
      <w:r w:rsidRPr="00C04812">
        <w:t>Gopee</w:t>
      </w:r>
      <w:proofErr w:type="spellEnd"/>
      <w:r w:rsidRPr="00C04812">
        <w:t xml:space="preserve">, N. (2015) </w:t>
      </w:r>
      <w:r w:rsidRPr="00C04812">
        <w:rPr>
          <w:i/>
          <w:iCs/>
        </w:rPr>
        <w:t>Mentoring and Supervision in Healthcare</w:t>
      </w:r>
      <w:r w:rsidRPr="00C04812">
        <w:t xml:space="preserve">. 3rd </w:t>
      </w:r>
      <w:proofErr w:type="spellStart"/>
      <w:r w:rsidRPr="00C04812">
        <w:t>edn</w:t>
      </w:r>
      <w:proofErr w:type="spellEnd"/>
      <w:r w:rsidRPr="00C04812">
        <w:t>. London: Sage, p. 72.</w:t>
      </w:r>
    </w:p>
    <w:p w14:paraId="43BF5077" w14:textId="77777777" w:rsidR="00C04812" w:rsidRPr="00C04812" w:rsidRDefault="00C04812" w:rsidP="00C04812">
      <w:pPr>
        <w:ind w:left="720" w:hanging="720"/>
      </w:pPr>
      <w:r w:rsidRPr="00C04812">
        <w:t xml:space="preserve">Halpern, J. (2014) ‘From detached concern to empathy: Humanizing medical practice’, </w:t>
      </w:r>
      <w:r w:rsidRPr="00C04812">
        <w:rPr>
          <w:i/>
          <w:iCs/>
        </w:rPr>
        <w:t>Oxford University Press Journal</w:t>
      </w:r>
      <w:r w:rsidRPr="00C04812">
        <w:t>, 29(2), pp. 121–130.</w:t>
      </w:r>
    </w:p>
    <w:p w14:paraId="1D7ECDC2" w14:textId="77777777" w:rsidR="00C04812" w:rsidRPr="00C04812" w:rsidRDefault="00C04812" w:rsidP="00C04812">
      <w:pPr>
        <w:ind w:left="720" w:hanging="720"/>
      </w:pPr>
      <w:r w:rsidRPr="00C04812">
        <w:t xml:space="preserve">NHS (2023) </w:t>
      </w:r>
      <w:r w:rsidRPr="00C04812">
        <w:rPr>
          <w:i/>
          <w:iCs/>
        </w:rPr>
        <w:t>Healthcare assistant job description</w:t>
      </w:r>
      <w:r w:rsidRPr="00C04812">
        <w:t xml:space="preserve">. Available at: </w:t>
      </w:r>
      <w:hyperlink r:id="rId8" w:tgtFrame="_new" w:history="1">
        <w:r w:rsidRPr="00C04812">
          <w:rPr>
            <w:rStyle w:val="Hyperlink"/>
          </w:rPr>
          <w:t>https://www.healthcareers.nhs.uk</w:t>
        </w:r>
      </w:hyperlink>
      <w:r w:rsidRPr="00C04812">
        <w:t xml:space="preserve"> (Accessed: 20 March 2026).</w:t>
      </w:r>
    </w:p>
    <w:p w14:paraId="24A84DDD" w14:textId="77777777" w:rsidR="00C04812" w:rsidRPr="00C04812" w:rsidRDefault="00C04812" w:rsidP="00C04812">
      <w:pPr>
        <w:ind w:left="720" w:hanging="720"/>
      </w:pPr>
      <w:proofErr w:type="spellStart"/>
      <w:r w:rsidRPr="00C04812">
        <w:t>O’Daniel</w:t>
      </w:r>
      <w:proofErr w:type="spellEnd"/>
      <w:r w:rsidRPr="00C04812">
        <w:t xml:space="preserve">, M. and Rosenstein, A. (2008) ‘Professional communication and team collaboration’, </w:t>
      </w:r>
      <w:r w:rsidRPr="00C04812">
        <w:rPr>
          <w:i/>
          <w:iCs/>
        </w:rPr>
        <w:t>Patient Safety and Quality Journal</w:t>
      </w:r>
      <w:r w:rsidRPr="00C04812">
        <w:t>, 3(1), pp. 45–60.</w:t>
      </w:r>
    </w:p>
    <w:p w14:paraId="67BFEE93" w14:textId="77777777" w:rsidR="00C04812" w:rsidRPr="00C04812" w:rsidRDefault="00C04812" w:rsidP="00C04812">
      <w:pPr>
        <w:ind w:left="720" w:hanging="720"/>
      </w:pPr>
      <w:r w:rsidRPr="00C04812">
        <w:t xml:space="preserve">Skills for Care (2022) </w:t>
      </w:r>
      <w:r w:rsidRPr="00C04812">
        <w:rPr>
          <w:i/>
          <w:iCs/>
        </w:rPr>
        <w:t>The importance of workforce skills in adult social care</w:t>
      </w:r>
      <w:r w:rsidRPr="00C04812">
        <w:t xml:space="preserve">. Available at: </w:t>
      </w:r>
      <w:hyperlink r:id="rId9" w:tgtFrame="_new" w:history="1">
        <w:r w:rsidRPr="00C04812">
          <w:rPr>
            <w:rStyle w:val="Hyperlink"/>
          </w:rPr>
          <w:t>https://www.skillsforcare.org.uk</w:t>
        </w:r>
      </w:hyperlink>
      <w:r w:rsidRPr="00C04812">
        <w:t xml:space="preserve"> (Accessed: 20 March 2026).</w:t>
      </w:r>
    </w:p>
    <w:p w14:paraId="49306EB2" w14:textId="77777777" w:rsidR="00C04812" w:rsidRPr="00C04812" w:rsidRDefault="00C04812" w:rsidP="00C04812">
      <w:pPr>
        <w:ind w:left="720" w:hanging="720"/>
      </w:pPr>
      <w:r w:rsidRPr="00C04812">
        <w:t xml:space="preserve">West, M. et al. (2015) ‘Leadership and leadership development in healthcare’, </w:t>
      </w:r>
      <w:r w:rsidRPr="00C04812">
        <w:rPr>
          <w:i/>
          <w:iCs/>
        </w:rPr>
        <w:t>The King’s Fund Journal</w:t>
      </w:r>
      <w:r w:rsidRPr="00C04812">
        <w:t>, 91(3), pp. 1–24.</w:t>
      </w:r>
    </w:p>
    <w:p w14:paraId="62136EB7" w14:textId="77777777" w:rsidR="00756FD6" w:rsidRDefault="00756FD6" w:rsidP="00B3629D"/>
    <w:sectPr w:rsidR="00756FD6">
      <w:headerReference w:type="even" r:id="rId10"/>
      <w:headerReference w:type="default" r:id="rId11"/>
      <w:footerReference w:type="even" r:id="rId12"/>
      <w:footerReference w:type="default" r:id="rId13"/>
      <w:headerReference w:type="first" r:id="rId14"/>
      <w:footerReference w:type="first" r:id="rId15"/>
      <w:pgSz w:w="11905" w:h="16840"/>
      <w:pgMar w:top="1440" w:right="1432" w:bottom="1493"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17AD0" w14:textId="77777777" w:rsidR="00E61D49" w:rsidRDefault="00E61D49" w:rsidP="002C5944">
      <w:pPr>
        <w:spacing w:before="0" w:after="0" w:line="240" w:lineRule="auto"/>
      </w:pPr>
      <w:r>
        <w:separator/>
      </w:r>
    </w:p>
  </w:endnote>
  <w:endnote w:type="continuationSeparator" w:id="0">
    <w:p w14:paraId="0C9545BC" w14:textId="77777777" w:rsidR="00E61D49" w:rsidRDefault="00E61D49" w:rsidP="002C59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A277F" w14:textId="77777777" w:rsidR="005735D6" w:rsidRDefault="005735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299116"/>
      <w:docPartObj>
        <w:docPartGallery w:val="Page Numbers (Bottom of Page)"/>
        <w:docPartUnique/>
      </w:docPartObj>
    </w:sdtPr>
    <w:sdtEndPr>
      <w:rPr>
        <w:noProof/>
      </w:rPr>
    </w:sdtEndPr>
    <w:sdtContent>
      <w:p w14:paraId="04B06FA5" w14:textId="77777777" w:rsidR="002C5944" w:rsidRDefault="002C5944">
        <w:pPr>
          <w:pStyle w:val="Footer"/>
          <w:jc w:val="right"/>
        </w:pPr>
        <w:r>
          <w:fldChar w:fldCharType="begin"/>
        </w:r>
        <w:r>
          <w:instrText xml:space="preserve"> PAGE   \* MERGEFORMAT </w:instrText>
        </w:r>
        <w:r>
          <w:fldChar w:fldCharType="separate"/>
        </w:r>
        <w:r w:rsidR="005735D6">
          <w:rPr>
            <w:noProof/>
          </w:rPr>
          <w:t>4</w:t>
        </w:r>
        <w:r>
          <w:rPr>
            <w:noProof/>
          </w:rPr>
          <w:fldChar w:fldCharType="end"/>
        </w:r>
      </w:p>
    </w:sdtContent>
  </w:sdt>
  <w:p w14:paraId="7FB7C429" w14:textId="77777777" w:rsidR="002C5944" w:rsidRDefault="002C59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D8380" w14:textId="77777777" w:rsidR="005735D6" w:rsidRDefault="00573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A7498" w14:textId="77777777" w:rsidR="00E61D49" w:rsidRDefault="00E61D49" w:rsidP="002C5944">
      <w:pPr>
        <w:spacing w:before="0" w:after="0" w:line="240" w:lineRule="auto"/>
      </w:pPr>
      <w:r>
        <w:separator/>
      </w:r>
    </w:p>
  </w:footnote>
  <w:footnote w:type="continuationSeparator" w:id="0">
    <w:p w14:paraId="11246E4F" w14:textId="77777777" w:rsidR="00E61D49" w:rsidRDefault="00E61D49" w:rsidP="002C594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CA787" w14:textId="77777777" w:rsidR="005735D6" w:rsidRDefault="005735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6ED97" w14:textId="77777777" w:rsidR="005735D6" w:rsidRDefault="005735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F4E6A" w14:textId="77777777" w:rsidR="005735D6" w:rsidRDefault="00573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2D30"/>
    <w:multiLevelType w:val="hybridMultilevel"/>
    <w:tmpl w:val="66B6B620"/>
    <w:lvl w:ilvl="0" w:tplc="604CD51E">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85A45A72">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33A0D980">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A1081D38">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439AB690">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5FDC1394">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99C2232C">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D74AA8F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564278F8">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1" w15:restartNumberingAfterBreak="0">
    <w:nsid w:val="0C77617C"/>
    <w:multiLevelType w:val="hybridMultilevel"/>
    <w:tmpl w:val="6036726A"/>
    <w:lvl w:ilvl="0" w:tplc="CCEE4A5C">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224C02A0">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F7A89B9C">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9E23E50">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05D288E8">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A9EEAE5A">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5686A51C">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A5B47B5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D74C0C7A">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2" w15:restartNumberingAfterBreak="0">
    <w:nsid w:val="27E07E38"/>
    <w:multiLevelType w:val="hybridMultilevel"/>
    <w:tmpl w:val="183C0490"/>
    <w:lvl w:ilvl="0" w:tplc="547ECDA8">
      <w:start w:val="1"/>
      <w:numFmt w:val="decimal"/>
      <w:lvlText w:val="%1."/>
      <w:lvlJc w:val="left"/>
      <w:pPr>
        <w:ind w:left="34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256A9DB6">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C478CBA6">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B50360E">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FF8C5B46">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20E2E442">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49165AF8">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53EE3578">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93B89CFC">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3" w15:restartNumberingAfterBreak="0">
    <w:nsid w:val="34845882"/>
    <w:multiLevelType w:val="hybridMultilevel"/>
    <w:tmpl w:val="88FA8722"/>
    <w:lvl w:ilvl="0" w:tplc="9740005A">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F6B4FE90">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777074FA">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0B43BE8">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97A4ED96">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3B185678">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A35A3192">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FE64C93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78409C76">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4" w15:restartNumberingAfterBreak="0">
    <w:nsid w:val="79772CBF"/>
    <w:multiLevelType w:val="hybridMultilevel"/>
    <w:tmpl w:val="B1523584"/>
    <w:lvl w:ilvl="0" w:tplc="572A4F76">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FB0EF30E">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F11C4438">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AAC85892">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6E2E3CDA">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04B010AA">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A4B2B176">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839EC844">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8A6AAF94">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num w:numId="1" w16cid:durableId="2024162188">
    <w:abstractNumId w:val="3"/>
  </w:num>
  <w:num w:numId="2" w16cid:durableId="886842127">
    <w:abstractNumId w:val="4"/>
  </w:num>
  <w:num w:numId="3" w16cid:durableId="492528172">
    <w:abstractNumId w:val="2"/>
  </w:num>
  <w:num w:numId="4" w16cid:durableId="713846435">
    <w:abstractNumId w:val="1"/>
  </w:num>
  <w:num w:numId="5" w16cid:durableId="1839424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FD6"/>
    <w:rsid w:val="0020409F"/>
    <w:rsid w:val="002C5944"/>
    <w:rsid w:val="00442BB2"/>
    <w:rsid w:val="004E2F74"/>
    <w:rsid w:val="005735D6"/>
    <w:rsid w:val="0061095F"/>
    <w:rsid w:val="006D3B43"/>
    <w:rsid w:val="00756FD6"/>
    <w:rsid w:val="00813ECF"/>
    <w:rsid w:val="0093046A"/>
    <w:rsid w:val="00B24480"/>
    <w:rsid w:val="00B3629D"/>
    <w:rsid w:val="00B62A72"/>
    <w:rsid w:val="00B94F24"/>
    <w:rsid w:val="00C04812"/>
    <w:rsid w:val="00D47685"/>
    <w:rsid w:val="00E613AA"/>
    <w:rsid w:val="00E6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4CF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480"/>
    <w:pPr>
      <w:spacing w:before="60" w:after="60" w:line="360" w:lineRule="auto"/>
      <w:jc w:val="both"/>
    </w:pPr>
    <w:rPr>
      <w:rFonts w:ascii="Times New Roman" w:eastAsia="Calibri" w:hAnsi="Times New Roman" w:cs="Calibri"/>
      <w:color w:val="000000"/>
      <w:sz w:val="24"/>
    </w:rPr>
  </w:style>
  <w:style w:type="paragraph" w:styleId="Heading1">
    <w:name w:val="heading 1"/>
    <w:next w:val="Normal"/>
    <w:link w:val="Heading1Char"/>
    <w:uiPriority w:val="9"/>
    <w:unhideWhenUsed/>
    <w:qFormat/>
    <w:rsid w:val="00B24480"/>
    <w:pPr>
      <w:keepNext/>
      <w:keepLines/>
      <w:spacing w:before="80" w:after="80" w:line="360" w:lineRule="auto"/>
      <w:outlineLvl w:val="0"/>
    </w:pPr>
    <w:rPr>
      <w:rFonts w:ascii="Times New Roman" w:eastAsia="Segoe UI" w:hAnsi="Times New Roman" w:cs="Segoe UI"/>
      <w:b/>
      <w:color w:val="4472C4"/>
      <w:sz w:val="28"/>
    </w:rPr>
  </w:style>
  <w:style w:type="paragraph" w:styleId="Heading2">
    <w:name w:val="heading 2"/>
    <w:next w:val="Normal"/>
    <w:link w:val="Heading2Char"/>
    <w:uiPriority w:val="9"/>
    <w:unhideWhenUsed/>
    <w:qFormat/>
    <w:rsid w:val="00B24480"/>
    <w:pPr>
      <w:keepNext/>
      <w:keepLines/>
      <w:spacing w:before="60" w:after="60" w:line="360" w:lineRule="auto"/>
      <w:ind w:left="11" w:hanging="11"/>
      <w:outlineLvl w:val="1"/>
    </w:pPr>
    <w:rPr>
      <w:rFonts w:ascii="Times New Roman" w:eastAsia="Segoe UI" w:hAnsi="Times New Roman" w:cs="Segoe UI"/>
      <w:b/>
      <w:color w:val="4472C4"/>
      <w:sz w:val="26"/>
    </w:rPr>
  </w:style>
  <w:style w:type="paragraph" w:styleId="Heading3">
    <w:name w:val="heading 3"/>
    <w:next w:val="Normal"/>
    <w:link w:val="Heading3Char"/>
    <w:uiPriority w:val="9"/>
    <w:unhideWhenUsed/>
    <w:qFormat/>
    <w:pPr>
      <w:keepNext/>
      <w:keepLines/>
      <w:spacing w:after="0"/>
      <w:ind w:left="10" w:hanging="10"/>
      <w:outlineLvl w:val="2"/>
    </w:pPr>
    <w:rPr>
      <w:rFonts w:ascii="Segoe UI" w:eastAsia="Segoe UI" w:hAnsi="Segoe UI" w:cs="Segoe UI"/>
      <w:color w:val="4472C4"/>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Segoe UI" w:eastAsia="Segoe UI" w:hAnsi="Segoe UI" w:cs="Segoe UI"/>
      <w:color w:val="4472C4"/>
      <w:sz w:val="28"/>
    </w:rPr>
  </w:style>
  <w:style w:type="character" w:customStyle="1" w:styleId="Heading1Char">
    <w:name w:val="Heading 1 Char"/>
    <w:link w:val="Heading1"/>
    <w:uiPriority w:val="9"/>
    <w:rsid w:val="00B24480"/>
    <w:rPr>
      <w:rFonts w:ascii="Times New Roman" w:eastAsia="Segoe UI" w:hAnsi="Times New Roman" w:cs="Segoe UI"/>
      <w:b/>
      <w:color w:val="4472C4"/>
      <w:sz w:val="28"/>
    </w:rPr>
  </w:style>
  <w:style w:type="character" w:customStyle="1" w:styleId="Heading2Char">
    <w:name w:val="Heading 2 Char"/>
    <w:link w:val="Heading2"/>
    <w:uiPriority w:val="9"/>
    <w:rsid w:val="00B24480"/>
    <w:rPr>
      <w:rFonts w:ascii="Times New Roman" w:eastAsia="Segoe UI" w:hAnsi="Times New Roman" w:cs="Segoe UI"/>
      <w:b/>
      <w:color w:val="4472C4"/>
      <w:sz w:val="26"/>
    </w:rPr>
  </w:style>
  <w:style w:type="paragraph" w:styleId="TOC1">
    <w:name w:val="toc 1"/>
    <w:hidden/>
    <w:uiPriority w:val="39"/>
    <w:pPr>
      <w:spacing w:after="112"/>
      <w:ind w:left="15" w:right="23"/>
    </w:pPr>
    <w:rPr>
      <w:rFonts w:ascii="Segoe UI" w:eastAsia="Segoe UI" w:hAnsi="Segoe UI" w:cs="Segoe UI"/>
      <w:b/>
      <w:i/>
      <w:color w:val="000000"/>
      <w:sz w:val="24"/>
    </w:rPr>
  </w:style>
  <w:style w:type="paragraph" w:styleId="TOC2">
    <w:name w:val="toc 2"/>
    <w:hidden/>
    <w:uiPriority w:val="39"/>
    <w:pPr>
      <w:spacing w:after="139"/>
      <w:ind w:left="25" w:right="22" w:hanging="10"/>
      <w:jc w:val="right"/>
    </w:pPr>
    <w:rPr>
      <w:rFonts w:ascii="Segoe UI" w:eastAsia="Segoe UI" w:hAnsi="Segoe UI" w:cs="Segoe UI"/>
      <w:b/>
      <w:color w:val="000000"/>
      <w:sz w:val="20"/>
    </w:rPr>
  </w:style>
  <w:style w:type="paragraph" w:styleId="NormalWeb">
    <w:name w:val="Normal (Web)"/>
    <w:basedOn w:val="Normal"/>
    <w:uiPriority w:val="99"/>
    <w:semiHidden/>
    <w:unhideWhenUsed/>
    <w:rsid w:val="00C04812"/>
    <w:rPr>
      <w:rFonts w:cs="Times New Roman"/>
      <w:szCs w:val="24"/>
    </w:rPr>
  </w:style>
  <w:style w:type="character" w:styleId="Hyperlink">
    <w:name w:val="Hyperlink"/>
    <w:basedOn w:val="DefaultParagraphFont"/>
    <w:uiPriority w:val="99"/>
    <w:unhideWhenUsed/>
    <w:rsid w:val="00C04812"/>
    <w:rPr>
      <w:color w:val="0563C1" w:themeColor="hyperlink"/>
      <w:u w:val="single"/>
    </w:rPr>
  </w:style>
  <w:style w:type="paragraph" w:styleId="Header">
    <w:name w:val="header"/>
    <w:basedOn w:val="Normal"/>
    <w:link w:val="HeaderChar"/>
    <w:uiPriority w:val="99"/>
    <w:unhideWhenUsed/>
    <w:rsid w:val="002C594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C5944"/>
    <w:rPr>
      <w:rFonts w:ascii="Times New Roman" w:eastAsia="Calibri" w:hAnsi="Times New Roman" w:cs="Calibri"/>
      <w:color w:val="000000"/>
      <w:sz w:val="24"/>
    </w:rPr>
  </w:style>
  <w:style w:type="paragraph" w:styleId="Footer">
    <w:name w:val="footer"/>
    <w:basedOn w:val="Normal"/>
    <w:link w:val="FooterChar"/>
    <w:uiPriority w:val="99"/>
    <w:unhideWhenUsed/>
    <w:rsid w:val="002C59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C5944"/>
    <w:rPr>
      <w:rFonts w:ascii="Times New Roman" w:eastAsia="Calibri" w:hAnsi="Times New Roman" w:cs="Calibr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063419">
      <w:bodyDiv w:val="1"/>
      <w:marLeft w:val="0"/>
      <w:marRight w:val="0"/>
      <w:marTop w:val="0"/>
      <w:marBottom w:val="0"/>
      <w:divBdr>
        <w:top w:val="none" w:sz="0" w:space="0" w:color="auto"/>
        <w:left w:val="none" w:sz="0" w:space="0" w:color="auto"/>
        <w:bottom w:val="none" w:sz="0" w:space="0" w:color="auto"/>
        <w:right w:val="none" w:sz="0" w:space="0" w:color="auto"/>
      </w:divBdr>
    </w:div>
    <w:div w:id="332340765">
      <w:bodyDiv w:val="1"/>
      <w:marLeft w:val="0"/>
      <w:marRight w:val="0"/>
      <w:marTop w:val="0"/>
      <w:marBottom w:val="0"/>
      <w:divBdr>
        <w:top w:val="none" w:sz="0" w:space="0" w:color="auto"/>
        <w:left w:val="none" w:sz="0" w:space="0" w:color="auto"/>
        <w:bottom w:val="none" w:sz="0" w:space="0" w:color="auto"/>
        <w:right w:val="none" w:sz="0" w:space="0" w:color="auto"/>
      </w:divBdr>
    </w:div>
    <w:div w:id="9357889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skillsforcare.org.uk" TargetMode="External"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1417</Words>
  <Characters>8080</Characters>
  <Application>Microsoft Office Word</Application>
  <DocSecurity>0</DocSecurity>
  <Lines>67</Lines>
  <Paragraphs>18</Paragraphs>
  <ScaleCrop>false</ScaleCrop>
  <Company/>
  <LinksUpToDate>false</LinksUpToDate>
  <CharactersWithSpaces>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2026-04-06T00:35:00Z</dcterms:created>
  <dcterms:modified xsi:type="dcterms:W3CDTF">2026-04-06T00:43:00Z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6a55ff37-2bad-462c-9bff-01047ab82d2b</vt:lpwstr>
  </property>
</Properties>
</file>