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5A35F6BC" w:rsidR="007E7745" w:rsidRPr="00C03A91" w:rsidRDefault="007E7745" w:rsidP="00C03A91">
      <w:pPr>
        <w:spacing w:line="360" w:lineRule="auto"/>
        <w:rPr>
          <w:rFonts w:ascii="Arial" w:hAnsi="Arial" w:cs="Arial"/>
        </w:rPr>
      </w:pPr>
    </w:p>
    <w:p w14:paraId="365DE405" w14:textId="77777777" w:rsidR="00EB12BC" w:rsidRPr="00C03A91" w:rsidRDefault="00EB12BC" w:rsidP="00C03A91">
      <w:pPr>
        <w:spacing w:line="360" w:lineRule="auto"/>
        <w:rPr>
          <w:rFonts w:ascii="Arial" w:hAnsi="Arial" w:cs="Arial"/>
          <w:szCs w:val="24"/>
        </w:rPr>
      </w:pPr>
      <w:r w:rsidRPr="00C03A91">
        <w:rPr>
          <w:rFonts w:ascii="Arial" w:hAnsi="Arial" w:cs="Arial"/>
          <w:noProof/>
          <w:szCs w:val="24"/>
        </w:rPr>
        <w:drawing>
          <wp:anchor distT="0" distB="0" distL="114300" distR="114300" simplePos="0" relativeHeight="251659264" behindDoc="0" locked="0" layoutInCell="1" allowOverlap="1" wp14:anchorId="2F049D74" wp14:editId="5F1928BB">
            <wp:simplePos x="0" y="0"/>
            <wp:positionH relativeFrom="column">
              <wp:posOffset>0</wp:posOffset>
            </wp:positionH>
            <wp:positionV relativeFrom="paragraph">
              <wp:posOffset>292100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435156F9" w:rsidR="00EB12BC" w:rsidRPr="00513391" w:rsidRDefault="00EB12BC" w:rsidP="00C03A91">
      <w:pPr>
        <w:tabs>
          <w:tab w:val="left" w:pos="6540"/>
        </w:tabs>
        <w:spacing w:line="360" w:lineRule="auto"/>
        <w:rPr>
          <w:rFonts w:ascii="Arial" w:hAnsi="Arial" w:cs="Arial"/>
          <w:sz w:val="28"/>
          <w:szCs w:val="28"/>
        </w:rPr>
      </w:pPr>
      <w:r w:rsidRPr="00513391">
        <w:rPr>
          <w:rFonts w:ascii="Arial" w:hAnsi="Arial" w:cs="Arial"/>
          <w:b/>
          <w:bCs/>
          <w:sz w:val="28"/>
          <w:szCs w:val="28"/>
        </w:rPr>
        <w:t>Student name</w:t>
      </w:r>
      <w:r w:rsidRPr="00513391">
        <w:rPr>
          <w:rFonts w:ascii="Arial" w:hAnsi="Arial" w:cs="Arial"/>
          <w:sz w:val="28"/>
          <w:szCs w:val="28"/>
        </w:rPr>
        <w:t>:</w:t>
      </w:r>
      <w:r w:rsidR="002372E6" w:rsidRPr="00513391">
        <w:rPr>
          <w:rFonts w:ascii="Arial" w:hAnsi="Arial" w:cs="Arial"/>
          <w:sz w:val="28"/>
          <w:szCs w:val="28"/>
        </w:rPr>
        <w:t xml:space="preserve"> Jujita Angog Cupatan</w:t>
      </w:r>
    </w:p>
    <w:p w14:paraId="3C83A8A7" w14:textId="06E4E9B5" w:rsidR="00EB12BC" w:rsidRPr="00513391" w:rsidRDefault="00EB12BC" w:rsidP="00C03A91">
      <w:pPr>
        <w:tabs>
          <w:tab w:val="left" w:pos="6540"/>
        </w:tabs>
        <w:spacing w:line="360" w:lineRule="auto"/>
        <w:rPr>
          <w:rFonts w:ascii="Arial" w:hAnsi="Arial" w:cs="Arial"/>
          <w:sz w:val="28"/>
          <w:szCs w:val="28"/>
        </w:rPr>
      </w:pPr>
      <w:r w:rsidRPr="00513391">
        <w:rPr>
          <w:rFonts w:ascii="Arial" w:hAnsi="Arial" w:cs="Arial"/>
          <w:b/>
          <w:bCs/>
          <w:sz w:val="28"/>
          <w:szCs w:val="28"/>
        </w:rPr>
        <w:t>Student ID</w:t>
      </w:r>
      <w:r w:rsidRPr="00513391">
        <w:rPr>
          <w:rFonts w:ascii="Arial" w:hAnsi="Arial" w:cs="Arial"/>
          <w:sz w:val="28"/>
          <w:szCs w:val="28"/>
        </w:rPr>
        <w:t>:</w:t>
      </w:r>
      <w:r w:rsidR="002372E6" w:rsidRPr="00513391">
        <w:rPr>
          <w:rFonts w:ascii="Arial" w:hAnsi="Arial" w:cs="Arial"/>
          <w:sz w:val="28"/>
          <w:szCs w:val="28"/>
        </w:rPr>
        <w:t xml:space="preserve"> 2424591</w:t>
      </w:r>
    </w:p>
    <w:p w14:paraId="21E9DC72" w14:textId="77777777" w:rsidR="00EB12BC" w:rsidRPr="00513391" w:rsidRDefault="00EB12BC" w:rsidP="00C03A91">
      <w:pPr>
        <w:tabs>
          <w:tab w:val="left" w:pos="6540"/>
        </w:tabs>
        <w:spacing w:line="360" w:lineRule="auto"/>
        <w:rPr>
          <w:rFonts w:ascii="Arial" w:hAnsi="Arial" w:cs="Arial"/>
          <w:sz w:val="28"/>
          <w:szCs w:val="28"/>
        </w:rPr>
      </w:pPr>
    </w:p>
    <w:p w14:paraId="23BAC9B9" w14:textId="261F5B61" w:rsidR="00EB12BC" w:rsidRPr="00513391" w:rsidRDefault="00EB12BC" w:rsidP="00C03A91">
      <w:pPr>
        <w:tabs>
          <w:tab w:val="left" w:pos="6540"/>
        </w:tabs>
        <w:spacing w:line="360" w:lineRule="auto"/>
        <w:rPr>
          <w:rFonts w:ascii="Arial" w:hAnsi="Arial" w:cs="Arial"/>
          <w:sz w:val="28"/>
          <w:szCs w:val="28"/>
        </w:rPr>
      </w:pPr>
      <w:r w:rsidRPr="00513391">
        <w:rPr>
          <w:rFonts w:ascii="Arial" w:hAnsi="Arial" w:cs="Arial"/>
          <w:b/>
          <w:bCs/>
          <w:sz w:val="28"/>
          <w:szCs w:val="28"/>
        </w:rPr>
        <w:t>Module name</w:t>
      </w:r>
      <w:r w:rsidRPr="00513391">
        <w:rPr>
          <w:rFonts w:ascii="Arial" w:hAnsi="Arial" w:cs="Arial"/>
          <w:sz w:val="28"/>
          <w:szCs w:val="28"/>
        </w:rPr>
        <w:t xml:space="preserve">: </w:t>
      </w:r>
      <w:r w:rsidR="00397B7C" w:rsidRPr="00513391">
        <w:rPr>
          <w:rFonts w:ascii="Arial" w:hAnsi="Arial" w:cs="Arial"/>
          <w:sz w:val="28"/>
          <w:szCs w:val="28"/>
        </w:rPr>
        <w:t>Jujita Angog Cupatan</w:t>
      </w:r>
    </w:p>
    <w:p w14:paraId="4FD97C8C" w14:textId="56FA6828"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F75000">
        <w:rPr>
          <w:rFonts w:ascii="Arial" w:hAnsi="Arial" w:cs="Arial"/>
          <w:sz w:val="28"/>
          <w:szCs w:val="28"/>
        </w:rPr>
        <w:t xml:space="preserve"> </w:t>
      </w:r>
      <w:r w:rsidR="00DD0808">
        <w:rPr>
          <w:rFonts w:ascii="Arial" w:hAnsi="Arial" w:cs="Arial"/>
          <w:sz w:val="28"/>
          <w:szCs w:val="28"/>
        </w:rPr>
        <w:t>BMHP5021</w:t>
      </w:r>
    </w:p>
    <w:p w14:paraId="658BE57E" w14:textId="4BA368DB"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DD0808">
        <w:rPr>
          <w:rFonts w:ascii="Arial" w:hAnsi="Arial" w:cs="Arial"/>
          <w:sz w:val="28"/>
          <w:szCs w:val="28"/>
        </w:rPr>
        <w:t xml:space="preserve"> Mrs. Umma Sul</w:t>
      </w:r>
      <w:r w:rsidR="00F75000">
        <w:rPr>
          <w:rFonts w:ascii="Arial" w:hAnsi="Arial" w:cs="Arial"/>
          <w:sz w:val="28"/>
          <w:szCs w:val="28"/>
        </w:rPr>
        <w:t>e</w:t>
      </w:r>
      <w:r w:rsidR="00DD0808">
        <w:rPr>
          <w:rFonts w:ascii="Arial" w:hAnsi="Arial" w:cs="Arial"/>
          <w:sz w:val="28"/>
          <w:szCs w:val="28"/>
        </w:rPr>
        <w:t>iman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Pr="00C03A91" w:rsidRDefault="001B7A40" w:rsidP="00C03A91">
      <w:pPr>
        <w:tabs>
          <w:tab w:val="left" w:pos="6540"/>
        </w:tabs>
        <w:spacing w:line="360" w:lineRule="auto"/>
        <w:rPr>
          <w:rFonts w:ascii="Arial" w:hAnsi="Arial" w:cs="Arial"/>
          <w:b/>
          <w:bCs/>
          <w:sz w:val="28"/>
          <w:szCs w:val="28"/>
        </w:rPr>
      </w:pPr>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510E9F6F" w14:textId="77777777" w:rsidR="002A612A" w:rsidRPr="002A612A" w:rsidRDefault="000C4EDA" w:rsidP="002A612A">
      <w:pPr>
        <w:spacing w:line="360" w:lineRule="auto"/>
        <w:rPr>
          <w:b/>
          <w:bCs/>
          <w:sz w:val="32"/>
          <w:szCs w:val="32"/>
        </w:rPr>
      </w:pPr>
      <w:r w:rsidRPr="00C03A91">
        <w:rPr>
          <w:rFonts w:ascii="Arial" w:hAnsi="Arial" w:cs="Arial"/>
          <w:sz w:val="28"/>
          <w:szCs w:val="28"/>
        </w:rPr>
        <w:br w:type="page"/>
      </w:r>
      <w:r w:rsidRPr="002A612A">
        <w:rPr>
          <w:b/>
          <w:bCs/>
          <w:sz w:val="32"/>
          <w:szCs w:val="32"/>
        </w:rPr>
        <w:lastRenderedPageBreak/>
        <w:t>Introduction</w:t>
      </w:r>
      <w:r w:rsidR="00C03A91" w:rsidRPr="002A612A">
        <w:rPr>
          <w:b/>
          <w:bCs/>
          <w:sz w:val="32"/>
          <w:szCs w:val="32"/>
        </w:rPr>
        <w:t xml:space="preserve"> </w:t>
      </w:r>
    </w:p>
    <w:p w14:paraId="32CEED2B" w14:textId="77777777" w:rsidR="00397B7C" w:rsidRDefault="002372E6" w:rsidP="00C83ED0">
      <w:pPr>
        <w:spacing w:line="360" w:lineRule="auto"/>
        <w:jc w:val="both"/>
      </w:pPr>
      <w:r w:rsidRPr="002A612A">
        <w:t>Early Help is an important part of the support available to</w:t>
      </w:r>
      <w:r w:rsidR="002A612A">
        <w:t xml:space="preserve"> </w:t>
      </w:r>
      <w:r w:rsidRPr="002A612A">
        <w:t>children, young people and</w:t>
      </w:r>
      <w:r w:rsidR="00336D6C">
        <w:t xml:space="preserve"> </w:t>
      </w:r>
      <w:r w:rsidRPr="002A612A">
        <w:t>families in England. It aims to identify and respond to difficulties at an early stage, before problems become more serious and require statutory intervention</w:t>
      </w:r>
      <w:r w:rsidRPr="00F75000">
        <w:rPr>
          <w:b/>
          <w:bCs/>
        </w:rPr>
        <w:t xml:space="preserve">. </w:t>
      </w:r>
      <w:r w:rsidRPr="00F75000">
        <w:t>Effective Early Help</w:t>
      </w:r>
      <w:r w:rsidRPr="002A612A">
        <w:t xml:space="preserve"> depends not only on the availability of services but also on whether families can understand what support exists, identify the appropriate service and access it without unnecessary barriers. Local authority websites are therefore an important method of signposting families to information, advice and support (Department for Education and Department for Levelling Up, Housing and Communities, 2022).</w:t>
      </w:r>
    </w:p>
    <w:p w14:paraId="106E0B17" w14:textId="77CFF80E" w:rsidR="002372E6" w:rsidRDefault="002372E6" w:rsidP="00C83ED0">
      <w:pPr>
        <w:spacing w:line="360" w:lineRule="auto"/>
        <w:jc w:val="both"/>
      </w:pPr>
      <w:r>
        <w:t xml:space="preserve">This report examines and compares how three local authorities communicate Early Help and related family support services through their websites: </w:t>
      </w:r>
      <w:r w:rsidRPr="00336D6C">
        <w:rPr>
          <w:rStyle w:val="Strong"/>
          <w:b w:val="0"/>
          <w:bCs w:val="0"/>
        </w:rPr>
        <w:t>Leeds City Council, Tower Hamlets Council and Norfolk County Council</w:t>
      </w:r>
      <w:r w:rsidRPr="00336D6C">
        <w:rPr>
          <w:b/>
          <w:bCs/>
        </w:rPr>
        <w:t>.</w:t>
      </w:r>
      <w:r>
        <w:t xml:space="preserve"> </w:t>
      </w:r>
      <w:r w:rsidR="0060431F">
        <w:t>A</w:t>
      </w:r>
      <w:r>
        <w:t xml:space="preserve">nalysis considers the clarity, accessibility, range of information, methods of contact, visibility of Early Help and evidence of multi-agency working. </w:t>
      </w:r>
      <w:r w:rsidR="0060431F">
        <w:t>D</w:t>
      </w:r>
      <w:r>
        <w:t xml:space="preserve">iscussion is informed by the </w:t>
      </w:r>
      <w:r w:rsidRPr="00336D6C">
        <w:rPr>
          <w:rStyle w:val="Emphasis"/>
          <w:i w:val="0"/>
          <w:iCs w:val="0"/>
        </w:rPr>
        <w:t>Supporting Families: Early Help System Guide</w:t>
      </w:r>
      <w:r>
        <w:t xml:space="preserve"> (Department for Education and Department for Levelling Up, Housing and Communities, 2022) and the current </w:t>
      </w:r>
      <w:r w:rsidRPr="00336D6C">
        <w:rPr>
          <w:rStyle w:val="Emphasis"/>
          <w:i w:val="0"/>
          <w:iCs w:val="0"/>
        </w:rPr>
        <w:t>Working Together to Safeguard Children 2026</w:t>
      </w:r>
      <w:r>
        <w:t xml:space="preserve"> statutory guidance (Department for Education, 2026). These documents emphasise early intervention, effective partnership working and coordinated support to help, protect and promote the welfare of children (Department for Education, 2026).</w:t>
      </w:r>
    </w:p>
    <w:p w14:paraId="1FF8115A" w14:textId="77777777" w:rsidR="002A612A" w:rsidRPr="002A612A" w:rsidRDefault="002A612A" w:rsidP="002A612A">
      <w:pPr>
        <w:pStyle w:val="NormalWeb"/>
        <w:rPr>
          <w:b/>
          <w:bCs/>
          <w:sz w:val="32"/>
          <w:szCs w:val="32"/>
        </w:rPr>
      </w:pPr>
      <w:r w:rsidRPr="002A612A">
        <w:rPr>
          <w:b/>
          <w:bCs/>
          <w:sz w:val="32"/>
          <w:szCs w:val="32"/>
        </w:rPr>
        <w:t>Explanation of the Early Help System</w:t>
      </w:r>
    </w:p>
    <w:p w14:paraId="19594FD6" w14:textId="77777777" w:rsidR="00C83ED0" w:rsidRDefault="002A612A" w:rsidP="00C83ED0">
      <w:pPr>
        <w:pStyle w:val="NormalWeb"/>
        <w:spacing w:line="360" w:lineRule="auto"/>
        <w:jc w:val="both"/>
      </w:pPr>
      <w:r w:rsidRPr="002A612A">
        <w:t>Early Help refers to support provided to children, young people and families when difficulties are first identified, with the aim of preventing problems from escalating and reducing the need for more intensive or statutory intervention. The Supporting Families: Early Help System Guide explains that Early Help should be a coordinated system involving different organisations and professionals rather than a single service. It promotes shared responsibility, accessible services, effective information sharing and positive relationships with families (Department for Education and Department for Levelling Up, Housing and Communities, 2022).</w:t>
      </w:r>
    </w:p>
    <w:p w14:paraId="0B4E1B95" w14:textId="7D1D34B5" w:rsidR="00F34CE6" w:rsidRDefault="002A612A" w:rsidP="00C83ED0">
      <w:pPr>
        <w:pStyle w:val="NormalWeb"/>
        <w:spacing w:line="360" w:lineRule="auto"/>
        <w:jc w:val="both"/>
      </w:pPr>
      <w:r w:rsidRPr="002A612A">
        <w:t xml:space="preserve">Providing appropriate support at an early stage can help families manage difficulties. Research examining Early Help provision across all 152 English local authorities found considerable differences in how services were organised and delivered. There were no common protocols </w:t>
      </w:r>
      <w:r w:rsidRPr="002A612A">
        <w:lastRenderedPageBreak/>
        <w:t xml:space="preserve">for categorising referrals or identifying children's needs. Children's behavioural </w:t>
      </w:r>
      <w:r w:rsidR="001D1B4F">
        <w:t>challenges</w:t>
      </w:r>
      <w:r w:rsidRPr="002A612A">
        <w:t xml:space="preserve"> were the most frequently reported reason for Early Help, followed by parenting </w:t>
      </w:r>
      <w:r w:rsidR="005646CA">
        <w:t>difficulties</w:t>
      </w:r>
      <w:r w:rsidRPr="002A612A">
        <w:t xml:space="preserve"> and children's emotional wellbeing</w:t>
      </w:r>
      <w:r w:rsidR="00973AB1">
        <w:t>, housing,</w:t>
      </w:r>
      <w:r w:rsidR="00A038A1">
        <w:t xml:space="preserve"> </w:t>
      </w:r>
      <w:r w:rsidR="004B4CC6">
        <w:t>and financial</w:t>
      </w:r>
      <w:r w:rsidR="001A7B3C">
        <w:t xml:space="preserve"> problems</w:t>
      </w:r>
      <w:r w:rsidR="00CE07E8">
        <w:t>, educational</w:t>
      </w:r>
      <w:r w:rsidR="0064396A">
        <w:t>,</w:t>
      </w:r>
      <w:r w:rsidR="00B30B5F">
        <w:t xml:space="preserve"> disability and family relationship</w:t>
      </w:r>
      <w:r w:rsidR="00C61E2B">
        <w:t>s</w:t>
      </w:r>
      <w:r w:rsidRPr="002A612A">
        <w:t>. The proportion of children receiving Early Help also varied significantly between local authorities, demonstrating differences in local approaches and thresholds (</w:t>
      </w:r>
      <w:r w:rsidR="00575D4E">
        <w:t>Lucas and Archad)</w:t>
      </w:r>
      <w:r w:rsidRPr="002A612A">
        <w:t>.</w:t>
      </w:r>
      <w:r w:rsidR="00C83ED0">
        <w:t xml:space="preserve"> </w:t>
      </w:r>
      <w:r w:rsidRPr="002A612A">
        <w:t xml:space="preserve">These differences are relevant to how Early Help is communicated to families. Although research provides evidence about </w:t>
      </w:r>
      <w:r w:rsidR="007257DF">
        <w:t>its</w:t>
      </w:r>
      <w:r w:rsidRPr="002A612A">
        <w:t xml:space="preserve"> organisation, there is </w:t>
      </w:r>
      <w:r w:rsidR="007257DF" w:rsidRPr="002A612A">
        <w:t>less</w:t>
      </w:r>
      <w:r w:rsidRPr="002A612A">
        <w:t xml:space="preserve"> research examining how local authorities specifically signpost these services through their websites. Local differences in services and thresholds may therefore influence how information is presented and accessed by families. The Working Together to Safeguard Children 2026 guidance emphasises coordinated and multi-agency support</w:t>
      </w:r>
      <w:r w:rsidR="002D5FFD">
        <w:t xml:space="preserve">. </w:t>
      </w:r>
      <w:r w:rsidR="007823E3">
        <w:t xml:space="preserve">Early Help also operates within the wider statutory framework for children’s services. Under </w:t>
      </w:r>
      <w:r w:rsidR="007823E3" w:rsidRPr="007823E3">
        <w:rPr>
          <w:rStyle w:val="Strong"/>
          <w:b w:val="0"/>
          <w:bCs w:val="0"/>
        </w:rPr>
        <w:t>Section 17 of the Children Act 1989</w:t>
      </w:r>
      <w:r w:rsidR="007823E3">
        <w:t xml:space="preserve">, local authorities have a duty to safeguard and promote the welfare of children in need in their area. </w:t>
      </w:r>
      <w:r w:rsidR="00577C8E">
        <w:t>It also</w:t>
      </w:r>
      <w:r w:rsidR="007823E3">
        <w:t xml:space="preserve"> supports this preventative approach by identifying emerging difficulties and providing appropriate support before problems become more serious or require higher-level statutory intervention (Children Act 1989; Department for Education, 2026).</w:t>
      </w:r>
    </w:p>
    <w:p w14:paraId="6BF2784E" w14:textId="77777777" w:rsidR="00A53C95" w:rsidRPr="00336D6C" w:rsidRDefault="00A53C95" w:rsidP="00A53C95">
      <w:pPr>
        <w:pStyle w:val="NormalWeb"/>
        <w:rPr>
          <w:b/>
          <w:bCs/>
          <w:sz w:val="32"/>
          <w:szCs w:val="32"/>
        </w:rPr>
      </w:pPr>
      <w:r w:rsidRPr="00336D6C">
        <w:rPr>
          <w:b/>
          <w:bCs/>
          <w:sz w:val="32"/>
          <w:szCs w:val="32"/>
        </w:rPr>
        <w:t>Multi-Agency Working</w:t>
      </w:r>
    </w:p>
    <w:p w14:paraId="1FCB5F19" w14:textId="3FA0A23B" w:rsidR="00DE5B7A" w:rsidRDefault="00A53C95" w:rsidP="00C83ED0">
      <w:pPr>
        <w:pStyle w:val="NormalWeb"/>
        <w:spacing w:line="360" w:lineRule="auto"/>
        <w:jc w:val="both"/>
      </w:pPr>
      <w:r w:rsidRPr="00A53C95">
        <w:t>Multi-agency working involves professionals and organisations from different services working together to safeguard children, young people and families. This may include social care, health, education, police, housing services</w:t>
      </w:r>
      <w:r w:rsidR="00462972">
        <w:t>,</w:t>
      </w:r>
      <w:r w:rsidRPr="00A53C95">
        <w:t xml:space="preserve"> voluntary and community organisations. It is an important approach because different agencies can contribute their own knowledge, skills and resources, enabling families to receive more coordinated and appropriate </w:t>
      </w:r>
      <w:r w:rsidR="00336D6C" w:rsidRPr="00A53C95">
        <w:t>support. Although</w:t>
      </w:r>
      <w:r w:rsidRPr="00A53C95">
        <w:t xml:space="preserve"> partnership working is supported by legislation, policy and safeguarding guidance, research identifies several challenges in practice. These include unclear roles and responsibilities between agencies and difficulties in sharing relevant information quickly and appropriately. Such barriers can affect the ability of professionals to identify concerns and respond effectively. Effective multi-agency safeguarding therefore requires organisations to establish clear responsibilities, communication processes and systems for monitoring the quality of partnership working. This suggests that safeguarding should move beyond the idea that it is simply “everyone’s responsibility” towards a stronger concept of </w:t>
      </w:r>
      <w:r w:rsidRPr="00336D6C">
        <w:t>collective responsibility</w:t>
      </w:r>
      <w:r w:rsidRPr="00A53C95">
        <w:t>,</w:t>
      </w:r>
      <w:r w:rsidR="004531A7">
        <w:t xml:space="preserve"> </w:t>
      </w:r>
      <w:r w:rsidRPr="00A53C95">
        <w:t>where agencies actively share accountability for outcomes (</w:t>
      </w:r>
      <w:r w:rsidR="00575D4E">
        <w:t>Ball, McManus,2024</w:t>
      </w:r>
      <w:r w:rsidRPr="00A53C95">
        <w:t>).</w:t>
      </w:r>
    </w:p>
    <w:p w14:paraId="1B8881EA" w14:textId="7BE87487" w:rsidR="00A53C95" w:rsidRPr="00A53C95" w:rsidRDefault="00A53C95" w:rsidP="00356C15">
      <w:pPr>
        <w:pStyle w:val="NormalWeb"/>
        <w:spacing w:line="360" w:lineRule="auto"/>
        <w:jc w:val="both"/>
      </w:pPr>
      <w:r w:rsidRPr="00A53C95">
        <w:lastRenderedPageBreak/>
        <w:t xml:space="preserve">A further factor influencing effective collaboration is the development of a shared professional identity. When professionals understand their common purpose and develop trust and respect for colleagues from other organisations, they may be more willing to communicate openly and cooperate. A shared understanding can also reduce difficulties caused by different professional terminology and organisational cultures. This is particularly important when agencies need to respond quickly to complex safeguarding </w:t>
      </w:r>
      <w:r w:rsidR="00336D6C" w:rsidRPr="00A53C95">
        <w:t>situations. Information</w:t>
      </w:r>
      <w:r w:rsidRPr="00A53C95">
        <w:t xml:space="preserve"> sharing is another essential element of multi-agency working. Safeguarding practice reviews have repeatedly identified failures to share relevant information between services such as social care, health and the police as a factor that can contribute to missed opportunities to protect children. Professionals therefore need to understand when information can and should be shared, while appropriately considering confidentiality, consent and the best interests of the child (Department for Education, 2026).</w:t>
      </w:r>
    </w:p>
    <w:p w14:paraId="4A307C78" w14:textId="77777777" w:rsidR="00200277" w:rsidRPr="00200277" w:rsidRDefault="00200277" w:rsidP="00200277">
      <w:pPr>
        <w:spacing w:before="100" w:beforeAutospacing="1" w:after="100" w:afterAutospacing="1" w:line="240" w:lineRule="auto"/>
        <w:outlineLvl w:val="1"/>
        <w:rPr>
          <w:rFonts w:eastAsia="Times New Roman" w:cs="Times New Roman"/>
          <w:b/>
          <w:bCs/>
          <w:sz w:val="36"/>
          <w:szCs w:val="36"/>
          <w:lang w:eastAsia="en-GB"/>
        </w:rPr>
      </w:pPr>
      <w:r w:rsidRPr="00200277">
        <w:rPr>
          <w:rFonts w:eastAsia="Times New Roman" w:cs="Times New Roman"/>
          <w:b/>
          <w:bCs/>
          <w:sz w:val="36"/>
          <w:szCs w:val="36"/>
          <w:lang w:eastAsia="en-GB"/>
        </w:rPr>
        <w:t>Evaluation of Leeds City Council Website</w:t>
      </w:r>
    </w:p>
    <w:p w14:paraId="49D9B183" w14:textId="77777777" w:rsidR="00046D08"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Leeds City Council provides a wide range of online information about Early Help and support for children and families. </w:t>
      </w:r>
      <w:r w:rsidR="00EE596A">
        <w:rPr>
          <w:rFonts w:eastAsia="Times New Roman" w:cs="Times New Roman"/>
          <w:szCs w:val="24"/>
          <w:lang w:eastAsia="en-GB"/>
        </w:rPr>
        <w:t>W</w:t>
      </w:r>
      <w:r w:rsidRPr="00200277">
        <w:rPr>
          <w:rFonts w:eastAsia="Times New Roman" w:cs="Times New Roman"/>
          <w:szCs w:val="24"/>
          <w:lang w:eastAsia="en-GB"/>
        </w:rPr>
        <w:t xml:space="preserve">ebsite explains the Early Help approach and provides information about Family Hubs, where families </w:t>
      </w:r>
    </w:p>
    <w:p w14:paraId="4123E9C0" w14:textId="2363E1C9"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can access advice and support at an early stage. It also provides information about services such as parenting support, health and wellbeing, SEND and other family needs (Leeds City Council, 2025).</w:t>
      </w:r>
    </w:p>
    <w:p w14:paraId="5F930E10" w14:textId="352365AE" w:rsidR="003F4C89"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A key strength is the range of support available through the Family Hubs and the Early Help Front Door. Bringing different services together can make it easier for families to access appropriate support and reflects the importance of partnership working. This is consistent with Ball, McElwee and McManus’ (2024) argument that effective safeguarding requires agencies to move from viewing safeguarding as “everyone’s responsibility” towards a stronger sense of collective responsibility through collaboration, communication and shared expertise. Another strength is that the website provides families with different ways to access support and information. This can be particularly useful for families who may have different needs or preferences when seeking help. However, the amount of information available across different services may also create a challenge. Families may need to move between Early Help, Family Hubs and other pages before identifying the most appropriate service. For a parent who is already experiencing difficulties, this could make the process of finding help more </w:t>
      </w:r>
      <w:r w:rsidRPr="00200277">
        <w:rPr>
          <w:rFonts w:eastAsia="Times New Roman" w:cs="Times New Roman"/>
          <w:szCs w:val="24"/>
          <w:lang w:eastAsia="en-GB"/>
        </w:rPr>
        <w:lastRenderedPageBreak/>
        <w:t xml:space="preserve">complicated. Leeds has also recognised the importance of improving how information is presented online. The council has worked to make Early Help and Family Information easier to navigate and to improve signposting for families (Leeds City Council, 2025). </w:t>
      </w:r>
    </w:p>
    <w:p w14:paraId="447C3FD1" w14:textId="77777777" w:rsidR="00200277" w:rsidRPr="00200277" w:rsidRDefault="00200277" w:rsidP="00200277">
      <w:pPr>
        <w:spacing w:before="100" w:beforeAutospacing="1" w:after="100" w:afterAutospacing="1" w:line="240" w:lineRule="auto"/>
        <w:outlineLvl w:val="1"/>
        <w:rPr>
          <w:rFonts w:eastAsia="Times New Roman" w:cs="Times New Roman"/>
          <w:b/>
          <w:bCs/>
          <w:sz w:val="36"/>
          <w:szCs w:val="36"/>
          <w:lang w:eastAsia="en-GB"/>
        </w:rPr>
      </w:pPr>
      <w:r w:rsidRPr="00200277">
        <w:rPr>
          <w:rFonts w:eastAsia="Times New Roman" w:cs="Times New Roman"/>
          <w:b/>
          <w:bCs/>
          <w:sz w:val="36"/>
          <w:szCs w:val="36"/>
          <w:lang w:eastAsia="en-GB"/>
        </w:rPr>
        <w:t>Evaluation of Tower Hamlets Council Website</w:t>
      </w:r>
    </w:p>
    <w:p w14:paraId="094F2AE3" w14:textId="0FB03334"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Tower Hamlets provides a strong and clearly identifiable Early Help section. </w:t>
      </w:r>
      <w:r w:rsidR="00400E2A" w:rsidRPr="00200277">
        <w:rPr>
          <w:rFonts w:eastAsia="Times New Roman" w:cs="Times New Roman"/>
          <w:szCs w:val="24"/>
          <w:lang w:eastAsia="en-GB"/>
        </w:rPr>
        <w:t>It’s</w:t>
      </w:r>
      <w:r w:rsidRPr="00200277">
        <w:rPr>
          <w:rFonts w:eastAsia="Times New Roman" w:cs="Times New Roman"/>
          <w:szCs w:val="24"/>
          <w:lang w:eastAsia="en-GB"/>
        </w:rPr>
        <w:t xml:space="preserve"> </w:t>
      </w:r>
      <w:r w:rsidRPr="00400E2A">
        <w:rPr>
          <w:rFonts w:eastAsia="Times New Roman" w:cs="Times New Roman"/>
          <w:szCs w:val="24"/>
          <w:lang w:eastAsia="en-GB"/>
        </w:rPr>
        <w:t>About Early Help</w:t>
      </w:r>
      <w:r w:rsidRPr="00200277">
        <w:rPr>
          <w:rFonts w:eastAsia="Times New Roman" w:cs="Times New Roman"/>
          <w:szCs w:val="24"/>
          <w:lang w:eastAsia="en-GB"/>
        </w:rPr>
        <w:t xml:space="preserve"> page explains that Early Help is an approach designed to support children, young people and families when challenges first occur and to prevent problems from escalating. </w:t>
      </w:r>
      <w:r w:rsidR="005760D9">
        <w:rPr>
          <w:rFonts w:eastAsia="Times New Roman" w:cs="Times New Roman"/>
          <w:szCs w:val="24"/>
          <w:lang w:eastAsia="en-GB"/>
        </w:rPr>
        <w:t>L</w:t>
      </w:r>
      <w:r w:rsidRPr="00200277">
        <w:rPr>
          <w:rFonts w:eastAsia="Times New Roman" w:cs="Times New Roman"/>
          <w:szCs w:val="24"/>
          <w:lang w:eastAsia="en-GB"/>
        </w:rPr>
        <w:t>anguage is relatively family-friendly and emphasises that families should receive support when they need it.</w:t>
      </w:r>
      <w:r w:rsidR="003F4C89">
        <w:rPr>
          <w:rFonts w:eastAsia="Times New Roman" w:cs="Times New Roman"/>
          <w:szCs w:val="24"/>
          <w:lang w:eastAsia="en-GB"/>
        </w:rPr>
        <w:t xml:space="preserve"> </w:t>
      </w:r>
      <w:r w:rsidRPr="00200277">
        <w:rPr>
          <w:rFonts w:eastAsia="Times New Roman" w:cs="Times New Roman"/>
          <w:szCs w:val="24"/>
          <w:lang w:eastAsia="en-GB"/>
        </w:rPr>
        <w:t xml:space="preserve">The council has also developed a strong Family Hub model. Its website explains the role of Best Start </w:t>
      </w:r>
      <w:r w:rsidR="000807EE" w:rsidRPr="00200277">
        <w:rPr>
          <w:rFonts w:eastAsia="Times New Roman" w:cs="Times New Roman"/>
          <w:szCs w:val="24"/>
          <w:lang w:eastAsia="en-GB"/>
        </w:rPr>
        <w:t>I</w:t>
      </w:r>
      <w:r w:rsidR="000807EE">
        <w:rPr>
          <w:rFonts w:eastAsia="Times New Roman" w:cs="Times New Roman"/>
          <w:szCs w:val="24"/>
          <w:lang w:eastAsia="en-GB"/>
        </w:rPr>
        <w:t>nvolving</w:t>
      </w:r>
      <w:r w:rsidR="00E663FF">
        <w:rPr>
          <w:rFonts w:eastAsia="Times New Roman" w:cs="Times New Roman"/>
          <w:szCs w:val="24"/>
          <w:lang w:eastAsia="en-GB"/>
        </w:rPr>
        <w:t xml:space="preserve"> </w:t>
      </w:r>
      <w:r w:rsidR="000807EE">
        <w:rPr>
          <w:rFonts w:eastAsia="Times New Roman" w:cs="Times New Roman"/>
          <w:szCs w:val="24"/>
          <w:lang w:eastAsia="en-GB"/>
        </w:rPr>
        <w:t>Children Fa</w:t>
      </w:r>
      <w:r w:rsidR="000807EE" w:rsidRPr="00200277">
        <w:rPr>
          <w:rFonts w:eastAsia="Times New Roman" w:cs="Times New Roman"/>
          <w:szCs w:val="24"/>
          <w:lang w:eastAsia="en-GB"/>
        </w:rPr>
        <w:t>mily</w:t>
      </w:r>
      <w:r w:rsidRPr="00200277">
        <w:rPr>
          <w:rFonts w:eastAsia="Times New Roman" w:cs="Times New Roman"/>
          <w:szCs w:val="24"/>
          <w:lang w:eastAsia="en-GB"/>
        </w:rPr>
        <w:t xml:space="preserve"> Hubs and Children and Family Centres. There are four Best Start Family Hubs and eight Children and Family Centres, with additional activities taking place across the borough. Services include play, family support, health, training and employment</w:t>
      </w:r>
      <w:r w:rsidR="00E663FF">
        <w:rPr>
          <w:rFonts w:eastAsia="Times New Roman" w:cs="Times New Roman"/>
          <w:szCs w:val="24"/>
          <w:lang w:eastAsia="en-GB"/>
        </w:rPr>
        <w:t>. The current</w:t>
      </w:r>
      <w:r w:rsidRPr="00200277">
        <w:rPr>
          <w:rFonts w:eastAsia="Times New Roman" w:cs="Times New Roman"/>
          <w:szCs w:val="24"/>
          <w:lang w:eastAsia="en-GB"/>
        </w:rPr>
        <w:t xml:space="preserve"> </w:t>
      </w:r>
      <w:r w:rsidR="00E663FF">
        <w:rPr>
          <w:rFonts w:eastAsia="Times New Roman" w:cs="Times New Roman"/>
          <w:szCs w:val="24"/>
          <w:lang w:eastAsia="en-GB"/>
        </w:rPr>
        <w:t>council page directly confirms that Early Help is available from pregnancy through age 19 (or 25 for SEND),</w:t>
      </w:r>
      <w:r w:rsidR="000807EE">
        <w:rPr>
          <w:rFonts w:eastAsia="Times New Roman" w:cs="Times New Roman"/>
          <w:szCs w:val="24"/>
          <w:lang w:eastAsia="en-GB"/>
        </w:rPr>
        <w:t xml:space="preserve"> </w:t>
      </w:r>
      <w:r w:rsidR="00E663FF">
        <w:rPr>
          <w:rFonts w:eastAsia="Times New Roman" w:cs="Times New Roman"/>
          <w:szCs w:val="24"/>
          <w:lang w:eastAsia="en-GB"/>
        </w:rPr>
        <w:t>describes universal and targeted support, and explains the multi-</w:t>
      </w:r>
      <w:r w:rsidR="000807EE">
        <w:rPr>
          <w:rFonts w:eastAsia="Times New Roman" w:cs="Times New Roman"/>
          <w:szCs w:val="24"/>
          <w:lang w:eastAsia="en-GB"/>
        </w:rPr>
        <w:t>disciplinary</w:t>
      </w:r>
      <w:r w:rsidR="00E663FF">
        <w:rPr>
          <w:rFonts w:eastAsia="Times New Roman" w:cs="Times New Roman"/>
          <w:szCs w:val="24"/>
          <w:lang w:eastAsia="en-GB"/>
        </w:rPr>
        <w:t xml:space="preserve"> MAST arrangement</w:t>
      </w:r>
      <w:r w:rsidR="000807EE">
        <w:rPr>
          <w:rFonts w:eastAsia="Times New Roman" w:cs="Times New Roman"/>
          <w:szCs w:val="24"/>
          <w:lang w:eastAsia="en-GB"/>
        </w:rPr>
        <w:t xml:space="preserve"> involving children’s services, health, education, police, housing and other organisations (Tower Hamlets Council, 2026).</w:t>
      </w:r>
      <w:r w:rsidR="00E663FF">
        <w:rPr>
          <w:rFonts w:eastAsia="Times New Roman" w:cs="Times New Roman"/>
          <w:szCs w:val="24"/>
          <w:lang w:eastAsia="en-GB"/>
        </w:rPr>
        <w:t xml:space="preserve"> </w:t>
      </w:r>
    </w:p>
    <w:p w14:paraId="0354CF04" w14:textId="7968047F"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One of Tower Hamlets' strongest features is the way the Early Help service is organised online. The main Early Help and Children and Family Service page provide separate routes to the Best Start Family Hubs, Children and Family Centres, information about Early Help and an Early Help "front door". This gives families several possible routes into support while maintaining a central Early Help identity.</w:t>
      </w:r>
      <w:r w:rsidR="003F4C89">
        <w:rPr>
          <w:rFonts w:eastAsia="Times New Roman" w:cs="Times New Roman"/>
          <w:szCs w:val="24"/>
          <w:lang w:eastAsia="en-GB"/>
        </w:rPr>
        <w:t xml:space="preserve"> </w:t>
      </w:r>
      <w:r w:rsidRPr="00200277">
        <w:rPr>
          <w:rFonts w:eastAsia="Times New Roman" w:cs="Times New Roman"/>
          <w:szCs w:val="24"/>
          <w:lang w:eastAsia="en-GB"/>
        </w:rPr>
        <w:t>The approach is also supported by the council's current Early Help Strategy 2025–2028. The strategy aims to make support easier to access and is based around Family Hubs and community support. The council has reported that Early Help was recognised as a strength during its recent Ofsted assessment, suggesting that the online offer forms part of a wider service model rather than being simply a collection of webpages (Tower Hamlets Council, 2025).</w:t>
      </w:r>
    </w:p>
    <w:p w14:paraId="384662F9" w14:textId="77777777" w:rsidR="00200277" w:rsidRPr="00200277" w:rsidRDefault="00200277" w:rsidP="00200277">
      <w:pPr>
        <w:spacing w:before="100" w:beforeAutospacing="1" w:after="100" w:afterAutospacing="1" w:line="240" w:lineRule="auto"/>
        <w:outlineLvl w:val="1"/>
        <w:rPr>
          <w:rFonts w:eastAsia="Times New Roman" w:cs="Times New Roman"/>
          <w:b/>
          <w:bCs/>
          <w:sz w:val="36"/>
          <w:szCs w:val="36"/>
          <w:lang w:eastAsia="en-GB"/>
        </w:rPr>
      </w:pPr>
      <w:r w:rsidRPr="00200277">
        <w:rPr>
          <w:rFonts w:eastAsia="Times New Roman" w:cs="Times New Roman"/>
          <w:b/>
          <w:bCs/>
          <w:sz w:val="36"/>
          <w:szCs w:val="36"/>
          <w:lang w:eastAsia="en-GB"/>
        </w:rPr>
        <w:t>Evaluation of Norfolk County Council Website</w:t>
      </w:r>
    </w:p>
    <w:p w14:paraId="6807B198" w14:textId="3B629D72"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Norfolk provides an extensive Family Hub approach, although its online communication is somewhat more distributed between council and partner websites. Norfolk's approach brings together services for families from conception through childhood and adolescence. Information </w:t>
      </w:r>
      <w:r w:rsidRPr="00200277">
        <w:rPr>
          <w:rFonts w:eastAsia="Times New Roman" w:cs="Times New Roman"/>
          <w:szCs w:val="24"/>
          <w:lang w:eastAsia="en-GB"/>
        </w:rPr>
        <w:lastRenderedPageBreak/>
        <w:t xml:space="preserve">is available through the council and  </w:t>
      </w:r>
      <w:r w:rsidRPr="00DD0808">
        <w:rPr>
          <w:rFonts w:eastAsia="Times New Roman" w:cs="Times New Roman"/>
          <w:szCs w:val="24"/>
          <w:lang w:eastAsia="en-GB"/>
        </w:rPr>
        <w:t>Just One Norfolk</w:t>
      </w:r>
      <w:r w:rsidRPr="00200277">
        <w:rPr>
          <w:rFonts w:eastAsia="Times New Roman" w:cs="Times New Roman"/>
          <w:szCs w:val="24"/>
          <w:lang w:eastAsia="en-GB"/>
        </w:rPr>
        <w:t xml:space="preserve">, a health service website commissioned by Norfolk County </w:t>
      </w:r>
      <w:r w:rsidR="003F4C89" w:rsidRPr="00200277">
        <w:rPr>
          <w:rFonts w:eastAsia="Times New Roman" w:cs="Times New Roman"/>
          <w:szCs w:val="24"/>
          <w:lang w:eastAsia="en-GB"/>
        </w:rPr>
        <w:t xml:space="preserve">Council. </w:t>
      </w:r>
      <w:r w:rsidRPr="00200277">
        <w:rPr>
          <w:rFonts w:eastAsia="Times New Roman" w:cs="Times New Roman"/>
          <w:szCs w:val="24"/>
          <w:lang w:eastAsia="en-GB"/>
        </w:rPr>
        <w:t xml:space="preserve">Family Hub model provides advice and support covering children's health, development and wellbeing, home and family life, parental health and wellbeing, parenting, groups and activities. The service provides online and face-to-face access, which is valuable for families who may not be able to access information </w:t>
      </w:r>
      <w:r w:rsidR="001334F6" w:rsidRPr="00200277">
        <w:rPr>
          <w:rFonts w:eastAsia="Times New Roman" w:cs="Times New Roman"/>
          <w:szCs w:val="24"/>
          <w:lang w:eastAsia="en-GB"/>
        </w:rPr>
        <w:t>digitally.</w:t>
      </w:r>
      <w:r w:rsidRPr="00200277">
        <w:rPr>
          <w:rFonts w:eastAsia="Times New Roman" w:cs="Times New Roman"/>
          <w:szCs w:val="24"/>
          <w:lang w:eastAsia="en-GB"/>
        </w:rPr>
        <w:t xml:space="preserve"> The authority has developed Family Hubs across the county and provides information about local sites. Families can visit hubs without necessarily requiring an appointment, while online support is also available.</w:t>
      </w:r>
      <w:r w:rsidR="00C83ED0">
        <w:rPr>
          <w:rFonts w:eastAsia="Times New Roman" w:cs="Times New Roman"/>
          <w:szCs w:val="24"/>
          <w:lang w:eastAsia="en-GB"/>
        </w:rPr>
        <w:t xml:space="preserve"> </w:t>
      </w:r>
      <w:r w:rsidRPr="00200277">
        <w:rPr>
          <w:rFonts w:eastAsia="Times New Roman" w:cs="Times New Roman"/>
          <w:szCs w:val="24"/>
          <w:lang w:eastAsia="en-GB"/>
        </w:rPr>
        <w:t xml:space="preserve">Norfolk also demonstrates clear multi-agency intentions. Council information describes collaboration between the local authority, health providers, voluntary organisations and community services. Its Family Hub programme aims to join up services so that families do not repeatedly have to tell their story to different </w:t>
      </w:r>
      <w:r w:rsidR="007E5BFF" w:rsidRPr="00200277">
        <w:rPr>
          <w:rFonts w:eastAsia="Times New Roman" w:cs="Times New Roman"/>
          <w:szCs w:val="24"/>
          <w:lang w:eastAsia="en-GB"/>
        </w:rPr>
        <w:t>organisations. However</w:t>
      </w:r>
      <w:r w:rsidRPr="00200277">
        <w:rPr>
          <w:rFonts w:eastAsia="Times New Roman" w:cs="Times New Roman"/>
          <w:szCs w:val="24"/>
          <w:lang w:eastAsia="en-GB"/>
        </w:rPr>
        <w:t>, compared with Leeds and Tower Hamlets, Norfolk's online signposting can be less straightforward because information is distributed across different platforms. Families may encounter  Norfolk County Council website, Just One Norfolk, Norfolk SENDIASS and other partner services. Although these links demonstrate partnership working, they can also create a navigation problem. A family looking specifically for "Early Help" may not immediately recognise that Family Hubs are one of the main routes into early support</w:t>
      </w:r>
      <w:r w:rsidR="007E5BFF">
        <w:rPr>
          <w:rFonts w:eastAsia="Times New Roman" w:cs="Times New Roman"/>
          <w:szCs w:val="24"/>
          <w:lang w:eastAsia="en-GB"/>
        </w:rPr>
        <w:t xml:space="preserve"> (Just One Norfolk,2026).</w:t>
      </w:r>
    </w:p>
    <w:p w14:paraId="6A3D1B6A" w14:textId="77777777" w:rsidR="00200277" w:rsidRPr="00200277" w:rsidRDefault="00200277" w:rsidP="00200277">
      <w:pPr>
        <w:spacing w:before="100" w:beforeAutospacing="1" w:after="100" w:afterAutospacing="1" w:line="240" w:lineRule="auto"/>
        <w:outlineLvl w:val="1"/>
        <w:rPr>
          <w:rFonts w:eastAsia="Times New Roman" w:cs="Times New Roman"/>
          <w:b/>
          <w:bCs/>
          <w:sz w:val="36"/>
          <w:szCs w:val="36"/>
          <w:lang w:eastAsia="en-GB"/>
        </w:rPr>
      </w:pPr>
      <w:r w:rsidRPr="00200277">
        <w:rPr>
          <w:rFonts w:eastAsia="Times New Roman" w:cs="Times New Roman"/>
          <w:b/>
          <w:bCs/>
          <w:sz w:val="36"/>
          <w:szCs w:val="36"/>
          <w:lang w:eastAsia="en-GB"/>
        </w:rPr>
        <w:t>Comparative Analysis</w:t>
      </w:r>
    </w:p>
    <w:p w14:paraId="4551959D" w14:textId="77777777" w:rsidR="00200277" w:rsidRPr="00200277" w:rsidRDefault="00200277" w:rsidP="00200277">
      <w:pPr>
        <w:spacing w:before="100" w:beforeAutospacing="1" w:after="100" w:afterAutospacing="1" w:line="240" w:lineRule="auto"/>
        <w:rPr>
          <w:rFonts w:eastAsia="Times New Roman" w:cs="Times New Roman"/>
          <w:szCs w:val="24"/>
          <w:lang w:eastAsia="en-GB"/>
        </w:rPr>
      </w:pPr>
      <w:r w:rsidRPr="00200277">
        <w:rPr>
          <w:rFonts w:eastAsia="Times New Roman" w:cs="Times New Roman"/>
          <w:szCs w:val="24"/>
          <w:lang w:eastAsia="en-GB"/>
        </w:rPr>
        <w:t>The three websites demonstrate broadly similar commitments to prevention, Family Hubs and multi-agency support, but they differ in how clearly these services are presented.</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673"/>
        <w:gridCol w:w="1935"/>
        <w:gridCol w:w="2387"/>
        <w:gridCol w:w="2031"/>
      </w:tblGrid>
      <w:tr w:rsidR="00200277" w:rsidRPr="00200277" w14:paraId="7A672094" w14:textId="77777777">
        <w:trPr>
          <w:tblCellSpacing w:w="15" w:type="dxa"/>
        </w:trPr>
        <w:tc>
          <w:tcPr>
            <w:tcW w:w="0" w:type="auto"/>
            <w:vAlign w:val="center"/>
            <w:hideMark/>
          </w:tcPr>
          <w:p w14:paraId="65E57549" w14:textId="77777777" w:rsidR="00200277" w:rsidRPr="00200277" w:rsidRDefault="00200277" w:rsidP="00200277">
            <w:pPr>
              <w:spacing w:after="0" w:line="240" w:lineRule="auto"/>
              <w:jc w:val="center"/>
              <w:rPr>
                <w:rFonts w:eastAsia="Times New Roman" w:cs="Times New Roman"/>
                <w:b/>
                <w:bCs/>
                <w:szCs w:val="24"/>
                <w:lang w:eastAsia="en-GB"/>
              </w:rPr>
            </w:pPr>
            <w:r w:rsidRPr="00200277">
              <w:rPr>
                <w:rFonts w:eastAsia="Times New Roman" w:cs="Times New Roman"/>
                <w:b/>
                <w:bCs/>
                <w:szCs w:val="24"/>
                <w:lang w:eastAsia="en-GB"/>
              </w:rPr>
              <w:t>Criteria</w:t>
            </w:r>
          </w:p>
        </w:tc>
        <w:tc>
          <w:tcPr>
            <w:tcW w:w="0" w:type="auto"/>
            <w:vAlign w:val="center"/>
            <w:hideMark/>
          </w:tcPr>
          <w:p w14:paraId="2ED155C6" w14:textId="77777777" w:rsidR="00200277" w:rsidRPr="00200277" w:rsidRDefault="00200277" w:rsidP="00200277">
            <w:pPr>
              <w:spacing w:after="0" w:line="240" w:lineRule="auto"/>
              <w:jc w:val="center"/>
              <w:rPr>
                <w:rFonts w:eastAsia="Times New Roman" w:cs="Times New Roman"/>
                <w:b/>
                <w:bCs/>
                <w:szCs w:val="24"/>
                <w:lang w:eastAsia="en-GB"/>
              </w:rPr>
            </w:pPr>
            <w:r w:rsidRPr="00200277">
              <w:rPr>
                <w:rFonts w:eastAsia="Times New Roman" w:cs="Times New Roman"/>
                <w:b/>
                <w:bCs/>
                <w:szCs w:val="24"/>
                <w:lang w:eastAsia="en-GB"/>
              </w:rPr>
              <w:t>Leeds</w:t>
            </w:r>
          </w:p>
        </w:tc>
        <w:tc>
          <w:tcPr>
            <w:tcW w:w="0" w:type="auto"/>
            <w:vAlign w:val="center"/>
            <w:hideMark/>
          </w:tcPr>
          <w:p w14:paraId="2FD4681E" w14:textId="77777777" w:rsidR="00200277" w:rsidRPr="00200277" w:rsidRDefault="00200277" w:rsidP="00200277">
            <w:pPr>
              <w:spacing w:after="0" w:line="240" w:lineRule="auto"/>
              <w:jc w:val="center"/>
              <w:rPr>
                <w:rFonts w:eastAsia="Times New Roman" w:cs="Times New Roman"/>
                <w:b/>
                <w:bCs/>
                <w:szCs w:val="24"/>
                <w:lang w:eastAsia="en-GB"/>
              </w:rPr>
            </w:pPr>
            <w:r w:rsidRPr="00200277">
              <w:rPr>
                <w:rFonts w:eastAsia="Times New Roman" w:cs="Times New Roman"/>
                <w:b/>
                <w:bCs/>
                <w:szCs w:val="24"/>
                <w:lang w:eastAsia="en-GB"/>
              </w:rPr>
              <w:t>Tower Hamlets</w:t>
            </w:r>
          </w:p>
        </w:tc>
        <w:tc>
          <w:tcPr>
            <w:tcW w:w="0" w:type="auto"/>
            <w:vAlign w:val="center"/>
            <w:hideMark/>
          </w:tcPr>
          <w:p w14:paraId="02AB22EA" w14:textId="77777777" w:rsidR="00200277" w:rsidRPr="00200277" w:rsidRDefault="00200277" w:rsidP="00200277">
            <w:pPr>
              <w:spacing w:after="0" w:line="240" w:lineRule="auto"/>
              <w:jc w:val="center"/>
              <w:rPr>
                <w:rFonts w:eastAsia="Times New Roman" w:cs="Times New Roman"/>
                <w:b/>
                <w:bCs/>
                <w:szCs w:val="24"/>
                <w:lang w:eastAsia="en-GB"/>
              </w:rPr>
            </w:pPr>
            <w:r w:rsidRPr="00200277">
              <w:rPr>
                <w:rFonts w:eastAsia="Times New Roman" w:cs="Times New Roman"/>
                <w:b/>
                <w:bCs/>
                <w:szCs w:val="24"/>
                <w:lang w:eastAsia="en-GB"/>
              </w:rPr>
              <w:t>Norfolk</w:t>
            </w:r>
          </w:p>
        </w:tc>
      </w:tr>
      <w:tr w:rsidR="00200277" w:rsidRPr="00200277" w14:paraId="007E0DA3" w14:textId="77777777">
        <w:trPr>
          <w:tblCellSpacing w:w="15" w:type="dxa"/>
        </w:trPr>
        <w:tc>
          <w:tcPr>
            <w:tcW w:w="0" w:type="auto"/>
            <w:vAlign w:val="center"/>
            <w:hideMark/>
          </w:tcPr>
          <w:p w14:paraId="6159C919"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Visibility of Early Help</w:t>
            </w:r>
          </w:p>
        </w:tc>
        <w:tc>
          <w:tcPr>
            <w:tcW w:w="0" w:type="auto"/>
            <w:vAlign w:val="center"/>
            <w:hideMark/>
          </w:tcPr>
          <w:p w14:paraId="4C84B440"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1A03D1DF"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1F970A97"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Moderate</w:t>
            </w:r>
          </w:p>
        </w:tc>
      </w:tr>
      <w:tr w:rsidR="00200277" w:rsidRPr="00200277" w14:paraId="203C68C3" w14:textId="77777777">
        <w:trPr>
          <w:tblCellSpacing w:w="15" w:type="dxa"/>
        </w:trPr>
        <w:tc>
          <w:tcPr>
            <w:tcW w:w="0" w:type="auto"/>
            <w:vAlign w:val="center"/>
            <w:hideMark/>
          </w:tcPr>
          <w:p w14:paraId="7EDDE454"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Family Hub information</w:t>
            </w:r>
          </w:p>
        </w:tc>
        <w:tc>
          <w:tcPr>
            <w:tcW w:w="0" w:type="auto"/>
            <w:vAlign w:val="center"/>
            <w:hideMark/>
          </w:tcPr>
          <w:p w14:paraId="218D5A9D"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c>
          <w:tcPr>
            <w:tcW w:w="0" w:type="auto"/>
            <w:vAlign w:val="center"/>
            <w:hideMark/>
          </w:tcPr>
          <w:p w14:paraId="46D9EDDC"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c>
          <w:tcPr>
            <w:tcW w:w="0" w:type="auto"/>
            <w:vAlign w:val="center"/>
            <w:hideMark/>
          </w:tcPr>
          <w:p w14:paraId="3186ECEF"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r>
      <w:tr w:rsidR="00200277" w:rsidRPr="00200277" w14:paraId="6D6729C4" w14:textId="77777777">
        <w:trPr>
          <w:tblCellSpacing w:w="15" w:type="dxa"/>
        </w:trPr>
        <w:tc>
          <w:tcPr>
            <w:tcW w:w="0" w:type="auto"/>
            <w:vAlign w:val="center"/>
            <w:hideMark/>
          </w:tcPr>
          <w:p w14:paraId="488BD5CF"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Explanation for families</w:t>
            </w:r>
          </w:p>
        </w:tc>
        <w:tc>
          <w:tcPr>
            <w:tcW w:w="0" w:type="auto"/>
            <w:vAlign w:val="center"/>
            <w:hideMark/>
          </w:tcPr>
          <w:p w14:paraId="37963F4A"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Clear</w:t>
            </w:r>
          </w:p>
        </w:tc>
        <w:tc>
          <w:tcPr>
            <w:tcW w:w="0" w:type="auto"/>
            <w:vAlign w:val="center"/>
            <w:hideMark/>
          </w:tcPr>
          <w:p w14:paraId="1A06D29A"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Clear</w:t>
            </w:r>
          </w:p>
        </w:tc>
        <w:tc>
          <w:tcPr>
            <w:tcW w:w="0" w:type="auto"/>
            <w:vAlign w:val="center"/>
            <w:hideMark/>
          </w:tcPr>
          <w:p w14:paraId="12CA13D2"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Clear but distributed</w:t>
            </w:r>
          </w:p>
        </w:tc>
      </w:tr>
      <w:tr w:rsidR="00200277" w:rsidRPr="00200277" w14:paraId="32B6D0F0" w14:textId="77777777">
        <w:trPr>
          <w:tblCellSpacing w:w="15" w:type="dxa"/>
        </w:trPr>
        <w:tc>
          <w:tcPr>
            <w:tcW w:w="0" w:type="auto"/>
            <w:vAlign w:val="center"/>
            <w:hideMark/>
          </w:tcPr>
          <w:p w14:paraId="29BA332C"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Contact/access information</w:t>
            </w:r>
          </w:p>
        </w:tc>
        <w:tc>
          <w:tcPr>
            <w:tcW w:w="0" w:type="auto"/>
            <w:vAlign w:val="center"/>
            <w:hideMark/>
          </w:tcPr>
          <w:p w14:paraId="6749F945"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1BECC78D"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c>
          <w:tcPr>
            <w:tcW w:w="0" w:type="auto"/>
            <w:vAlign w:val="center"/>
            <w:hideMark/>
          </w:tcPr>
          <w:p w14:paraId="65B02CE2"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r>
      <w:tr w:rsidR="00200277" w:rsidRPr="00200277" w14:paraId="6E0AABE8" w14:textId="77777777">
        <w:trPr>
          <w:tblCellSpacing w:w="15" w:type="dxa"/>
        </w:trPr>
        <w:tc>
          <w:tcPr>
            <w:tcW w:w="0" w:type="auto"/>
            <w:vAlign w:val="center"/>
            <w:hideMark/>
          </w:tcPr>
          <w:p w14:paraId="2A7A642D"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Multi-agency information</w:t>
            </w:r>
          </w:p>
        </w:tc>
        <w:tc>
          <w:tcPr>
            <w:tcW w:w="0" w:type="auto"/>
            <w:vAlign w:val="center"/>
            <w:hideMark/>
          </w:tcPr>
          <w:p w14:paraId="3461D5C9"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285345C8"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w:t>
            </w:r>
          </w:p>
        </w:tc>
        <w:tc>
          <w:tcPr>
            <w:tcW w:w="0" w:type="auto"/>
            <w:vAlign w:val="center"/>
            <w:hideMark/>
          </w:tcPr>
          <w:p w14:paraId="1DA8C141"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r>
      <w:tr w:rsidR="00200277" w:rsidRPr="00200277" w14:paraId="771E28CD" w14:textId="77777777">
        <w:trPr>
          <w:tblCellSpacing w:w="15" w:type="dxa"/>
        </w:trPr>
        <w:tc>
          <w:tcPr>
            <w:tcW w:w="0" w:type="auto"/>
            <w:vAlign w:val="center"/>
            <w:hideMark/>
          </w:tcPr>
          <w:p w14:paraId="2A71E68F"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Range of family support</w:t>
            </w:r>
          </w:p>
        </w:tc>
        <w:tc>
          <w:tcPr>
            <w:tcW w:w="0" w:type="auto"/>
            <w:vAlign w:val="center"/>
            <w:hideMark/>
          </w:tcPr>
          <w:p w14:paraId="6EA6B86A"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extensive</w:t>
            </w:r>
          </w:p>
        </w:tc>
        <w:tc>
          <w:tcPr>
            <w:tcW w:w="0" w:type="auto"/>
            <w:vAlign w:val="center"/>
            <w:hideMark/>
          </w:tcPr>
          <w:p w14:paraId="0CFDAAC1"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Extensive</w:t>
            </w:r>
          </w:p>
        </w:tc>
        <w:tc>
          <w:tcPr>
            <w:tcW w:w="0" w:type="auto"/>
            <w:vAlign w:val="center"/>
            <w:hideMark/>
          </w:tcPr>
          <w:p w14:paraId="7A8C657B"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Extensive</w:t>
            </w:r>
          </w:p>
        </w:tc>
      </w:tr>
      <w:tr w:rsidR="00200277" w:rsidRPr="00200277" w14:paraId="4B0B46F7" w14:textId="77777777">
        <w:trPr>
          <w:tblCellSpacing w:w="15" w:type="dxa"/>
        </w:trPr>
        <w:tc>
          <w:tcPr>
            <w:tcW w:w="0" w:type="auto"/>
            <w:vAlign w:val="center"/>
            <w:hideMark/>
          </w:tcPr>
          <w:p w14:paraId="5B1029E5"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Ease of navigation</w:t>
            </w:r>
          </w:p>
        </w:tc>
        <w:tc>
          <w:tcPr>
            <w:tcW w:w="0" w:type="auto"/>
            <w:vAlign w:val="center"/>
            <w:hideMark/>
          </w:tcPr>
          <w:p w14:paraId="162425EA"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 but complex</w:t>
            </w:r>
          </w:p>
        </w:tc>
        <w:tc>
          <w:tcPr>
            <w:tcW w:w="0" w:type="auto"/>
            <w:vAlign w:val="center"/>
            <w:hideMark/>
          </w:tcPr>
          <w:p w14:paraId="03CF2ED2"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Strong but several pages</w:t>
            </w:r>
          </w:p>
        </w:tc>
        <w:tc>
          <w:tcPr>
            <w:tcW w:w="0" w:type="auto"/>
            <w:vAlign w:val="center"/>
            <w:hideMark/>
          </w:tcPr>
          <w:p w14:paraId="3E43D33B"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More fragmented</w:t>
            </w:r>
          </w:p>
        </w:tc>
      </w:tr>
      <w:tr w:rsidR="00200277" w:rsidRPr="00200277" w14:paraId="1CFDB66D" w14:textId="77777777">
        <w:trPr>
          <w:tblCellSpacing w:w="15" w:type="dxa"/>
        </w:trPr>
        <w:tc>
          <w:tcPr>
            <w:tcW w:w="0" w:type="auto"/>
            <w:vAlign w:val="center"/>
            <w:hideMark/>
          </w:tcPr>
          <w:p w14:paraId="0AAE44FB"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Overall accessibility</w:t>
            </w:r>
          </w:p>
        </w:tc>
        <w:tc>
          <w:tcPr>
            <w:tcW w:w="0" w:type="auto"/>
            <w:vAlign w:val="center"/>
            <w:hideMark/>
          </w:tcPr>
          <w:p w14:paraId="5A98FD17"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3A324621"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Very strong</w:t>
            </w:r>
          </w:p>
        </w:tc>
        <w:tc>
          <w:tcPr>
            <w:tcW w:w="0" w:type="auto"/>
            <w:vAlign w:val="center"/>
            <w:hideMark/>
          </w:tcPr>
          <w:p w14:paraId="35B9339C" w14:textId="77777777" w:rsidR="00200277" w:rsidRPr="00200277" w:rsidRDefault="00200277" w:rsidP="00200277">
            <w:pPr>
              <w:spacing w:after="0" w:line="240" w:lineRule="auto"/>
              <w:rPr>
                <w:rFonts w:eastAsia="Times New Roman" w:cs="Times New Roman"/>
                <w:szCs w:val="24"/>
                <w:lang w:eastAsia="en-GB"/>
              </w:rPr>
            </w:pPr>
            <w:r w:rsidRPr="00200277">
              <w:rPr>
                <w:rFonts w:eastAsia="Times New Roman" w:cs="Times New Roman"/>
                <w:szCs w:val="24"/>
                <w:lang w:eastAsia="en-GB"/>
              </w:rPr>
              <w:t>Good</w:t>
            </w:r>
          </w:p>
        </w:tc>
      </w:tr>
    </w:tbl>
    <w:p w14:paraId="3D81A81A" w14:textId="2A60B2D3" w:rsidR="00F13EB2"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lastRenderedPageBreak/>
        <w:t xml:space="preserve">Leeds appears strongest in explicitly explaining Early Help, its graduated approach and the relationship between universal, targeted and specialist support. Its Early Help Front Door and Family Hubs create a clear system of access. The availability of telephone, email and face-to-face routes is also </w:t>
      </w:r>
      <w:r w:rsidR="007E5BFF" w:rsidRPr="00200277">
        <w:rPr>
          <w:rFonts w:eastAsia="Times New Roman" w:cs="Times New Roman"/>
          <w:szCs w:val="24"/>
          <w:lang w:eastAsia="en-GB"/>
        </w:rPr>
        <w:t>positive. Tower</w:t>
      </w:r>
      <w:r w:rsidRPr="00200277">
        <w:rPr>
          <w:rFonts w:eastAsia="Times New Roman" w:cs="Times New Roman"/>
          <w:szCs w:val="24"/>
          <w:lang w:eastAsia="en-GB"/>
        </w:rPr>
        <w:t xml:space="preserve"> Hamlets is particularly strong in presenting Early Help as a family-focused service and linking it closely with Family Hubs and Children and Family Centres. Its current Early Help Strategy also demonstrates that online information is supported by a broader local strategy.</w:t>
      </w:r>
      <w:r w:rsidR="00C83ED0">
        <w:rPr>
          <w:rFonts w:eastAsia="Times New Roman" w:cs="Times New Roman"/>
          <w:szCs w:val="24"/>
          <w:lang w:eastAsia="en-GB"/>
        </w:rPr>
        <w:t xml:space="preserve">  </w:t>
      </w:r>
      <w:r w:rsidRPr="00200277">
        <w:rPr>
          <w:rFonts w:eastAsia="Times New Roman" w:cs="Times New Roman"/>
          <w:szCs w:val="24"/>
          <w:lang w:eastAsia="en-GB"/>
        </w:rPr>
        <w:t xml:space="preserve">Norfolk's greatest strength is its broad and community-based Family Hub model. However, the information is less centralised. The use of a health-sector partner website provides valuable information but may make navigation more complicated for a parent who begins on the council </w:t>
      </w:r>
      <w:r w:rsidR="007E5BFF" w:rsidRPr="00200277">
        <w:rPr>
          <w:rFonts w:eastAsia="Times New Roman" w:cs="Times New Roman"/>
          <w:szCs w:val="24"/>
          <w:lang w:eastAsia="en-GB"/>
        </w:rPr>
        <w:t>website. The</w:t>
      </w:r>
      <w:r w:rsidRPr="00200277">
        <w:rPr>
          <w:rFonts w:eastAsia="Times New Roman" w:cs="Times New Roman"/>
          <w:szCs w:val="24"/>
          <w:lang w:eastAsia="en-GB"/>
        </w:rPr>
        <w:t xml:space="preserve"> importance of accessible information is particularly significant because families experiencing difficulties may already be under considerable pressure. Recent NSPCC research on Family Hubs identified continuing challenges around families knowing what support is available, reinforcing the importance of clear communication and effective signposting (NSPCC, 2026).</w:t>
      </w:r>
      <w:r w:rsidR="00C83ED0">
        <w:rPr>
          <w:rFonts w:eastAsia="Times New Roman" w:cs="Times New Roman"/>
          <w:szCs w:val="24"/>
          <w:lang w:eastAsia="en-GB"/>
        </w:rPr>
        <w:t xml:space="preserve"> </w:t>
      </w:r>
    </w:p>
    <w:p w14:paraId="60E8819B" w14:textId="77777777" w:rsidR="00200277" w:rsidRPr="00200277" w:rsidRDefault="00200277" w:rsidP="00200277">
      <w:pPr>
        <w:spacing w:before="100" w:beforeAutospacing="1" w:after="100" w:afterAutospacing="1" w:line="240" w:lineRule="auto"/>
        <w:outlineLvl w:val="1"/>
        <w:rPr>
          <w:rFonts w:eastAsia="Times New Roman" w:cs="Times New Roman"/>
          <w:b/>
          <w:bCs/>
          <w:sz w:val="36"/>
          <w:szCs w:val="36"/>
          <w:lang w:eastAsia="en-GB"/>
        </w:rPr>
      </w:pPr>
      <w:r w:rsidRPr="00200277">
        <w:rPr>
          <w:rFonts w:eastAsia="Times New Roman" w:cs="Times New Roman"/>
          <w:b/>
          <w:bCs/>
          <w:sz w:val="36"/>
          <w:szCs w:val="36"/>
          <w:lang w:eastAsia="en-GB"/>
        </w:rPr>
        <w:t>Conclusion and Recommendations</w:t>
      </w:r>
    </w:p>
    <w:p w14:paraId="5203AD0A" w14:textId="500CC5C3"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Early Help is an essential component of children's services because it aims to address difficulties before they escalate. The 2026 </w:t>
      </w:r>
      <w:r w:rsidRPr="00FD5E9A">
        <w:rPr>
          <w:rFonts w:eastAsia="Times New Roman" w:cs="Times New Roman"/>
          <w:szCs w:val="24"/>
          <w:lang w:eastAsia="en-GB"/>
        </w:rPr>
        <w:t>Working Together to Safeguard Children</w:t>
      </w:r>
      <w:r w:rsidRPr="00200277">
        <w:rPr>
          <w:rFonts w:eastAsia="Times New Roman" w:cs="Times New Roman"/>
          <w:szCs w:val="24"/>
          <w:lang w:eastAsia="en-GB"/>
        </w:rPr>
        <w:t xml:space="preserve"> guidance reinforces the importance of coordinated Family Help, multi-agency working, information sharing and consistent relationships with families. Local authority websites have an important role in this system because they are often one of the first places families look for </w:t>
      </w:r>
      <w:r w:rsidR="0069057E" w:rsidRPr="00200277">
        <w:rPr>
          <w:rFonts w:eastAsia="Times New Roman" w:cs="Times New Roman"/>
          <w:szCs w:val="24"/>
          <w:lang w:eastAsia="en-GB"/>
        </w:rPr>
        <w:t>information. The</w:t>
      </w:r>
      <w:r w:rsidRPr="00200277">
        <w:rPr>
          <w:rFonts w:eastAsia="Times New Roman" w:cs="Times New Roman"/>
          <w:szCs w:val="24"/>
          <w:lang w:eastAsia="en-GB"/>
        </w:rPr>
        <w:t xml:space="preserve"> comparison of Leeds, Tower Hamlets and Norfolk demonstrates that all three authorities provide significant Early Help and Family Hub support. Leeds is the strongest overall because it provides particularly clear explanations of Early Help, a graduated model of support, multiple contact routes and detailed information about its Family Hubs. Tower Hamlets also provides a strong and family-focused offer, while Norfolk demonstrates strong community and health partnerships but has more fragmented online signposting.</w:t>
      </w:r>
    </w:p>
    <w:p w14:paraId="721247C0" w14:textId="77777777" w:rsidR="00200277" w:rsidRPr="00F13EB2" w:rsidRDefault="00200277" w:rsidP="00C83ED0">
      <w:pPr>
        <w:spacing w:before="100" w:beforeAutospacing="1" w:after="100" w:afterAutospacing="1" w:line="360" w:lineRule="auto"/>
        <w:jc w:val="both"/>
        <w:rPr>
          <w:rFonts w:eastAsia="Times New Roman" w:cs="Times New Roman"/>
          <w:b/>
          <w:bCs/>
          <w:szCs w:val="24"/>
          <w:lang w:eastAsia="en-GB"/>
        </w:rPr>
      </w:pPr>
      <w:r w:rsidRPr="00F13EB2">
        <w:rPr>
          <w:rFonts w:eastAsia="Times New Roman" w:cs="Times New Roman"/>
          <w:b/>
          <w:bCs/>
          <w:szCs w:val="24"/>
          <w:lang w:eastAsia="en-GB"/>
        </w:rPr>
        <w:t>The following recommendations could improve accessibility across all three authorities:</w:t>
      </w:r>
    </w:p>
    <w:p w14:paraId="425778E7"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t>Create one clearly labelled "I need help" Early Help/Family Help webpage</w:t>
      </w:r>
      <w:r w:rsidRPr="00200277">
        <w:rPr>
          <w:rFonts w:eastAsia="Times New Roman" w:cs="Times New Roman"/>
          <w:szCs w:val="24"/>
          <w:lang w:eastAsia="en-GB"/>
        </w:rPr>
        <w:t xml:space="preserve"> so that families do not need to understand local service structures before finding support.</w:t>
      </w:r>
    </w:p>
    <w:p w14:paraId="30C5FBFA"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t>Use simple, family-friendly language</w:t>
      </w:r>
      <w:r w:rsidRPr="00200277">
        <w:rPr>
          <w:rFonts w:eastAsia="Times New Roman" w:cs="Times New Roman"/>
          <w:szCs w:val="24"/>
          <w:lang w:eastAsia="en-GB"/>
        </w:rPr>
        <w:t xml:space="preserve"> and minimise professional terminology such as thresholds, pathways and statutory intervention unless these terms are explained.</w:t>
      </w:r>
    </w:p>
    <w:p w14:paraId="3660794B"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lastRenderedPageBreak/>
        <w:t>Provide a simple needs-based navigation tool</w:t>
      </w:r>
      <w:r w:rsidRPr="00200277">
        <w:rPr>
          <w:rFonts w:eastAsia="Times New Roman" w:cs="Times New Roman"/>
          <w:szCs w:val="24"/>
          <w:lang w:eastAsia="en-GB"/>
        </w:rPr>
        <w:t>, for example "I need help with parenting", "my child's wellbeing", "money or housing", "SEND" or "family relationships".</w:t>
      </w:r>
    </w:p>
    <w:p w14:paraId="2E19F30F"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t>Make contact details highly visible</w:t>
      </w:r>
      <w:r w:rsidRPr="00200277">
        <w:rPr>
          <w:rFonts w:eastAsia="Times New Roman" w:cs="Times New Roman"/>
          <w:szCs w:val="24"/>
          <w:lang w:eastAsia="en-GB"/>
        </w:rPr>
        <w:t>, including telephone, email, online and face-to-face options.</w:t>
      </w:r>
    </w:p>
    <w:p w14:paraId="348E64DC"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t>Improve accessibility for diverse communities,</w:t>
      </w:r>
      <w:r w:rsidRPr="00200277">
        <w:rPr>
          <w:rFonts w:eastAsia="Times New Roman" w:cs="Times New Roman"/>
          <w:szCs w:val="24"/>
          <w:lang w:eastAsia="en-GB"/>
        </w:rPr>
        <w:t xml:space="preserve"> including translated information, British Sign Language options, accessible documents and information suitable for people with different literacy levels.</w:t>
      </w:r>
    </w:p>
    <w:p w14:paraId="55C020AA" w14:textId="77777777" w:rsidR="00200277" w:rsidRPr="00200277" w:rsidRDefault="00200277" w:rsidP="00C83ED0">
      <w:pPr>
        <w:numPr>
          <w:ilvl w:val="0"/>
          <w:numId w:val="10"/>
        </w:numPr>
        <w:spacing w:before="100" w:beforeAutospacing="1" w:after="100" w:afterAutospacing="1" w:line="360" w:lineRule="auto"/>
        <w:jc w:val="both"/>
        <w:rPr>
          <w:rFonts w:eastAsia="Times New Roman" w:cs="Times New Roman"/>
          <w:szCs w:val="24"/>
          <w:lang w:eastAsia="en-GB"/>
        </w:rPr>
      </w:pPr>
      <w:r w:rsidRPr="00400E2A">
        <w:rPr>
          <w:rFonts w:eastAsia="Times New Roman" w:cs="Times New Roman"/>
          <w:szCs w:val="24"/>
          <w:lang w:eastAsia="en-GB"/>
        </w:rPr>
        <w:t>Clearly distinguish Early Help/Family Help from safeguarding</w:t>
      </w:r>
      <w:r w:rsidRPr="00200277">
        <w:rPr>
          <w:rFonts w:eastAsia="Times New Roman" w:cs="Times New Roman"/>
          <w:szCs w:val="24"/>
          <w:lang w:eastAsia="en-GB"/>
        </w:rPr>
        <w:t>, while explaining what families should do when there is an immediate concern about a child's safety.</w:t>
      </w:r>
    </w:p>
    <w:p w14:paraId="365C096A" w14:textId="185FE3F1" w:rsidR="00200277" w:rsidRPr="00200277" w:rsidRDefault="00200277" w:rsidP="00C83ED0">
      <w:pPr>
        <w:spacing w:before="100" w:beforeAutospacing="1" w:after="100" w:afterAutospacing="1" w:line="360" w:lineRule="auto"/>
        <w:jc w:val="both"/>
        <w:rPr>
          <w:rFonts w:eastAsia="Times New Roman" w:cs="Times New Roman"/>
          <w:szCs w:val="24"/>
          <w:lang w:eastAsia="en-GB"/>
        </w:rPr>
      </w:pPr>
      <w:r w:rsidRPr="00200277">
        <w:rPr>
          <w:rFonts w:eastAsia="Times New Roman" w:cs="Times New Roman"/>
          <w:szCs w:val="24"/>
          <w:lang w:eastAsia="en-GB"/>
        </w:rPr>
        <w:t xml:space="preserve">Ultimately, effective Early Help depends on more than having services available. Families must be able to recognise their need, understand the available options and reach the appropriate service without unnecessary barriers. </w:t>
      </w:r>
    </w:p>
    <w:p w14:paraId="7671760B" w14:textId="77777777" w:rsidR="00200277" w:rsidRPr="00200277" w:rsidRDefault="00200277" w:rsidP="00FD5E9A">
      <w:pPr>
        <w:spacing w:before="100" w:beforeAutospacing="1" w:after="100" w:afterAutospacing="1" w:line="360" w:lineRule="auto"/>
        <w:rPr>
          <w:rFonts w:eastAsia="Times New Roman" w:cs="Times New Roman"/>
          <w:szCs w:val="24"/>
          <w:lang w:eastAsia="en-GB"/>
        </w:rPr>
      </w:pPr>
    </w:p>
    <w:p w14:paraId="4BB54034" w14:textId="77777777" w:rsidR="007823E3" w:rsidRDefault="007823E3" w:rsidP="00A53C95">
      <w:pPr>
        <w:pStyle w:val="NormalWeb"/>
        <w:rPr>
          <w:b/>
          <w:bCs/>
          <w:sz w:val="32"/>
          <w:szCs w:val="32"/>
        </w:rPr>
      </w:pPr>
    </w:p>
    <w:p w14:paraId="7F75191C" w14:textId="77777777" w:rsidR="005F7777" w:rsidRDefault="005F7777" w:rsidP="00A53C95">
      <w:pPr>
        <w:pStyle w:val="NormalWeb"/>
        <w:rPr>
          <w:b/>
          <w:bCs/>
          <w:sz w:val="32"/>
          <w:szCs w:val="32"/>
        </w:rPr>
      </w:pPr>
    </w:p>
    <w:p w14:paraId="5EC62B0E" w14:textId="77777777" w:rsidR="00F247F7" w:rsidRDefault="00F247F7" w:rsidP="00A53C95">
      <w:pPr>
        <w:pStyle w:val="NormalWeb"/>
        <w:rPr>
          <w:b/>
          <w:bCs/>
          <w:sz w:val="32"/>
          <w:szCs w:val="32"/>
        </w:rPr>
      </w:pPr>
    </w:p>
    <w:p w14:paraId="76E91FD9" w14:textId="77777777" w:rsidR="00F247F7" w:rsidRDefault="00F247F7" w:rsidP="00A53C95">
      <w:pPr>
        <w:pStyle w:val="NormalWeb"/>
        <w:rPr>
          <w:b/>
          <w:bCs/>
          <w:sz w:val="32"/>
          <w:szCs w:val="32"/>
        </w:rPr>
      </w:pPr>
    </w:p>
    <w:p w14:paraId="562AD40D" w14:textId="77777777" w:rsidR="00F247F7" w:rsidRDefault="00F247F7" w:rsidP="00A53C95">
      <w:pPr>
        <w:pStyle w:val="NormalWeb"/>
        <w:rPr>
          <w:b/>
          <w:bCs/>
          <w:sz w:val="32"/>
          <w:szCs w:val="32"/>
        </w:rPr>
      </w:pPr>
    </w:p>
    <w:p w14:paraId="19A8D130" w14:textId="77777777" w:rsidR="007050D1" w:rsidRDefault="007050D1" w:rsidP="00A53C95">
      <w:pPr>
        <w:pStyle w:val="NormalWeb"/>
        <w:rPr>
          <w:b/>
          <w:bCs/>
          <w:sz w:val="32"/>
          <w:szCs w:val="32"/>
        </w:rPr>
      </w:pPr>
    </w:p>
    <w:p w14:paraId="1E1A78A9" w14:textId="77777777" w:rsidR="007050D1" w:rsidRDefault="007050D1" w:rsidP="00A53C95">
      <w:pPr>
        <w:pStyle w:val="NormalWeb"/>
        <w:rPr>
          <w:b/>
          <w:bCs/>
          <w:sz w:val="32"/>
          <w:szCs w:val="32"/>
        </w:rPr>
      </w:pPr>
    </w:p>
    <w:p w14:paraId="573EE943" w14:textId="77777777" w:rsidR="007050D1" w:rsidRDefault="007050D1" w:rsidP="00A53C95">
      <w:pPr>
        <w:pStyle w:val="NormalWeb"/>
        <w:rPr>
          <w:b/>
          <w:bCs/>
          <w:sz w:val="32"/>
          <w:szCs w:val="32"/>
        </w:rPr>
      </w:pPr>
    </w:p>
    <w:p w14:paraId="235B67BA" w14:textId="77777777" w:rsidR="007050D1" w:rsidRDefault="007050D1" w:rsidP="00A53C95">
      <w:pPr>
        <w:pStyle w:val="NormalWeb"/>
        <w:rPr>
          <w:b/>
          <w:bCs/>
          <w:sz w:val="32"/>
          <w:szCs w:val="32"/>
        </w:rPr>
      </w:pPr>
    </w:p>
    <w:p w14:paraId="19387852" w14:textId="77777777" w:rsidR="007050D1" w:rsidRDefault="007050D1" w:rsidP="00A53C95">
      <w:pPr>
        <w:pStyle w:val="NormalWeb"/>
        <w:rPr>
          <w:b/>
          <w:bCs/>
          <w:sz w:val="32"/>
          <w:szCs w:val="32"/>
        </w:rPr>
      </w:pPr>
    </w:p>
    <w:p w14:paraId="328F765F" w14:textId="77777777" w:rsidR="007050D1" w:rsidRDefault="007050D1" w:rsidP="00A53C95">
      <w:pPr>
        <w:pStyle w:val="NormalWeb"/>
        <w:rPr>
          <w:b/>
          <w:bCs/>
          <w:sz w:val="32"/>
          <w:szCs w:val="32"/>
        </w:rPr>
      </w:pPr>
    </w:p>
    <w:p w14:paraId="1DB24C7E" w14:textId="77777777" w:rsidR="007050D1" w:rsidRDefault="007050D1" w:rsidP="00A53C95">
      <w:pPr>
        <w:pStyle w:val="NormalWeb"/>
        <w:rPr>
          <w:b/>
          <w:bCs/>
          <w:sz w:val="32"/>
          <w:szCs w:val="32"/>
        </w:rPr>
      </w:pPr>
    </w:p>
    <w:p w14:paraId="5241F606" w14:textId="44BCE537" w:rsidR="00C83ED0" w:rsidRDefault="00DD0808" w:rsidP="00A53C95">
      <w:pPr>
        <w:pStyle w:val="NormalWeb"/>
        <w:rPr>
          <w:b/>
          <w:bCs/>
          <w:sz w:val="32"/>
          <w:szCs w:val="32"/>
        </w:rPr>
      </w:pPr>
      <w:r w:rsidRPr="00DD0808">
        <w:rPr>
          <w:b/>
          <w:bCs/>
          <w:sz w:val="32"/>
          <w:szCs w:val="32"/>
        </w:rPr>
        <w:lastRenderedPageBreak/>
        <w:t>References</w:t>
      </w:r>
    </w:p>
    <w:p w14:paraId="1A7775D3" w14:textId="77777777" w:rsid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Ball, E.J., McElwee, J.D. and McManus, M.A. (2024) ‘Multi-agency safeguarding: From everyone’s responsibility to a collective responsibility’, </w:t>
      </w:r>
      <w:r w:rsidRPr="00555257">
        <w:rPr>
          <w:rFonts w:eastAsia="Times New Roman" w:cs="Times New Roman"/>
          <w:i/>
          <w:iCs/>
          <w:szCs w:val="24"/>
          <w:lang w:eastAsia="en-GB"/>
        </w:rPr>
        <w:t>Journal of Community Safety &amp; Well-Being</w:t>
      </w:r>
      <w:r w:rsidRPr="00555257">
        <w:rPr>
          <w:rFonts w:eastAsia="Times New Roman" w:cs="Times New Roman"/>
          <w:szCs w:val="24"/>
          <w:lang w:eastAsia="en-GB"/>
        </w:rPr>
        <w:t xml:space="preserve">, 9(2), pp. 104–108. Available at: </w:t>
      </w:r>
      <w:hyperlink r:id="rId13" w:history="1">
        <w:r w:rsidRPr="00555257">
          <w:rPr>
            <w:rFonts w:eastAsia="Times New Roman" w:cs="Times New Roman"/>
            <w:color w:val="0000FF"/>
            <w:szCs w:val="24"/>
            <w:u w:val="single"/>
            <w:lang w:eastAsia="en-GB"/>
          </w:rPr>
          <w:t>https://doi.org/10.35502/jcswb.371</w:t>
        </w:r>
      </w:hyperlink>
      <w:r w:rsidRPr="00555257">
        <w:rPr>
          <w:rFonts w:eastAsia="Times New Roman" w:cs="Times New Roman"/>
          <w:szCs w:val="24"/>
          <w:lang w:eastAsia="en-GB"/>
        </w:rPr>
        <w:t xml:space="preserve"> (Accessed: 9 August 2026).</w:t>
      </w:r>
    </w:p>
    <w:p w14:paraId="62287BCA" w14:textId="31D99EE4" w:rsidR="007823E3" w:rsidRPr="00555257" w:rsidRDefault="007823E3" w:rsidP="00555257">
      <w:pPr>
        <w:spacing w:before="100" w:beforeAutospacing="1" w:after="100" w:afterAutospacing="1" w:line="240" w:lineRule="auto"/>
        <w:rPr>
          <w:rFonts w:eastAsia="Times New Roman" w:cs="Times New Roman"/>
          <w:szCs w:val="24"/>
          <w:lang w:eastAsia="en-GB"/>
        </w:rPr>
      </w:pPr>
      <w:r w:rsidRPr="007823E3">
        <w:t xml:space="preserve">Children Act 1989 (c.41). Available at: </w:t>
      </w:r>
      <w:hyperlink r:id="rId14" w:history="1">
        <w:r w:rsidRPr="007823E3">
          <w:rPr>
            <w:color w:val="0000FF"/>
            <w:u w:val="single"/>
          </w:rPr>
          <w:t>https://www.legislation.gov.uk/ukpga/1989/41/contents</w:t>
        </w:r>
      </w:hyperlink>
      <w:r w:rsidRPr="007823E3">
        <w:t xml:space="preserve"> (Accessed: 9 August 2026).</w:t>
      </w:r>
    </w:p>
    <w:p w14:paraId="73EFF092"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Department for Education (2026) </w:t>
      </w:r>
      <w:r w:rsidRPr="00555257">
        <w:rPr>
          <w:rFonts w:eastAsia="Times New Roman" w:cs="Times New Roman"/>
          <w:i/>
          <w:iCs/>
          <w:szCs w:val="24"/>
          <w:lang w:eastAsia="en-GB"/>
        </w:rPr>
        <w:t>Working Together to Safeguard Children 2026: A guide to multi-agency working to help, protect and promote the welfare of children</w:t>
      </w:r>
      <w:r w:rsidRPr="00555257">
        <w:rPr>
          <w:rFonts w:eastAsia="Times New Roman" w:cs="Times New Roman"/>
          <w:szCs w:val="24"/>
          <w:lang w:eastAsia="en-GB"/>
        </w:rPr>
        <w:t xml:space="preserve">. London: Department for Education. Available at: </w:t>
      </w:r>
      <w:hyperlink r:id="rId15" w:history="1">
        <w:r w:rsidRPr="00555257">
          <w:rPr>
            <w:rFonts w:eastAsia="Times New Roman" w:cs="Times New Roman"/>
            <w:color w:val="0000FF"/>
            <w:szCs w:val="24"/>
            <w:u w:val="single"/>
            <w:lang w:eastAsia="en-GB"/>
          </w:rPr>
          <w:t>https://www.gov.uk/government/publications/working-together-to-safeguard-children--2</w:t>
        </w:r>
      </w:hyperlink>
      <w:r w:rsidRPr="00555257">
        <w:rPr>
          <w:rFonts w:eastAsia="Times New Roman" w:cs="Times New Roman"/>
          <w:szCs w:val="24"/>
          <w:lang w:eastAsia="en-GB"/>
        </w:rPr>
        <w:t xml:space="preserve"> (Accessed: 9 August 2026).</w:t>
      </w:r>
    </w:p>
    <w:p w14:paraId="56ED17D6"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Department for Education and Department for Levelling Up, Housing and Communities (2022) </w:t>
      </w:r>
      <w:r w:rsidRPr="00555257">
        <w:rPr>
          <w:rFonts w:eastAsia="Times New Roman" w:cs="Times New Roman"/>
          <w:i/>
          <w:iCs/>
          <w:szCs w:val="24"/>
          <w:lang w:eastAsia="en-GB"/>
        </w:rPr>
        <w:t>Supporting Families: Early Help System Guide</w:t>
      </w:r>
      <w:r w:rsidRPr="00555257">
        <w:rPr>
          <w:rFonts w:eastAsia="Times New Roman" w:cs="Times New Roman"/>
          <w:szCs w:val="24"/>
          <w:lang w:eastAsia="en-GB"/>
        </w:rPr>
        <w:t xml:space="preserve">. London: Department for Education and Department for Levelling Up, Housing and Communities. Available at: </w:t>
      </w:r>
      <w:hyperlink r:id="rId16" w:history="1">
        <w:r w:rsidRPr="00555257">
          <w:rPr>
            <w:rFonts w:eastAsia="Times New Roman" w:cs="Times New Roman"/>
            <w:color w:val="0000FF"/>
            <w:szCs w:val="24"/>
            <w:u w:val="single"/>
            <w:lang w:eastAsia="en-GB"/>
          </w:rPr>
          <w:t>https://www.gov.uk/government/publications/supporting-families-early-help-system-guide</w:t>
        </w:r>
      </w:hyperlink>
      <w:r w:rsidRPr="00555257">
        <w:rPr>
          <w:rFonts w:eastAsia="Times New Roman" w:cs="Times New Roman"/>
          <w:szCs w:val="24"/>
          <w:lang w:eastAsia="en-GB"/>
        </w:rPr>
        <w:t xml:space="preserve"> (Accessed: 9 August 2026).</w:t>
      </w:r>
    </w:p>
    <w:p w14:paraId="60B83DE3"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Just One Norfolk (2026) </w:t>
      </w:r>
      <w:r w:rsidRPr="00555257">
        <w:rPr>
          <w:rFonts w:eastAsia="Times New Roman" w:cs="Times New Roman"/>
          <w:i/>
          <w:iCs/>
          <w:szCs w:val="24"/>
          <w:lang w:eastAsia="en-GB"/>
        </w:rPr>
        <w:t>Family Hubs</w:t>
      </w:r>
      <w:r w:rsidRPr="00555257">
        <w:rPr>
          <w:rFonts w:eastAsia="Times New Roman" w:cs="Times New Roman"/>
          <w:szCs w:val="24"/>
          <w:lang w:eastAsia="en-GB"/>
        </w:rPr>
        <w:t xml:space="preserve">. Available at: </w:t>
      </w:r>
      <w:hyperlink r:id="rId17" w:history="1">
        <w:r w:rsidRPr="00555257">
          <w:rPr>
            <w:rFonts w:eastAsia="Times New Roman" w:cs="Times New Roman"/>
            <w:color w:val="0000FF"/>
            <w:szCs w:val="24"/>
            <w:u w:val="single"/>
            <w:lang w:eastAsia="en-GB"/>
          </w:rPr>
          <w:t>https://www.justonenorfolk.nhs.uk/family-hubs/</w:t>
        </w:r>
      </w:hyperlink>
      <w:r w:rsidRPr="00555257">
        <w:rPr>
          <w:rFonts w:eastAsia="Times New Roman" w:cs="Times New Roman"/>
          <w:szCs w:val="24"/>
          <w:lang w:eastAsia="en-GB"/>
        </w:rPr>
        <w:t xml:space="preserve"> (Accessed: 9 August 2026).</w:t>
      </w:r>
    </w:p>
    <w:p w14:paraId="172B22CE"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Leeds City Council (2025a) </w:t>
      </w:r>
      <w:r w:rsidRPr="00555257">
        <w:rPr>
          <w:rFonts w:eastAsia="Times New Roman" w:cs="Times New Roman"/>
          <w:i/>
          <w:iCs/>
          <w:szCs w:val="24"/>
          <w:lang w:eastAsia="en-GB"/>
        </w:rPr>
        <w:t>One minute guide: Early Help</w:t>
      </w:r>
      <w:r w:rsidRPr="00555257">
        <w:rPr>
          <w:rFonts w:eastAsia="Times New Roman" w:cs="Times New Roman"/>
          <w:szCs w:val="24"/>
          <w:lang w:eastAsia="en-GB"/>
        </w:rPr>
        <w:t xml:space="preserve">. Available at: </w:t>
      </w:r>
      <w:hyperlink r:id="rId18" w:history="1">
        <w:r w:rsidRPr="00555257">
          <w:rPr>
            <w:rFonts w:eastAsia="Times New Roman" w:cs="Times New Roman"/>
            <w:color w:val="0000FF"/>
            <w:szCs w:val="24"/>
            <w:u w:val="single"/>
            <w:lang w:eastAsia="en-GB"/>
          </w:rPr>
          <w:t>https://www.leeds.gov.uk/one-minute-guides/early-help</w:t>
        </w:r>
      </w:hyperlink>
      <w:r w:rsidRPr="00555257">
        <w:rPr>
          <w:rFonts w:eastAsia="Times New Roman" w:cs="Times New Roman"/>
          <w:szCs w:val="24"/>
          <w:lang w:eastAsia="en-GB"/>
        </w:rPr>
        <w:t xml:space="preserve"> (Accessed: 9 August 2026).</w:t>
      </w:r>
    </w:p>
    <w:p w14:paraId="6CE2FD8B"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Leeds City Council (2025b) </w:t>
      </w:r>
      <w:r w:rsidRPr="00555257">
        <w:rPr>
          <w:rFonts w:eastAsia="Times New Roman" w:cs="Times New Roman"/>
          <w:i/>
          <w:iCs/>
          <w:szCs w:val="24"/>
          <w:lang w:eastAsia="en-GB"/>
        </w:rPr>
        <w:t>Early Help and Family Information Services</w:t>
      </w:r>
      <w:r w:rsidRPr="00555257">
        <w:rPr>
          <w:rFonts w:eastAsia="Times New Roman" w:cs="Times New Roman"/>
          <w:szCs w:val="24"/>
          <w:lang w:eastAsia="en-GB"/>
        </w:rPr>
        <w:t xml:space="preserve">. Available at: </w:t>
      </w:r>
      <w:hyperlink r:id="rId19" w:history="1">
        <w:r w:rsidRPr="00555257">
          <w:rPr>
            <w:rFonts w:eastAsia="Times New Roman" w:cs="Times New Roman"/>
            <w:color w:val="0000FF"/>
            <w:szCs w:val="24"/>
            <w:u w:val="single"/>
            <w:lang w:eastAsia="en-GB"/>
          </w:rPr>
          <w:t>https://webestate.leeds.gov.uk/news/2025/early-help-and-family-information-services</w:t>
        </w:r>
      </w:hyperlink>
      <w:r w:rsidRPr="00555257">
        <w:rPr>
          <w:rFonts w:eastAsia="Times New Roman" w:cs="Times New Roman"/>
          <w:szCs w:val="24"/>
          <w:lang w:eastAsia="en-GB"/>
        </w:rPr>
        <w:t xml:space="preserve"> (Accessed: 9 August 2026).</w:t>
      </w:r>
    </w:p>
    <w:p w14:paraId="5B25ACFD"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Lucas, S. and Archard, P.J. (2021) ‘Early help and children’s services: exploring provision and practice across English local authorities’, </w:t>
      </w:r>
      <w:r w:rsidRPr="00555257">
        <w:rPr>
          <w:rFonts w:eastAsia="Times New Roman" w:cs="Times New Roman"/>
          <w:i/>
          <w:iCs/>
          <w:szCs w:val="24"/>
          <w:lang w:eastAsia="en-GB"/>
        </w:rPr>
        <w:t>Journal of Children’s Services</w:t>
      </w:r>
      <w:r w:rsidRPr="00555257">
        <w:rPr>
          <w:rFonts w:eastAsia="Times New Roman" w:cs="Times New Roman"/>
          <w:szCs w:val="24"/>
          <w:lang w:eastAsia="en-GB"/>
        </w:rPr>
        <w:t xml:space="preserve">, 16(1), pp. 74–86. Available at: </w:t>
      </w:r>
      <w:hyperlink r:id="rId20" w:history="1">
        <w:r w:rsidRPr="00555257">
          <w:rPr>
            <w:rFonts w:eastAsia="Times New Roman" w:cs="Times New Roman"/>
            <w:color w:val="0000FF"/>
            <w:szCs w:val="24"/>
            <w:u w:val="single"/>
            <w:lang w:eastAsia="en-GB"/>
          </w:rPr>
          <w:t>https://doi.org/10.1108/JCS-03-2020-0006</w:t>
        </w:r>
      </w:hyperlink>
      <w:r w:rsidRPr="00555257">
        <w:rPr>
          <w:rFonts w:eastAsia="Times New Roman" w:cs="Times New Roman"/>
          <w:szCs w:val="24"/>
          <w:lang w:eastAsia="en-GB"/>
        </w:rPr>
        <w:t xml:space="preserve"> (Accessed: 9 August 2026).</w:t>
      </w:r>
    </w:p>
    <w:p w14:paraId="4F6A4A8A"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NSPCC (2026) </w:t>
      </w:r>
      <w:r w:rsidRPr="00555257">
        <w:rPr>
          <w:rFonts w:eastAsia="Times New Roman" w:cs="Times New Roman"/>
          <w:i/>
          <w:iCs/>
          <w:szCs w:val="24"/>
          <w:lang w:eastAsia="en-GB"/>
        </w:rPr>
        <w:t>It takes a place: Multi-agency safeguarding in Family Hubs</w:t>
      </w:r>
      <w:r w:rsidRPr="00555257">
        <w:rPr>
          <w:rFonts w:eastAsia="Times New Roman" w:cs="Times New Roman"/>
          <w:szCs w:val="24"/>
          <w:lang w:eastAsia="en-GB"/>
        </w:rPr>
        <w:t xml:space="preserve">. Available at: </w:t>
      </w:r>
      <w:hyperlink r:id="rId21" w:history="1">
        <w:r w:rsidRPr="00555257">
          <w:rPr>
            <w:rFonts w:eastAsia="Times New Roman" w:cs="Times New Roman"/>
            <w:color w:val="0000FF"/>
            <w:szCs w:val="24"/>
            <w:u w:val="single"/>
            <w:lang w:eastAsia="en-GB"/>
          </w:rPr>
          <w:t>https://www.nspcc.org.uk/about-us/news-opinion/2026/calling-for-government-do-more-expand-reach-family-hubs/</w:t>
        </w:r>
      </w:hyperlink>
      <w:r w:rsidRPr="00555257">
        <w:rPr>
          <w:rFonts w:eastAsia="Times New Roman" w:cs="Times New Roman"/>
          <w:szCs w:val="24"/>
          <w:lang w:eastAsia="en-GB"/>
        </w:rPr>
        <w:t xml:space="preserve"> (Accessed: 9 August 2026).</w:t>
      </w:r>
    </w:p>
    <w:p w14:paraId="3BBA67CD"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Tower Hamlets Council (2025) </w:t>
      </w:r>
      <w:r w:rsidRPr="00555257">
        <w:rPr>
          <w:rFonts w:eastAsia="Times New Roman" w:cs="Times New Roman"/>
          <w:i/>
          <w:iCs/>
          <w:szCs w:val="24"/>
          <w:lang w:eastAsia="en-GB"/>
        </w:rPr>
        <w:t>Tower Hamlets launches ambitious strategy to support families</w:t>
      </w:r>
      <w:r w:rsidRPr="00555257">
        <w:rPr>
          <w:rFonts w:eastAsia="Times New Roman" w:cs="Times New Roman"/>
          <w:szCs w:val="24"/>
          <w:lang w:eastAsia="en-GB"/>
        </w:rPr>
        <w:t xml:space="preserve">. Available at: </w:t>
      </w:r>
      <w:hyperlink r:id="rId22" w:history="1">
        <w:r w:rsidRPr="00555257">
          <w:rPr>
            <w:rFonts w:eastAsia="Times New Roman" w:cs="Times New Roman"/>
            <w:color w:val="0000FF"/>
            <w:szCs w:val="24"/>
            <w:u w:val="single"/>
            <w:lang w:eastAsia="en-GB"/>
          </w:rPr>
          <w:t>https://www.towerhamlets.gov.uk/News_events/2025/October/Tower-Hamlets-launches-ambitious-strategy-to-support-families.aspx</w:t>
        </w:r>
      </w:hyperlink>
      <w:r w:rsidRPr="00555257">
        <w:rPr>
          <w:rFonts w:eastAsia="Times New Roman" w:cs="Times New Roman"/>
          <w:szCs w:val="24"/>
          <w:lang w:eastAsia="en-GB"/>
        </w:rPr>
        <w:t xml:space="preserve"> (Accessed: 9 August 2026).</w:t>
      </w:r>
    </w:p>
    <w:p w14:paraId="792CEAE0" w14:textId="77777777" w:rsidR="00555257" w:rsidRPr="00555257" w:rsidRDefault="00555257" w:rsidP="00555257">
      <w:pPr>
        <w:spacing w:before="100" w:beforeAutospacing="1" w:after="100" w:afterAutospacing="1" w:line="240" w:lineRule="auto"/>
        <w:rPr>
          <w:rFonts w:eastAsia="Times New Roman" w:cs="Times New Roman"/>
          <w:szCs w:val="24"/>
          <w:lang w:eastAsia="en-GB"/>
        </w:rPr>
      </w:pPr>
      <w:r w:rsidRPr="00555257">
        <w:rPr>
          <w:rFonts w:eastAsia="Times New Roman" w:cs="Times New Roman"/>
          <w:szCs w:val="24"/>
          <w:lang w:eastAsia="en-GB"/>
        </w:rPr>
        <w:t xml:space="preserve">Tower Hamlets Council (2026) </w:t>
      </w:r>
      <w:r w:rsidRPr="00555257">
        <w:rPr>
          <w:rFonts w:eastAsia="Times New Roman" w:cs="Times New Roman"/>
          <w:i/>
          <w:iCs/>
          <w:szCs w:val="24"/>
          <w:lang w:eastAsia="en-GB"/>
        </w:rPr>
        <w:t>About Early Help</w:t>
      </w:r>
      <w:r w:rsidRPr="00555257">
        <w:rPr>
          <w:rFonts w:eastAsia="Times New Roman" w:cs="Times New Roman"/>
          <w:szCs w:val="24"/>
          <w:lang w:eastAsia="en-GB"/>
        </w:rPr>
        <w:t xml:space="preserve">. Available at: </w:t>
      </w:r>
      <w:hyperlink r:id="rId23" w:history="1">
        <w:r w:rsidRPr="00555257">
          <w:rPr>
            <w:rFonts w:eastAsia="Times New Roman" w:cs="Times New Roman"/>
            <w:color w:val="0000FF"/>
            <w:szCs w:val="24"/>
            <w:u w:val="single"/>
            <w:lang w:eastAsia="en-GB"/>
          </w:rPr>
          <w:t>https://www.towerhamlets.gov.uk/lgnl/health__social_care/children_and_family_care/Early_Help/About_Early_Help.aspx</w:t>
        </w:r>
      </w:hyperlink>
      <w:r w:rsidRPr="00555257">
        <w:rPr>
          <w:rFonts w:eastAsia="Times New Roman" w:cs="Times New Roman"/>
          <w:szCs w:val="24"/>
          <w:lang w:eastAsia="en-GB"/>
        </w:rPr>
        <w:t xml:space="preserve"> (Accessed: 9 August 2026).</w:t>
      </w:r>
    </w:p>
    <w:p w14:paraId="55C8679A" w14:textId="77777777" w:rsidR="00555257" w:rsidRDefault="00555257" w:rsidP="00A53C95">
      <w:pPr>
        <w:pStyle w:val="NormalWeb"/>
        <w:rPr>
          <w:b/>
          <w:bCs/>
          <w:sz w:val="32"/>
          <w:szCs w:val="32"/>
        </w:rPr>
      </w:pPr>
    </w:p>
    <w:p w14:paraId="48C65D59" w14:textId="77777777" w:rsidR="00C83ED0" w:rsidRDefault="00C83ED0" w:rsidP="00A53C95">
      <w:pPr>
        <w:pStyle w:val="NormalWeb"/>
      </w:pPr>
    </w:p>
    <w:p w14:paraId="50021FF3" w14:textId="77777777" w:rsidR="00C83ED0" w:rsidRDefault="00C83ED0" w:rsidP="00A53C95">
      <w:pPr>
        <w:pStyle w:val="NormalWeb"/>
      </w:pPr>
    </w:p>
    <w:p w14:paraId="4FF8576E" w14:textId="77777777" w:rsidR="00C83ED0" w:rsidRDefault="00C83ED0" w:rsidP="00A53C95">
      <w:pPr>
        <w:pStyle w:val="NormalWeb"/>
      </w:pPr>
    </w:p>
    <w:p w14:paraId="5DD9156A" w14:textId="77777777" w:rsidR="00C83ED0" w:rsidRDefault="00C83ED0" w:rsidP="00A53C95">
      <w:pPr>
        <w:pStyle w:val="NormalWeb"/>
      </w:pPr>
    </w:p>
    <w:p w14:paraId="5A281130" w14:textId="77777777" w:rsidR="00C83ED0" w:rsidRDefault="00C83ED0" w:rsidP="00A53C95">
      <w:pPr>
        <w:pStyle w:val="NormalWeb"/>
      </w:pPr>
    </w:p>
    <w:p w14:paraId="7B3FA837" w14:textId="77777777" w:rsidR="00C83ED0" w:rsidRDefault="00C83ED0" w:rsidP="00A53C95">
      <w:pPr>
        <w:pStyle w:val="NormalWeb"/>
      </w:pPr>
    </w:p>
    <w:p w14:paraId="354D0776" w14:textId="77777777" w:rsidR="00C83ED0" w:rsidRDefault="00C83ED0" w:rsidP="00A53C95">
      <w:pPr>
        <w:pStyle w:val="NormalWeb"/>
      </w:pPr>
    </w:p>
    <w:p w14:paraId="6A7FE1AE" w14:textId="77777777" w:rsidR="00C83ED0" w:rsidRDefault="00C83ED0" w:rsidP="00A53C95">
      <w:pPr>
        <w:pStyle w:val="NormalWeb"/>
      </w:pPr>
    </w:p>
    <w:p w14:paraId="275E1574" w14:textId="77777777" w:rsidR="00C83ED0" w:rsidRDefault="00C83ED0" w:rsidP="00A53C95">
      <w:pPr>
        <w:pStyle w:val="NormalWeb"/>
      </w:pPr>
    </w:p>
    <w:p w14:paraId="7AD3C06A" w14:textId="77777777" w:rsidR="00C83ED0" w:rsidRDefault="00C83ED0" w:rsidP="00A53C95">
      <w:pPr>
        <w:pStyle w:val="NormalWeb"/>
      </w:pPr>
    </w:p>
    <w:p w14:paraId="40F22BEF" w14:textId="77777777" w:rsidR="00C83ED0" w:rsidRPr="00A53C95" w:rsidRDefault="00C83ED0" w:rsidP="00A53C95">
      <w:pPr>
        <w:pStyle w:val="NormalWeb"/>
      </w:pPr>
    </w:p>
    <w:p w14:paraId="5BF4BCE5" w14:textId="47892D1D" w:rsidR="00DE40B7" w:rsidRPr="00DE40B7" w:rsidRDefault="00DE40B7" w:rsidP="00DE40B7">
      <w:pPr>
        <w:pStyle w:val="NormalWeb"/>
        <w:rPr>
          <w:b/>
          <w:bCs/>
          <w:sz w:val="32"/>
          <w:szCs w:val="32"/>
        </w:rPr>
      </w:pPr>
    </w:p>
    <w:sectPr w:rsidR="00DE40B7" w:rsidRPr="00DE40B7" w:rsidSect="0037028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B09855" w14:textId="77777777" w:rsidR="00D264C7" w:rsidRDefault="00D264C7" w:rsidP="00C03A91">
      <w:pPr>
        <w:spacing w:after="0" w:line="240" w:lineRule="auto"/>
      </w:pPr>
      <w:r>
        <w:separator/>
      </w:r>
    </w:p>
  </w:endnote>
  <w:endnote w:type="continuationSeparator" w:id="0">
    <w:p w14:paraId="0C420376" w14:textId="77777777" w:rsidR="00D264C7" w:rsidRDefault="00D264C7"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80E839" w14:textId="77777777" w:rsidR="00D264C7" w:rsidRDefault="00D264C7" w:rsidP="00C03A91">
      <w:pPr>
        <w:spacing w:after="0" w:line="240" w:lineRule="auto"/>
      </w:pPr>
      <w:r>
        <w:separator/>
      </w:r>
    </w:p>
  </w:footnote>
  <w:footnote w:type="continuationSeparator" w:id="0">
    <w:p w14:paraId="03039F9D" w14:textId="77777777" w:rsidR="00D264C7" w:rsidRDefault="00D264C7" w:rsidP="00C03A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80B4993"/>
    <w:multiLevelType w:val="multilevel"/>
    <w:tmpl w:val="9230E9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9703CE4"/>
    <w:multiLevelType w:val="hybridMultilevel"/>
    <w:tmpl w:val="E7A2DF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6"/>
  </w:num>
  <w:num w:numId="2" w16cid:durableId="1940680655">
    <w:abstractNumId w:val="4"/>
  </w:num>
  <w:num w:numId="3" w16cid:durableId="1890221906">
    <w:abstractNumId w:val="1"/>
  </w:num>
  <w:num w:numId="4" w16cid:durableId="396249628">
    <w:abstractNumId w:val="8"/>
  </w:num>
  <w:num w:numId="5" w16cid:durableId="156192234">
    <w:abstractNumId w:val="9"/>
  </w:num>
  <w:num w:numId="6" w16cid:durableId="926303317">
    <w:abstractNumId w:val="7"/>
  </w:num>
  <w:num w:numId="7" w16cid:durableId="1188908463">
    <w:abstractNumId w:val="0"/>
  </w:num>
  <w:num w:numId="8" w16cid:durableId="567612098">
    <w:abstractNumId w:val="5"/>
  </w:num>
  <w:num w:numId="9" w16cid:durableId="1606695488">
    <w:abstractNumId w:val="3"/>
  </w:num>
  <w:num w:numId="10" w16cid:durableId="146408112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46D08"/>
    <w:rsid w:val="00076AC0"/>
    <w:rsid w:val="000807EE"/>
    <w:rsid w:val="000A61DA"/>
    <w:rsid w:val="000C4EDA"/>
    <w:rsid w:val="001334F6"/>
    <w:rsid w:val="00141ADD"/>
    <w:rsid w:val="00144D73"/>
    <w:rsid w:val="00187D50"/>
    <w:rsid w:val="001A7B3C"/>
    <w:rsid w:val="001B7A40"/>
    <w:rsid w:val="001D1B4F"/>
    <w:rsid w:val="001F6DDB"/>
    <w:rsid w:val="00200277"/>
    <w:rsid w:val="00216C85"/>
    <w:rsid w:val="0022029C"/>
    <w:rsid w:val="00231B2E"/>
    <w:rsid w:val="002372E6"/>
    <w:rsid w:val="00273EDD"/>
    <w:rsid w:val="0028483C"/>
    <w:rsid w:val="00296665"/>
    <w:rsid w:val="002A612A"/>
    <w:rsid w:val="002C3965"/>
    <w:rsid w:val="002D5EDB"/>
    <w:rsid w:val="002D5FFD"/>
    <w:rsid w:val="002F2C0A"/>
    <w:rsid w:val="00302CC7"/>
    <w:rsid w:val="00321C4C"/>
    <w:rsid w:val="0033430C"/>
    <w:rsid w:val="00336D6C"/>
    <w:rsid w:val="00356C15"/>
    <w:rsid w:val="00370282"/>
    <w:rsid w:val="00397B7C"/>
    <w:rsid w:val="003E03CB"/>
    <w:rsid w:val="003F4C89"/>
    <w:rsid w:val="00400E2A"/>
    <w:rsid w:val="004531A7"/>
    <w:rsid w:val="004577F7"/>
    <w:rsid w:val="00462972"/>
    <w:rsid w:val="00481A5C"/>
    <w:rsid w:val="00487556"/>
    <w:rsid w:val="004902C7"/>
    <w:rsid w:val="004B4CC6"/>
    <w:rsid w:val="004F5534"/>
    <w:rsid w:val="00513391"/>
    <w:rsid w:val="00513DBE"/>
    <w:rsid w:val="005247B0"/>
    <w:rsid w:val="00555257"/>
    <w:rsid w:val="005646CA"/>
    <w:rsid w:val="00575D4E"/>
    <w:rsid w:val="005760D9"/>
    <w:rsid w:val="00577C8E"/>
    <w:rsid w:val="00580E51"/>
    <w:rsid w:val="005851AD"/>
    <w:rsid w:val="005B0EA4"/>
    <w:rsid w:val="005F7777"/>
    <w:rsid w:val="0060431F"/>
    <w:rsid w:val="0064396A"/>
    <w:rsid w:val="00656415"/>
    <w:rsid w:val="0069057E"/>
    <w:rsid w:val="007004DF"/>
    <w:rsid w:val="007050D1"/>
    <w:rsid w:val="007257DF"/>
    <w:rsid w:val="00733200"/>
    <w:rsid w:val="00764F2A"/>
    <w:rsid w:val="007823E3"/>
    <w:rsid w:val="007A7297"/>
    <w:rsid w:val="007B10C5"/>
    <w:rsid w:val="007E5BFF"/>
    <w:rsid w:val="007E7745"/>
    <w:rsid w:val="008254C8"/>
    <w:rsid w:val="008353D4"/>
    <w:rsid w:val="008A454A"/>
    <w:rsid w:val="008A717A"/>
    <w:rsid w:val="008C57EF"/>
    <w:rsid w:val="008D6812"/>
    <w:rsid w:val="00955414"/>
    <w:rsid w:val="00973AB1"/>
    <w:rsid w:val="0098483E"/>
    <w:rsid w:val="009976D0"/>
    <w:rsid w:val="009A3BA6"/>
    <w:rsid w:val="009C0B26"/>
    <w:rsid w:val="009C1E4A"/>
    <w:rsid w:val="009D1D1E"/>
    <w:rsid w:val="00A029C2"/>
    <w:rsid w:val="00A03463"/>
    <w:rsid w:val="00A035FD"/>
    <w:rsid w:val="00A038A1"/>
    <w:rsid w:val="00A26D81"/>
    <w:rsid w:val="00A4158E"/>
    <w:rsid w:val="00A53C95"/>
    <w:rsid w:val="00A653D5"/>
    <w:rsid w:val="00A77B94"/>
    <w:rsid w:val="00AA4DB7"/>
    <w:rsid w:val="00AA4DD8"/>
    <w:rsid w:val="00AB3C9D"/>
    <w:rsid w:val="00AD4D2A"/>
    <w:rsid w:val="00AF1190"/>
    <w:rsid w:val="00AF2969"/>
    <w:rsid w:val="00B21D29"/>
    <w:rsid w:val="00B30B5F"/>
    <w:rsid w:val="00B61CE1"/>
    <w:rsid w:val="00B67F71"/>
    <w:rsid w:val="00B92565"/>
    <w:rsid w:val="00BB24E8"/>
    <w:rsid w:val="00BD0069"/>
    <w:rsid w:val="00BD2947"/>
    <w:rsid w:val="00BE0A86"/>
    <w:rsid w:val="00C03A91"/>
    <w:rsid w:val="00C5257B"/>
    <w:rsid w:val="00C61E2B"/>
    <w:rsid w:val="00C70BD0"/>
    <w:rsid w:val="00C83ED0"/>
    <w:rsid w:val="00C97FD1"/>
    <w:rsid w:val="00CD2863"/>
    <w:rsid w:val="00CE07E8"/>
    <w:rsid w:val="00CE7A90"/>
    <w:rsid w:val="00D023FB"/>
    <w:rsid w:val="00D264C7"/>
    <w:rsid w:val="00D26D85"/>
    <w:rsid w:val="00D73FB0"/>
    <w:rsid w:val="00DA2A1E"/>
    <w:rsid w:val="00DA709B"/>
    <w:rsid w:val="00DB6D4B"/>
    <w:rsid w:val="00DC60BD"/>
    <w:rsid w:val="00DD0808"/>
    <w:rsid w:val="00DD147C"/>
    <w:rsid w:val="00DD5E6C"/>
    <w:rsid w:val="00DE40B7"/>
    <w:rsid w:val="00DE5B7A"/>
    <w:rsid w:val="00E00E79"/>
    <w:rsid w:val="00E023A2"/>
    <w:rsid w:val="00E11B7B"/>
    <w:rsid w:val="00E2038D"/>
    <w:rsid w:val="00E212B4"/>
    <w:rsid w:val="00E663FF"/>
    <w:rsid w:val="00E96879"/>
    <w:rsid w:val="00EB12BC"/>
    <w:rsid w:val="00EE596A"/>
    <w:rsid w:val="00F137E3"/>
    <w:rsid w:val="00F13EB2"/>
    <w:rsid w:val="00F247F7"/>
    <w:rsid w:val="00F34CE6"/>
    <w:rsid w:val="00F44C8F"/>
    <w:rsid w:val="00F75000"/>
    <w:rsid w:val="00FD5E9A"/>
    <w:rsid w:val="00FD739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2A612A"/>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A612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paragraph" w:customStyle="1" w:styleId="isselectedend">
    <w:name w:val="isselectedend"/>
    <w:basedOn w:val="Normal"/>
    <w:rsid w:val="002372E6"/>
    <w:pPr>
      <w:spacing w:before="100" w:beforeAutospacing="1" w:after="100" w:afterAutospacing="1" w:line="240" w:lineRule="auto"/>
    </w:pPr>
    <w:rPr>
      <w:rFonts w:eastAsia="Times New Roman" w:cs="Times New Roman"/>
      <w:szCs w:val="24"/>
      <w:lang w:eastAsia="en-GB"/>
    </w:rPr>
  </w:style>
  <w:style w:type="paragraph" w:styleId="NormalWeb">
    <w:name w:val="Normal (Web)"/>
    <w:basedOn w:val="Normal"/>
    <w:uiPriority w:val="99"/>
    <w:semiHidden/>
    <w:unhideWhenUsed/>
    <w:rsid w:val="002372E6"/>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2372E6"/>
    <w:rPr>
      <w:b/>
      <w:bCs/>
    </w:rPr>
  </w:style>
  <w:style w:type="character" w:styleId="Emphasis">
    <w:name w:val="Emphasis"/>
    <w:basedOn w:val="DefaultParagraphFont"/>
    <w:uiPriority w:val="20"/>
    <w:qFormat/>
    <w:rsid w:val="002372E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35502/jcswb.371" TargetMode="External"/><Relationship Id="rId18" Type="http://schemas.openxmlformats.org/officeDocument/2006/relationships/hyperlink" Target="https://www.leeds.gov.uk/one-minute-guides/early-help"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nspcc.org.uk/about-us/news-opinion/2026/calling-for-government-do-more-expand-reach-family-hubs/"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justonenorfolk.nhs.uk/family-hub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gov.uk/government/publications/supporting-families-early-help-system-guide" TargetMode="External"/><Relationship Id="rId20" Type="http://schemas.openxmlformats.org/officeDocument/2006/relationships/hyperlink" Target="https://doi.org/10.1108/JCS-03-2020-0006"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hyperlink" Target="https://www.gov.uk/government/publications/working-together-to-safeguard-children--2" TargetMode="External"/><Relationship Id="rId23" Type="http://schemas.openxmlformats.org/officeDocument/2006/relationships/hyperlink" Target="https://www.towerhamlets.gov.uk/lgnl/health__social_care/children_and_family_care/Early_Help/About_Early_Help.aspx" TargetMode="External"/><Relationship Id="rId10" Type="http://schemas.openxmlformats.org/officeDocument/2006/relationships/endnotes" Target="endnotes.xml"/><Relationship Id="rId19" Type="http://schemas.openxmlformats.org/officeDocument/2006/relationships/hyperlink" Target="https://webestate.leeds.gov.uk/news/2025/early-help-and-family-information-servic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legislation.gov.uk/ukpga/1989/41/contents" TargetMode="External"/><Relationship Id="rId22" Type="http://schemas.openxmlformats.org/officeDocument/2006/relationships/hyperlink" Target="https://www.towerhamlets.gov.uk/News_events/2025/October/Tower-Hamlets-launches-ambitious-strategy-to-support-families.asp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AD56C6AEC0D6E4D87A4E65EF197EFCA" ma:contentTypeVersion="6" ma:contentTypeDescription="Create a new document." ma:contentTypeScope="" ma:versionID="6ff66b7a9264bdd0fa1faad84c41b5e4">
  <xsd:schema xmlns:xsd="http://www.w3.org/2001/XMLSchema" xmlns:xs="http://www.w3.org/2001/XMLSchema" xmlns:p="http://schemas.microsoft.com/office/2006/metadata/properties" xmlns:ns3="58b591e8-e818-4825-9ded-2371f6ca824b" targetNamespace="http://schemas.microsoft.com/office/2006/metadata/properties" ma:root="true" ma:fieldsID="849dcbf1664fe2e2052e106e4f81fb65" ns3:_="">
    <xsd:import namespace="58b591e8-e818-4825-9ded-2371f6ca824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8b591e8-e818-4825-9ded-2371f6ca824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_activity xmlns="58b591e8-e818-4825-9ded-2371f6ca824b" xsi:nil="true"/>
  </documentManagement>
</p:properties>
</file>

<file path=customXml/itemProps1.xml><?xml version="1.0" encoding="utf-8"?>
<ds:datastoreItem xmlns:ds="http://schemas.openxmlformats.org/officeDocument/2006/customXml" ds:itemID="{F1F44D6F-AB9E-4B15-8E2D-B2BA8B1DA9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8b591e8-e818-4825-9ded-2371f6ca82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DD0A039-1DCD-4EDC-8494-2FDA2D79DA8E}">
  <ds:schemaRefs>
    <ds:schemaRef ds:uri="http://schemas.microsoft.com/sharepoint/v3/contenttype/forms"/>
  </ds:schemaRefs>
</ds:datastoreItem>
</file>

<file path=customXml/itemProps3.xml><?xml version="1.0" encoding="utf-8"?>
<ds:datastoreItem xmlns:ds="http://schemas.openxmlformats.org/officeDocument/2006/customXml" ds:itemID="{E5624A80-D92D-48AF-B5EE-CEE2FC8A317C}">
  <ds:schemaRefs>
    <ds:schemaRef ds:uri="http://schemas.openxmlformats.org/officeDocument/2006/bibliography"/>
  </ds:schemaRefs>
</ds:datastoreItem>
</file>

<file path=customXml/itemProps4.xml><?xml version="1.0" encoding="utf-8"?>
<ds:datastoreItem xmlns:ds="http://schemas.openxmlformats.org/officeDocument/2006/customXml" ds:itemID="{03D2CEA1-AECB-4A6E-BCEF-0623DA3CCBE1}">
  <ds:schemaRefs>
    <ds:schemaRef ds:uri="http://schemas.microsoft.com/office/2006/metadata/properties"/>
    <ds:schemaRef ds:uri="http://schemas.microsoft.com/office/infopath/2007/PartnerControls"/>
    <ds:schemaRef ds:uri="58b591e8-e818-4825-9ded-2371f6ca824b"/>
  </ds:schemaRefs>
</ds:datastoreItem>
</file>

<file path=docProps/app.xml><?xml version="1.0" encoding="utf-8"?>
<Properties xmlns="http://schemas.openxmlformats.org/officeDocument/2006/extended-properties" xmlns:vt="http://schemas.openxmlformats.org/officeDocument/2006/docPropsVTypes">
  <Template>Normal</Template>
  <TotalTime>3469</TotalTime>
  <Pages>10</Pages>
  <Words>2982</Words>
  <Characters>17001</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Jujita Angog Cupatan (2424591)</cp:lastModifiedBy>
  <cp:revision>77</cp:revision>
  <cp:lastPrinted>2026-04-08T10:29:00Z</cp:lastPrinted>
  <dcterms:created xsi:type="dcterms:W3CDTF">2026-08-10T02:28:00Z</dcterms:created>
  <dcterms:modified xsi:type="dcterms:W3CDTF">2026-08-14T03:00:00Z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0x010100AAD56C6AEC0D6E4D87A4E65EF197EFCA</vt:lpwstr>
  </property>
</Properties>
</file>