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Pr>
        <w:jc w:val="center"/>
        <w:rPr>
          <w:sz w:val="52"/>
          <w:szCs w:val="52"/>
        </w:rPr>
      </w:pPr>
    </w:p>
    <w:p w:rsidR="00756C17" w:rsidRDefault="00756C17" w:rsidP="00756C17">
      <w:pPr>
        <w:jc w:val="center"/>
        <w:rPr>
          <w:b/>
          <w:bCs/>
          <w:sz w:val="52"/>
          <w:szCs w:val="52"/>
        </w:rPr>
      </w:pPr>
      <w:r>
        <w:rPr>
          <w:b/>
          <w:bCs/>
          <w:sz w:val="52"/>
          <w:szCs w:val="52"/>
        </w:rPr>
        <w:t>Strategic Review of HSBC Plc's Business and Corporate Strategies</w:t>
      </w:r>
    </w:p>
    <w:p w:rsidR="00756C17" w:rsidRDefault="00756C17" w:rsidP="00756C17">
      <w:pPr>
        <w:jc w:val="center"/>
        <w:rPr>
          <w:b/>
          <w:bCs/>
          <w:sz w:val="52"/>
          <w:szCs w:val="52"/>
        </w:rPr>
      </w:pPr>
    </w:p>
    <w:p w:rsidR="00756C17" w:rsidRDefault="00756C17" w:rsidP="00756C17">
      <w:pPr>
        <w:jc w:val="center"/>
        <w:rPr>
          <w:b/>
          <w:bCs/>
          <w:sz w:val="52"/>
          <w:szCs w:val="52"/>
        </w:rPr>
      </w:pPr>
      <w:proofErr w:type="spellStart"/>
      <w:r>
        <w:rPr>
          <w:b/>
          <w:bCs/>
          <w:sz w:val="52"/>
          <w:szCs w:val="52"/>
        </w:rPr>
        <w:t>Simona</w:t>
      </w:r>
      <w:proofErr w:type="spellEnd"/>
      <w:r>
        <w:rPr>
          <w:b/>
          <w:bCs/>
          <w:sz w:val="52"/>
          <w:szCs w:val="52"/>
        </w:rPr>
        <w:t xml:space="preserve"> Becheanu-2019936</w:t>
      </w:r>
    </w:p>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sdt>
      <w:sdtPr>
        <w:rPr>
          <w:rFonts w:asciiTheme="minorHAnsi" w:eastAsiaTheme="minorHAnsi" w:hAnsiTheme="minorHAnsi" w:cstheme="minorBidi"/>
          <w:b w:val="0"/>
          <w:bCs w:val="0"/>
          <w:color w:val="auto"/>
          <w:sz w:val="24"/>
          <w:szCs w:val="24"/>
          <w:lang w:val="en-GB"/>
        </w:rPr>
        <w:id w:val="1513651167"/>
        <w:docPartObj>
          <w:docPartGallery w:val="Table of Contents"/>
          <w:docPartUnique/>
        </w:docPartObj>
      </w:sdtPr>
      <w:sdtContent>
        <w:p w:rsidR="00756C17" w:rsidRDefault="00756C17" w:rsidP="00756C17">
          <w:pPr>
            <w:pStyle w:val="TOCHeading1"/>
          </w:pPr>
          <w:r>
            <w:t>Table of Contents</w:t>
          </w:r>
        </w:p>
        <w:p w:rsidR="00756C17" w:rsidRDefault="00756C17" w:rsidP="00756C17">
          <w:pPr>
            <w:pStyle w:val="TOC1"/>
            <w:tabs>
              <w:tab w:val="right" w:leader="dot" w:pos="9016"/>
            </w:tabs>
            <w:rPr>
              <w:rFonts w:eastAsiaTheme="minorEastAsia" w:cstheme="minorBidi"/>
              <w:b w:val="0"/>
              <w:bCs w:val="0"/>
              <w:i w:val="0"/>
              <w:iCs w:val="0"/>
              <w:noProof/>
              <w:lang w:eastAsia="en-GB"/>
            </w:rPr>
          </w:pPr>
          <w:r w:rsidRPr="00733A1C">
            <w:rPr>
              <w:b w:val="0"/>
              <w:bCs w:val="0"/>
            </w:rPr>
            <w:fldChar w:fldCharType="begin"/>
          </w:r>
          <w:r>
            <w:instrText xml:space="preserve"> TOC \o "1-3" \h \z \u </w:instrText>
          </w:r>
          <w:r w:rsidRPr="00733A1C">
            <w:rPr>
              <w:b w:val="0"/>
              <w:bCs w:val="0"/>
            </w:rPr>
            <w:fldChar w:fldCharType="separate"/>
          </w:r>
          <w:hyperlink w:anchor="_Toc153614867" w:history="1">
            <w:r w:rsidRPr="001713FD">
              <w:rPr>
                <w:rStyle w:val="Hyperlink"/>
                <w:noProof/>
              </w:rPr>
              <w:t>Executive summary</w:t>
            </w:r>
            <w:r>
              <w:rPr>
                <w:noProof/>
                <w:webHidden/>
              </w:rPr>
              <w:tab/>
            </w:r>
            <w:r>
              <w:rPr>
                <w:noProof/>
                <w:webHidden/>
              </w:rPr>
              <w:fldChar w:fldCharType="begin"/>
            </w:r>
            <w:r>
              <w:rPr>
                <w:noProof/>
                <w:webHidden/>
              </w:rPr>
              <w:instrText xml:space="preserve"> PAGEREF _Toc153614867 \h </w:instrText>
            </w:r>
            <w:r>
              <w:rPr>
                <w:noProof/>
                <w:webHidden/>
              </w:rPr>
            </w:r>
            <w:r>
              <w:rPr>
                <w:noProof/>
                <w:webHidden/>
              </w:rPr>
              <w:fldChar w:fldCharType="separate"/>
            </w:r>
            <w:r>
              <w:rPr>
                <w:noProof/>
                <w:webHidden/>
              </w:rPr>
              <w:t>3</w:t>
            </w:r>
            <w:r>
              <w:rPr>
                <w:noProof/>
                <w:webHidden/>
              </w:rPr>
              <w:fldChar w:fldCharType="end"/>
            </w:r>
          </w:hyperlink>
        </w:p>
        <w:p w:rsidR="00756C17" w:rsidRDefault="00756C17" w:rsidP="00756C17">
          <w:pPr>
            <w:pStyle w:val="TOC1"/>
            <w:tabs>
              <w:tab w:val="right" w:leader="dot" w:pos="9016"/>
            </w:tabs>
            <w:rPr>
              <w:rFonts w:eastAsiaTheme="minorEastAsia" w:cstheme="minorBidi"/>
              <w:b w:val="0"/>
              <w:bCs w:val="0"/>
              <w:i w:val="0"/>
              <w:iCs w:val="0"/>
              <w:noProof/>
              <w:lang w:eastAsia="en-GB"/>
            </w:rPr>
          </w:pPr>
          <w:hyperlink w:anchor="_Toc153614868" w:history="1">
            <w:r w:rsidRPr="001713FD">
              <w:rPr>
                <w:rStyle w:val="Hyperlink"/>
                <w:noProof/>
              </w:rPr>
              <w:t>Introduction</w:t>
            </w:r>
            <w:r>
              <w:rPr>
                <w:noProof/>
                <w:webHidden/>
              </w:rPr>
              <w:tab/>
            </w:r>
            <w:r>
              <w:rPr>
                <w:noProof/>
                <w:webHidden/>
              </w:rPr>
              <w:fldChar w:fldCharType="begin"/>
            </w:r>
            <w:r>
              <w:rPr>
                <w:noProof/>
                <w:webHidden/>
              </w:rPr>
              <w:instrText xml:space="preserve"> PAGEREF _Toc153614868 \h </w:instrText>
            </w:r>
            <w:r>
              <w:rPr>
                <w:noProof/>
                <w:webHidden/>
              </w:rPr>
            </w:r>
            <w:r>
              <w:rPr>
                <w:noProof/>
                <w:webHidden/>
              </w:rPr>
              <w:fldChar w:fldCharType="separate"/>
            </w:r>
            <w:r>
              <w:rPr>
                <w:noProof/>
                <w:webHidden/>
              </w:rPr>
              <w:t>3</w:t>
            </w:r>
            <w:r>
              <w:rPr>
                <w:noProof/>
                <w:webHidden/>
              </w:rPr>
              <w:fldChar w:fldCharType="end"/>
            </w:r>
          </w:hyperlink>
        </w:p>
        <w:p w:rsidR="00756C17" w:rsidRDefault="00756C17" w:rsidP="00756C17">
          <w:pPr>
            <w:pStyle w:val="TOC1"/>
            <w:tabs>
              <w:tab w:val="right" w:leader="dot" w:pos="9016"/>
            </w:tabs>
            <w:rPr>
              <w:rFonts w:eastAsiaTheme="minorEastAsia" w:cstheme="minorBidi"/>
              <w:b w:val="0"/>
              <w:bCs w:val="0"/>
              <w:i w:val="0"/>
              <w:iCs w:val="0"/>
              <w:noProof/>
              <w:lang w:eastAsia="en-GB"/>
            </w:rPr>
          </w:pPr>
          <w:hyperlink w:anchor="_Toc153614869" w:history="1">
            <w:r w:rsidRPr="001713FD">
              <w:rPr>
                <w:rStyle w:val="Hyperlink"/>
                <w:noProof/>
              </w:rPr>
              <w:t>Recommendations:</w:t>
            </w:r>
            <w:r>
              <w:rPr>
                <w:noProof/>
                <w:webHidden/>
              </w:rPr>
              <w:tab/>
            </w:r>
            <w:r>
              <w:rPr>
                <w:noProof/>
                <w:webHidden/>
              </w:rPr>
              <w:fldChar w:fldCharType="begin"/>
            </w:r>
            <w:r>
              <w:rPr>
                <w:noProof/>
                <w:webHidden/>
              </w:rPr>
              <w:instrText xml:space="preserve"> PAGEREF _Toc153614869 \h </w:instrText>
            </w:r>
            <w:r>
              <w:rPr>
                <w:noProof/>
                <w:webHidden/>
              </w:rPr>
            </w:r>
            <w:r>
              <w:rPr>
                <w:noProof/>
                <w:webHidden/>
              </w:rPr>
              <w:fldChar w:fldCharType="separate"/>
            </w:r>
            <w:r>
              <w:rPr>
                <w:noProof/>
                <w:webHidden/>
              </w:rPr>
              <w:t>4</w:t>
            </w:r>
            <w:r>
              <w:rPr>
                <w:noProof/>
                <w:webHidden/>
              </w:rPr>
              <w:fldChar w:fldCharType="end"/>
            </w:r>
          </w:hyperlink>
        </w:p>
        <w:p w:rsidR="00756C17" w:rsidRDefault="00756C17" w:rsidP="00756C17">
          <w:pPr>
            <w:pStyle w:val="TOC1"/>
            <w:tabs>
              <w:tab w:val="right" w:leader="dot" w:pos="9016"/>
            </w:tabs>
            <w:rPr>
              <w:rFonts w:eastAsiaTheme="minorEastAsia" w:cstheme="minorBidi"/>
              <w:b w:val="0"/>
              <w:bCs w:val="0"/>
              <w:i w:val="0"/>
              <w:iCs w:val="0"/>
              <w:noProof/>
              <w:lang w:eastAsia="en-GB"/>
            </w:rPr>
          </w:pPr>
          <w:hyperlink w:anchor="_Toc153614870" w:history="1">
            <w:r w:rsidRPr="001713FD">
              <w:rPr>
                <w:rStyle w:val="Hyperlink"/>
                <w:noProof/>
              </w:rPr>
              <w:t>Strategic Overview</w:t>
            </w:r>
            <w:r>
              <w:rPr>
                <w:noProof/>
                <w:webHidden/>
              </w:rPr>
              <w:tab/>
            </w:r>
            <w:r>
              <w:rPr>
                <w:noProof/>
                <w:webHidden/>
              </w:rPr>
              <w:fldChar w:fldCharType="begin"/>
            </w:r>
            <w:r>
              <w:rPr>
                <w:noProof/>
                <w:webHidden/>
              </w:rPr>
              <w:instrText xml:space="preserve"> PAGEREF _Toc153614870 \h </w:instrText>
            </w:r>
            <w:r>
              <w:rPr>
                <w:noProof/>
                <w:webHidden/>
              </w:rPr>
            </w:r>
            <w:r>
              <w:rPr>
                <w:noProof/>
                <w:webHidden/>
              </w:rPr>
              <w:fldChar w:fldCharType="separate"/>
            </w:r>
            <w:r>
              <w:rPr>
                <w:noProof/>
                <w:webHidden/>
              </w:rPr>
              <w:t>4</w:t>
            </w:r>
            <w:r>
              <w:rPr>
                <w:noProof/>
                <w:webHidden/>
              </w:rPr>
              <w:fldChar w:fldCharType="end"/>
            </w:r>
          </w:hyperlink>
        </w:p>
        <w:p w:rsidR="00756C17" w:rsidRDefault="00756C17" w:rsidP="00756C17">
          <w:pPr>
            <w:pStyle w:val="TOC1"/>
            <w:tabs>
              <w:tab w:val="right" w:leader="dot" w:pos="9016"/>
            </w:tabs>
            <w:rPr>
              <w:rFonts w:eastAsiaTheme="minorEastAsia" w:cstheme="minorBidi"/>
              <w:b w:val="0"/>
              <w:bCs w:val="0"/>
              <w:i w:val="0"/>
              <w:iCs w:val="0"/>
              <w:noProof/>
              <w:lang w:eastAsia="en-GB"/>
            </w:rPr>
          </w:pPr>
          <w:hyperlink w:anchor="_Toc153614871" w:history="1">
            <w:r w:rsidRPr="001713FD">
              <w:rPr>
                <w:rStyle w:val="Hyperlink"/>
                <w:noProof/>
              </w:rPr>
              <w:t>Chosen Strategies considering Analysis</w:t>
            </w:r>
            <w:r>
              <w:rPr>
                <w:noProof/>
                <w:webHidden/>
              </w:rPr>
              <w:tab/>
            </w:r>
            <w:r>
              <w:rPr>
                <w:noProof/>
                <w:webHidden/>
              </w:rPr>
              <w:fldChar w:fldCharType="begin"/>
            </w:r>
            <w:r>
              <w:rPr>
                <w:noProof/>
                <w:webHidden/>
              </w:rPr>
              <w:instrText xml:space="preserve"> PAGEREF _Toc153614871 \h </w:instrText>
            </w:r>
            <w:r>
              <w:rPr>
                <w:noProof/>
                <w:webHidden/>
              </w:rPr>
            </w:r>
            <w:r>
              <w:rPr>
                <w:noProof/>
                <w:webHidden/>
              </w:rPr>
              <w:fldChar w:fldCharType="separate"/>
            </w:r>
            <w:r>
              <w:rPr>
                <w:noProof/>
                <w:webHidden/>
              </w:rPr>
              <w:t>5</w:t>
            </w:r>
            <w:r>
              <w:rPr>
                <w:noProof/>
                <w:webHidden/>
              </w:rPr>
              <w:fldChar w:fldCharType="end"/>
            </w:r>
          </w:hyperlink>
        </w:p>
        <w:p w:rsidR="00756C17" w:rsidRDefault="00756C17" w:rsidP="00756C17">
          <w:pPr>
            <w:pStyle w:val="TOC1"/>
            <w:tabs>
              <w:tab w:val="right" w:leader="dot" w:pos="9016"/>
            </w:tabs>
            <w:rPr>
              <w:rFonts w:eastAsiaTheme="minorEastAsia" w:cstheme="minorBidi"/>
              <w:b w:val="0"/>
              <w:bCs w:val="0"/>
              <w:i w:val="0"/>
              <w:iCs w:val="0"/>
              <w:noProof/>
              <w:lang w:eastAsia="en-GB"/>
            </w:rPr>
          </w:pPr>
          <w:hyperlink w:anchor="_Toc153614872" w:history="1">
            <w:r w:rsidRPr="001713FD">
              <w:rPr>
                <w:rStyle w:val="Hyperlink"/>
                <w:noProof/>
              </w:rPr>
              <w:t>Resources and Capabilities</w:t>
            </w:r>
            <w:r>
              <w:rPr>
                <w:noProof/>
                <w:webHidden/>
              </w:rPr>
              <w:tab/>
            </w:r>
            <w:r>
              <w:rPr>
                <w:noProof/>
                <w:webHidden/>
              </w:rPr>
              <w:fldChar w:fldCharType="begin"/>
            </w:r>
            <w:r>
              <w:rPr>
                <w:noProof/>
                <w:webHidden/>
              </w:rPr>
              <w:instrText xml:space="preserve"> PAGEREF _Toc153614872 \h </w:instrText>
            </w:r>
            <w:r>
              <w:rPr>
                <w:noProof/>
                <w:webHidden/>
              </w:rPr>
            </w:r>
            <w:r>
              <w:rPr>
                <w:noProof/>
                <w:webHidden/>
              </w:rPr>
              <w:fldChar w:fldCharType="separate"/>
            </w:r>
            <w:r>
              <w:rPr>
                <w:noProof/>
                <w:webHidden/>
              </w:rPr>
              <w:t>5</w:t>
            </w:r>
            <w:r>
              <w:rPr>
                <w:noProof/>
                <w:webHidden/>
              </w:rPr>
              <w:fldChar w:fldCharType="end"/>
            </w:r>
          </w:hyperlink>
        </w:p>
        <w:p w:rsidR="00756C17" w:rsidRDefault="00756C17" w:rsidP="00756C17">
          <w:pPr>
            <w:pStyle w:val="TOC1"/>
            <w:tabs>
              <w:tab w:val="right" w:leader="dot" w:pos="9016"/>
            </w:tabs>
            <w:rPr>
              <w:rFonts w:eastAsiaTheme="minorEastAsia" w:cstheme="minorBidi"/>
              <w:b w:val="0"/>
              <w:bCs w:val="0"/>
              <w:i w:val="0"/>
              <w:iCs w:val="0"/>
              <w:noProof/>
              <w:lang w:eastAsia="en-GB"/>
            </w:rPr>
          </w:pPr>
          <w:hyperlink w:anchor="_Toc153614873" w:history="1">
            <w:r w:rsidRPr="001713FD">
              <w:rPr>
                <w:rStyle w:val="Hyperlink"/>
                <w:noProof/>
              </w:rPr>
              <w:t>Technological Capabilities:</w:t>
            </w:r>
            <w:r>
              <w:rPr>
                <w:noProof/>
                <w:webHidden/>
              </w:rPr>
              <w:tab/>
            </w:r>
            <w:r>
              <w:rPr>
                <w:noProof/>
                <w:webHidden/>
              </w:rPr>
              <w:fldChar w:fldCharType="begin"/>
            </w:r>
            <w:r>
              <w:rPr>
                <w:noProof/>
                <w:webHidden/>
              </w:rPr>
              <w:instrText xml:space="preserve"> PAGEREF _Toc153614873 \h </w:instrText>
            </w:r>
            <w:r>
              <w:rPr>
                <w:noProof/>
                <w:webHidden/>
              </w:rPr>
            </w:r>
            <w:r>
              <w:rPr>
                <w:noProof/>
                <w:webHidden/>
              </w:rPr>
              <w:fldChar w:fldCharType="separate"/>
            </w:r>
            <w:r>
              <w:rPr>
                <w:noProof/>
                <w:webHidden/>
              </w:rPr>
              <w:t>5</w:t>
            </w:r>
            <w:r>
              <w:rPr>
                <w:noProof/>
                <w:webHidden/>
              </w:rPr>
              <w:fldChar w:fldCharType="end"/>
            </w:r>
          </w:hyperlink>
        </w:p>
        <w:p w:rsidR="00756C17" w:rsidRDefault="00756C17" w:rsidP="00756C17">
          <w:pPr>
            <w:pStyle w:val="TOC1"/>
            <w:tabs>
              <w:tab w:val="right" w:leader="dot" w:pos="9016"/>
            </w:tabs>
            <w:rPr>
              <w:rFonts w:eastAsiaTheme="minorEastAsia" w:cstheme="minorBidi"/>
              <w:b w:val="0"/>
              <w:bCs w:val="0"/>
              <w:i w:val="0"/>
              <w:iCs w:val="0"/>
              <w:noProof/>
              <w:lang w:eastAsia="en-GB"/>
            </w:rPr>
          </w:pPr>
          <w:hyperlink w:anchor="_Toc153614874" w:history="1">
            <w:r w:rsidRPr="001713FD">
              <w:rPr>
                <w:rStyle w:val="Hyperlink"/>
                <w:noProof/>
              </w:rPr>
              <w:t>Implementation of Strategies</w:t>
            </w:r>
            <w:r>
              <w:rPr>
                <w:noProof/>
                <w:webHidden/>
              </w:rPr>
              <w:tab/>
            </w:r>
            <w:r>
              <w:rPr>
                <w:noProof/>
                <w:webHidden/>
              </w:rPr>
              <w:fldChar w:fldCharType="begin"/>
            </w:r>
            <w:r>
              <w:rPr>
                <w:noProof/>
                <w:webHidden/>
              </w:rPr>
              <w:instrText xml:space="preserve"> PAGEREF _Toc153614874 \h </w:instrText>
            </w:r>
            <w:r>
              <w:rPr>
                <w:noProof/>
                <w:webHidden/>
              </w:rPr>
            </w:r>
            <w:r>
              <w:rPr>
                <w:noProof/>
                <w:webHidden/>
              </w:rPr>
              <w:fldChar w:fldCharType="separate"/>
            </w:r>
            <w:r>
              <w:rPr>
                <w:noProof/>
                <w:webHidden/>
              </w:rPr>
              <w:t>6</w:t>
            </w:r>
            <w:r>
              <w:rPr>
                <w:noProof/>
                <w:webHidden/>
              </w:rPr>
              <w:fldChar w:fldCharType="end"/>
            </w:r>
          </w:hyperlink>
        </w:p>
        <w:p w:rsidR="00756C17" w:rsidRDefault="00756C17" w:rsidP="00756C17">
          <w:pPr>
            <w:pStyle w:val="TOC1"/>
            <w:tabs>
              <w:tab w:val="right" w:leader="dot" w:pos="9016"/>
            </w:tabs>
            <w:rPr>
              <w:rFonts w:eastAsiaTheme="minorEastAsia" w:cstheme="minorBidi"/>
              <w:b w:val="0"/>
              <w:bCs w:val="0"/>
              <w:i w:val="0"/>
              <w:iCs w:val="0"/>
              <w:noProof/>
              <w:lang w:eastAsia="en-GB"/>
            </w:rPr>
          </w:pPr>
          <w:hyperlink w:anchor="_Toc153614875" w:history="1">
            <w:r w:rsidRPr="001713FD">
              <w:rPr>
                <w:rStyle w:val="Hyperlink"/>
                <w:noProof/>
              </w:rPr>
              <w:t>Competitive Advantages over Rivals</w:t>
            </w:r>
            <w:r>
              <w:rPr>
                <w:noProof/>
                <w:webHidden/>
              </w:rPr>
              <w:tab/>
            </w:r>
            <w:r>
              <w:rPr>
                <w:noProof/>
                <w:webHidden/>
              </w:rPr>
              <w:fldChar w:fldCharType="begin"/>
            </w:r>
            <w:r>
              <w:rPr>
                <w:noProof/>
                <w:webHidden/>
              </w:rPr>
              <w:instrText xml:space="preserve"> PAGEREF _Toc153614875 \h </w:instrText>
            </w:r>
            <w:r>
              <w:rPr>
                <w:noProof/>
                <w:webHidden/>
              </w:rPr>
            </w:r>
            <w:r>
              <w:rPr>
                <w:noProof/>
                <w:webHidden/>
              </w:rPr>
              <w:fldChar w:fldCharType="separate"/>
            </w:r>
            <w:r>
              <w:rPr>
                <w:noProof/>
                <w:webHidden/>
              </w:rPr>
              <w:t>7</w:t>
            </w:r>
            <w:r>
              <w:rPr>
                <w:noProof/>
                <w:webHidden/>
              </w:rPr>
              <w:fldChar w:fldCharType="end"/>
            </w:r>
          </w:hyperlink>
        </w:p>
        <w:p w:rsidR="00756C17" w:rsidRDefault="00756C17" w:rsidP="00756C17">
          <w:pPr>
            <w:pStyle w:val="TOC1"/>
            <w:tabs>
              <w:tab w:val="right" w:leader="dot" w:pos="9016"/>
            </w:tabs>
            <w:rPr>
              <w:rFonts w:eastAsiaTheme="minorEastAsia" w:cstheme="minorBidi"/>
              <w:b w:val="0"/>
              <w:bCs w:val="0"/>
              <w:i w:val="0"/>
              <w:iCs w:val="0"/>
              <w:noProof/>
              <w:lang w:eastAsia="en-GB"/>
            </w:rPr>
          </w:pPr>
          <w:hyperlink w:anchor="_Toc153614876" w:history="1">
            <w:r w:rsidRPr="001713FD">
              <w:rPr>
                <w:rStyle w:val="Hyperlink"/>
                <w:noProof/>
              </w:rPr>
              <w:t>Sustainability and Environmental Considerations</w:t>
            </w:r>
            <w:r>
              <w:rPr>
                <w:noProof/>
                <w:webHidden/>
              </w:rPr>
              <w:tab/>
            </w:r>
            <w:r>
              <w:rPr>
                <w:noProof/>
                <w:webHidden/>
              </w:rPr>
              <w:fldChar w:fldCharType="begin"/>
            </w:r>
            <w:r>
              <w:rPr>
                <w:noProof/>
                <w:webHidden/>
              </w:rPr>
              <w:instrText xml:space="preserve"> PAGEREF _Toc153614876 \h </w:instrText>
            </w:r>
            <w:r>
              <w:rPr>
                <w:noProof/>
                <w:webHidden/>
              </w:rPr>
            </w:r>
            <w:r>
              <w:rPr>
                <w:noProof/>
                <w:webHidden/>
              </w:rPr>
              <w:fldChar w:fldCharType="separate"/>
            </w:r>
            <w:r>
              <w:rPr>
                <w:noProof/>
                <w:webHidden/>
              </w:rPr>
              <w:t>7</w:t>
            </w:r>
            <w:r>
              <w:rPr>
                <w:noProof/>
                <w:webHidden/>
              </w:rPr>
              <w:fldChar w:fldCharType="end"/>
            </w:r>
          </w:hyperlink>
        </w:p>
        <w:p w:rsidR="00756C17" w:rsidRDefault="00756C17" w:rsidP="00756C17">
          <w:pPr>
            <w:pStyle w:val="TOC1"/>
            <w:tabs>
              <w:tab w:val="right" w:leader="dot" w:pos="9016"/>
            </w:tabs>
            <w:rPr>
              <w:rFonts w:eastAsiaTheme="minorEastAsia" w:cstheme="minorBidi"/>
              <w:b w:val="0"/>
              <w:bCs w:val="0"/>
              <w:i w:val="0"/>
              <w:iCs w:val="0"/>
              <w:noProof/>
              <w:lang w:eastAsia="en-GB"/>
            </w:rPr>
          </w:pPr>
          <w:hyperlink w:anchor="_Toc153614877" w:history="1">
            <w:r w:rsidRPr="001713FD">
              <w:rPr>
                <w:rStyle w:val="Hyperlink"/>
                <w:noProof/>
              </w:rPr>
              <w:t>Competitive Advantage through Sustainability</w:t>
            </w:r>
            <w:r>
              <w:rPr>
                <w:noProof/>
                <w:webHidden/>
              </w:rPr>
              <w:tab/>
            </w:r>
            <w:r>
              <w:rPr>
                <w:noProof/>
                <w:webHidden/>
              </w:rPr>
              <w:fldChar w:fldCharType="begin"/>
            </w:r>
            <w:r>
              <w:rPr>
                <w:noProof/>
                <w:webHidden/>
              </w:rPr>
              <w:instrText xml:space="preserve"> PAGEREF _Toc153614877 \h </w:instrText>
            </w:r>
            <w:r>
              <w:rPr>
                <w:noProof/>
                <w:webHidden/>
              </w:rPr>
            </w:r>
            <w:r>
              <w:rPr>
                <w:noProof/>
                <w:webHidden/>
              </w:rPr>
              <w:fldChar w:fldCharType="separate"/>
            </w:r>
            <w:r>
              <w:rPr>
                <w:noProof/>
                <w:webHidden/>
              </w:rPr>
              <w:t>8</w:t>
            </w:r>
            <w:r>
              <w:rPr>
                <w:noProof/>
                <w:webHidden/>
              </w:rPr>
              <w:fldChar w:fldCharType="end"/>
            </w:r>
          </w:hyperlink>
        </w:p>
        <w:p w:rsidR="00756C17" w:rsidRDefault="00756C17" w:rsidP="00756C17">
          <w:pPr>
            <w:pStyle w:val="TOC1"/>
            <w:tabs>
              <w:tab w:val="right" w:leader="dot" w:pos="9016"/>
            </w:tabs>
            <w:rPr>
              <w:rFonts w:eastAsiaTheme="minorEastAsia" w:cstheme="minorBidi"/>
              <w:b w:val="0"/>
              <w:bCs w:val="0"/>
              <w:i w:val="0"/>
              <w:iCs w:val="0"/>
              <w:noProof/>
              <w:lang w:eastAsia="en-GB"/>
            </w:rPr>
          </w:pPr>
          <w:hyperlink w:anchor="_Toc153614878" w:history="1">
            <w:r w:rsidRPr="001713FD">
              <w:rPr>
                <w:rStyle w:val="Hyperlink"/>
                <w:noProof/>
              </w:rPr>
              <w:t>Future Strategic Directions</w:t>
            </w:r>
            <w:r>
              <w:rPr>
                <w:noProof/>
                <w:webHidden/>
              </w:rPr>
              <w:tab/>
            </w:r>
            <w:r>
              <w:rPr>
                <w:noProof/>
                <w:webHidden/>
              </w:rPr>
              <w:fldChar w:fldCharType="begin"/>
            </w:r>
            <w:r>
              <w:rPr>
                <w:noProof/>
                <w:webHidden/>
              </w:rPr>
              <w:instrText xml:space="preserve"> PAGEREF _Toc153614878 \h </w:instrText>
            </w:r>
            <w:r>
              <w:rPr>
                <w:noProof/>
                <w:webHidden/>
              </w:rPr>
            </w:r>
            <w:r>
              <w:rPr>
                <w:noProof/>
                <w:webHidden/>
              </w:rPr>
              <w:fldChar w:fldCharType="separate"/>
            </w:r>
            <w:r>
              <w:rPr>
                <w:noProof/>
                <w:webHidden/>
              </w:rPr>
              <w:t>9</w:t>
            </w:r>
            <w:r>
              <w:rPr>
                <w:noProof/>
                <w:webHidden/>
              </w:rPr>
              <w:fldChar w:fldCharType="end"/>
            </w:r>
          </w:hyperlink>
        </w:p>
        <w:p w:rsidR="00756C17" w:rsidRDefault="00756C17" w:rsidP="00756C17">
          <w:pPr>
            <w:pStyle w:val="TOC1"/>
            <w:tabs>
              <w:tab w:val="right" w:leader="dot" w:pos="9016"/>
            </w:tabs>
            <w:rPr>
              <w:rFonts w:eastAsiaTheme="minorEastAsia" w:cstheme="minorBidi"/>
              <w:b w:val="0"/>
              <w:bCs w:val="0"/>
              <w:i w:val="0"/>
              <w:iCs w:val="0"/>
              <w:noProof/>
              <w:lang w:eastAsia="en-GB"/>
            </w:rPr>
          </w:pPr>
          <w:hyperlink w:anchor="_Toc153614879" w:history="1">
            <w:r w:rsidRPr="001713FD">
              <w:rPr>
                <w:rStyle w:val="Hyperlink"/>
                <w:noProof/>
              </w:rPr>
              <w:t>Recommendations on Sustainability Practices for Future Competitive Advantages</w:t>
            </w:r>
            <w:r>
              <w:rPr>
                <w:noProof/>
                <w:webHidden/>
              </w:rPr>
              <w:tab/>
            </w:r>
            <w:r>
              <w:rPr>
                <w:noProof/>
                <w:webHidden/>
              </w:rPr>
              <w:fldChar w:fldCharType="begin"/>
            </w:r>
            <w:r>
              <w:rPr>
                <w:noProof/>
                <w:webHidden/>
              </w:rPr>
              <w:instrText xml:space="preserve"> PAGEREF _Toc153614879 \h </w:instrText>
            </w:r>
            <w:r>
              <w:rPr>
                <w:noProof/>
                <w:webHidden/>
              </w:rPr>
            </w:r>
            <w:r>
              <w:rPr>
                <w:noProof/>
                <w:webHidden/>
              </w:rPr>
              <w:fldChar w:fldCharType="separate"/>
            </w:r>
            <w:r>
              <w:rPr>
                <w:noProof/>
                <w:webHidden/>
              </w:rPr>
              <w:t>9</w:t>
            </w:r>
            <w:r>
              <w:rPr>
                <w:noProof/>
                <w:webHidden/>
              </w:rPr>
              <w:fldChar w:fldCharType="end"/>
            </w:r>
          </w:hyperlink>
        </w:p>
        <w:p w:rsidR="00756C17" w:rsidRDefault="00756C17" w:rsidP="00756C17">
          <w:pPr>
            <w:pStyle w:val="TOC1"/>
            <w:tabs>
              <w:tab w:val="right" w:leader="dot" w:pos="9016"/>
            </w:tabs>
            <w:rPr>
              <w:rFonts w:eastAsiaTheme="minorEastAsia" w:cstheme="minorBidi"/>
              <w:b w:val="0"/>
              <w:bCs w:val="0"/>
              <w:i w:val="0"/>
              <w:iCs w:val="0"/>
              <w:noProof/>
              <w:lang w:eastAsia="en-GB"/>
            </w:rPr>
          </w:pPr>
          <w:hyperlink w:anchor="_Toc153614880" w:history="1">
            <w:r w:rsidRPr="001713FD">
              <w:rPr>
                <w:rStyle w:val="Hyperlink"/>
                <w:noProof/>
              </w:rPr>
              <w:t>Conclusion</w:t>
            </w:r>
            <w:r>
              <w:rPr>
                <w:noProof/>
                <w:webHidden/>
              </w:rPr>
              <w:tab/>
            </w:r>
            <w:r>
              <w:rPr>
                <w:noProof/>
                <w:webHidden/>
              </w:rPr>
              <w:fldChar w:fldCharType="begin"/>
            </w:r>
            <w:r>
              <w:rPr>
                <w:noProof/>
                <w:webHidden/>
              </w:rPr>
              <w:instrText xml:space="preserve"> PAGEREF _Toc153614880 \h </w:instrText>
            </w:r>
            <w:r>
              <w:rPr>
                <w:noProof/>
                <w:webHidden/>
              </w:rPr>
            </w:r>
            <w:r>
              <w:rPr>
                <w:noProof/>
                <w:webHidden/>
              </w:rPr>
              <w:fldChar w:fldCharType="separate"/>
            </w:r>
            <w:r>
              <w:rPr>
                <w:noProof/>
                <w:webHidden/>
              </w:rPr>
              <w:t>10</w:t>
            </w:r>
            <w:r>
              <w:rPr>
                <w:noProof/>
                <w:webHidden/>
              </w:rPr>
              <w:fldChar w:fldCharType="end"/>
            </w:r>
          </w:hyperlink>
        </w:p>
        <w:p w:rsidR="00756C17" w:rsidRDefault="00756C17" w:rsidP="00756C17">
          <w:pPr>
            <w:pStyle w:val="TOC1"/>
            <w:tabs>
              <w:tab w:val="right" w:leader="dot" w:pos="9016"/>
            </w:tabs>
            <w:rPr>
              <w:rFonts w:eastAsiaTheme="minorEastAsia" w:cstheme="minorBidi"/>
              <w:b w:val="0"/>
              <w:bCs w:val="0"/>
              <w:i w:val="0"/>
              <w:iCs w:val="0"/>
              <w:noProof/>
              <w:lang w:eastAsia="en-GB"/>
            </w:rPr>
          </w:pPr>
          <w:hyperlink w:anchor="_Toc153614881" w:history="1">
            <w:r w:rsidRPr="001713FD">
              <w:rPr>
                <w:rStyle w:val="Hyperlink"/>
                <w:noProof/>
              </w:rPr>
              <w:t>Recommendations for HSBC Plc</w:t>
            </w:r>
            <w:r>
              <w:rPr>
                <w:noProof/>
                <w:webHidden/>
              </w:rPr>
              <w:tab/>
            </w:r>
            <w:r>
              <w:rPr>
                <w:noProof/>
                <w:webHidden/>
              </w:rPr>
              <w:fldChar w:fldCharType="begin"/>
            </w:r>
            <w:r>
              <w:rPr>
                <w:noProof/>
                <w:webHidden/>
              </w:rPr>
              <w:instrText xml:space="preserve"> PAGEREF _Toc153614881 \h </w:instrText>
            </w:r>
            <w:r>
              <w:rPr>
                <w:noProof/>
                <w:webHidden/>
              </w:rPr>
            </w:r>
            <w:r>
              <w:rPr>
                <w:noProof/>
                <w:webHidden/>
              </w:rPr>
              <w:fldChar w:fldCharType="separate"/>
            </w:r>
            <w:r>
              <w:rPr>
                <w:noProof/>
                <w:webHidden/>
              </w:rPr>
              <w:t>11</w:t>
            </w:r>
            <w:r>
              <w:rPr>
                <w:noProof/>
                <w:webHidden/>
              </w:rPr>
              <w:fldChar w:fldCharType="end"/>
            </w:r>
          </w:hyperlink>
        </w:p>
        <w:p w:rsidR="00756C17" w:rsidRDefault="00756C17" w:rsidP="00756C17">
          <w:pPr>
            <w:pStyle w:val="TOC1"/>
            <w:tabs>
              <w:tab w:val="right" w:leader="dot" w:pos="9016"/>
            </w:tabs>
            <w:rPr>
              <w:rFonts w:eastAsiaTheme="minorEastAsia" w:cstheme="minorBidi"/>
              <w:b w:val="0"/>
              <w:bCs w:val="0"/>
              <w:i w:val="0"/>
              <w:iCs w:val="0"/>
              <w:noProof/>
              <w:lang w:eastAsia="en-GB"/>
            </w:rPr>
          </w:pPr>
          <w:hyperlink w:anchor="_Toc153614882" w:history="1">
            <w:r w:rsidRPr="001713FD">
              <w:rPr>
                <w:rStyle w:val="Hyperlink"/>
                <w:noProof/>
              </w:rPr>
              <w:t>Reference</w:t>
            </w:r>
            <w:r>
              <w:rPr>
                <w:noProof/>
                <w:webHidden/>
              </w:rPr>
              <w:tab/>
            </w:r>
            <w:r>
              <w:rPr>
                <w:noProof/>
                <w:webHidden/>
              </w:rPr>
              <w:fldChar w:fldCharType="begin"/>
            </w:r>
            <w:r>
              <w:rPr>
                <w:noProof/>
                <w:webHidden/>
              </w:rPr>
              <w:instrText xml:space="preserve"> PAGEREF _Toc153614882 \h </w:instrText>
            </w:r>
            <w:r>
              <w:rPr>
                <w:noProof/>
                <w:webHidden/>
              </w:rPr>
            </w:r>
            <w:r>
              <w:rPr>
                <w:noProof/>
                <w:webHidden/>
              </w:rPr>
              <w:fldChar w:fldCharType="separate"/>
            </w:r>
            <w:r>
              <w:rPr>
                <w:noProof/>
                <w:webHidden/>
              </w:rPr>
              <w:t>12</w:t>
            </w:r>
            <w:r>
              <w:rPr>
                <w:noProof/>
                <w:webHidden/>
              </w:rPr>
              <w:fldChar w:fldCharType="end"/>
            </w:r>
          </w:hyperlink>
        </w:p>
        <w:p w:rsidR="00756C17" w:rsidRDefault="00756C17" w:rsidP="00756C17">
          <w:r>
            <w:rPr>
              <w:b/>
              <w:bCs/>
            </w:rPr>
            <w:fldChar w:fldCharType="end"/>
          </w:r>
        </w:p>
      </w:sdtContent>
    </w:sdt>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 w:rsidR="00756C17" w:rsidRDefault="00756C17" w:rsidP="00756C17">
      <w:pPr>
        <w:pStyle w:val="Heading1"/>
      </w:pPr>
      <w:bookmarkStart w:id="0" w:name="_Toc153614867"/>
      <w:r w:rsidRPr="00E86775">
        <w:t>Executive summary</w:t>
      </w:r>
      <w:bookmarkEnd w:id="0"/>
    </w:p>
    <w:p w:rsidR="00756C17" w:rsidRPr="00E86775" w:rsidRDefault="00756C17" w:rsidP="00756C17"/>
    <w:p w:rsidR="00756C17" w:rsidRPr="00E86775" w:rsidRDefault="00756C17" w:rsidP="00756C17">
      <w:r w:rsidRPr="00E86775">
        <w:t>HSBC Plc, commonly known as HSBC, stands as one of the largest and most influential banking and financial services organizations globally (HSBC, 2022). Founded in 1865 in Hong Kong, the bank has evolved into a multinational entity with a significant presence in various markets, including Asia, Europe, the Americas, the Middle East, and Africa. As of the latest available information, HSBC is listed on the London Stock Exchange, a testament to its prominent position in the financial industry (HSBC, 2022). The purpose of this report is to conduct a strategic review of HSBC Plc, examining both its corporate and business strategies, and to evaluate the effectiveness of their implementation (Board of HSBC Holdings plc, 2022). Through a critical analysis of HSBC's strategies and their alignment with resources, capabilities, and sustainability practices, this report aims to provide insights into the company's competitive positioning and offer recommendations for future strategic directions.</w:t>
      </w:r>
    </w:p>
    <w:p w:rsidR="00756C17" w:rsidRDefault="00756C17" w:rsidP="00756C17">
      <w:pPr>
        <w:pStyle w:val="Heading1"/>
      </w:pPr>
      <w:bookmarkStart w:id="1" w:name="_Toc153614868"/>
      <w:r w:rsidRPr="00E86775">
        <w:t>Introduction</w:t>
      </w:r>
      <w:bookmarkEnd w:id="1"/>
    </w:p>
    <w:p w:rsidR="00756C17" w:rsidRPr="00E86775" w:rsidRDefault="00756C17" w:rsidP="00756C17"/>
    <w:p w:rsidR="00756C17" w:rsidRPr="00E86775" w:rsidRDefault="00756C17" w:rsidP="00756C17">
      <w:r w:rsidRPr="00E86775">
        <w:t>This report presents a comprehensive strategic review of HSBC Plc, focusing on the evaluation of corporate and business strategies, their implementation, and the integration of sustainability practices. The key findings and recommendations are summarized as follows:</w:t>
      </w:r>
    </w:p>
    <w:p w:rsidR="00756C17" w:rsidRPr="00E86775" w:rsidRDefault="00756C17" w:rsidP="00756C17">
      <w:pPr>
        <w:numPr>
          <w:ilvl w:val="0"/>
          <w:numId w:val="1"/>
        </w:numPr>
      </w:pPr>
      <w:r w:rsidRPr="00E86775">
        <w:t xml:space="preserve">Strategic Overview: • Business and Corporate Strategies: HSBC Plc has adopted a dual strategy, emphasizing global expansion and diversification of financial services. The analysis, utilizing frameworks such as SWOT and PESTEL, reveals that this strategy aligns with the dynamic global financial landscape (HSBC, 2022; </w:t>
      </w:r>
      <w:proofErr w:type="spellStart"/>
      <w:r w:rsidRPr="00E86775">
        <w:t>Bettis</w:t>
      </w:r>
      <w:proofErr w:type="spellEnd"/>
      <w:r w:rsidRPr="00E86775">
        <w:t xml:space="preserve"> et al., 2015).</w:t>
      </w:r>
    </w:p>
    <w:p w:rsidR="00756C17" w:rsidRPr="00E86775" w:rsidRDefault="00756C17" w:rsidP="00756C17">
      <w:pPr>
        <w:numPr>
          <w:ilvl w:val="0"/>
          <w:numId w:val="1"/>
        </w:numPr>
      </w:pPr>
      <w:r w:rsidRPr="00E86775">
        <w:t xml:space="preserve">Resources and Capabilities: • Resources Analysis: HSBC Plc possesses robust financial resources and a global network, strengthening its position in the market. However, a more profound analysis is needed to explore the alignment of human capital and technological capabilities with strategic goals (HSBC, 2022; </w:t>
      </w:r>
      <w:proofErr w:type="spellStart"/>
      <w:r w:rsidRPr="00E86775">
        <w:t>Petrova</w:t>
      </w:r>
      <w:proofErr w:type="spellEnd"/>
      <w:r w:rsidRPr="00E86775">
        <w:t>, 2012).</w:t>
      </w:r>
    </w:p>
    <w:p w:rsidR="00756C17" w:rsidRPr="00E86775" w:rsidRDefault="00756C17" w:rsidP="00756C17">
      <w:pPr>
        <w:numPr>
          <w:ilvl w:val="0"/>
          <w:numId w:val="1"/>
        </w:numPr>
      </w:pPr>
      <w:r w:rsidRPr="00E86775">
        <w:t xml:space="preserve">Implementation of Strategies: • Success in Strategy Implementation: HSBC has successfully implemented its strategies, evidenced by its market presence and financial performance. Key competitive advantages include a broad customer base and a strong position in emerging markets (HSBC, 2022; </w:t>
      </w:r>
      <w:proofErr w:type="spellStart"/>
      <w:r w:rsidRPr="00E86775">
        <w:t>Bloemer</w:t>
      </w:r>
      <w:proofErr w:type="spellEnd"/>
      <w:r w:rsidRPr="00E86775">
        <w:t xml:space="preserve"> et al., 1998).</w:t>
      </w:r>
    </w:p>
    <w:p w:rsidR="00756C17" w:rsidRPr="00E86775" w:rsidRDefault="00756C17" w:rsidP="00756C17">
      <w:pPr>
        <w:numPr>
          <w:ilvl w:val="0"/>
          <w:numId w:val="1"/>
        </w:numPr>
      </w:pPr>
      <w:r w:rsidRPr="00E86775">
        <w:t>Sustainability and Environmental Considerations: • Integration of Sustainability: HSBC Plc has made strides in integrating sustainability practices, such as responsible lending and investments. However, a more comprehensive approach, including carbon footprint reduction and community engagement, could further enhance its environmental impact (HSBC, 2022; Dark et al., 2017).</w:t>
      </w:r>
    </w:p>
    <w:p w:rsidR="00756C17" w:rsidRDefault="00756C17" w:rsidP="00756C17">
      <w:pPr>
        <w:numPr>
          <w:ilvl w:val="0"/>
          <w:numId w:val="1"/>
        </w:numPr>
      </w:pPr>
      <w:r w:rsidRPr="00E86775">
        <w:t xml:space="preserve">Future Strategic Directions: • Strategic Choices: Future strategic directions must consider evolving market trends, technological advancements, and regulatory changes. Emphasizing sustainability initiatives, such as green finance and ethical investments, can position HSBC Plc as a leader in responsible banking (HSBC, 2022; </w:t>
      </w:r>
      <w:proofErr w:type="spellStart"/>
      <w:r w:rsidRPr="00E86775">
        <w:t>Zikmund</w:t>
      </w:r>
      <w:proofErr w:type="spellEnd"/>
      <w:r w:rsidRPr="00E86775">
        <w:t>, 2003).</w:t>
      </w:r>
    </w:p>
    <w:p w:rsidR="00756C17" w:rsidRPr="00E86775" w:rsidRDefault="00756C17" w:rsidP="00756C17">
      <w:pPr>
        <w:ind w:left="720"/>
      </w:pPr>
    </w:p>
    <w:p w:rsidR="00756C17" w:rsidRDefault="00756C17" w:rsidP="00756C17">
      <w:pPr>
        <w:pStyle w:val="Heading1"/>
      </w:pPr>
      <w:bookmarkStart w:id="2" w:name="_Toc153614869"/>
      <w:r w:rsidRPr="00E86775">
        <w:lastRenderedPageBreak/>
        <w:t>Recommendations:</w:t>
      </w:r>
      <w:bookmarkEnd w:id="2"/>
    </w:p>
    <w:p w:rsidR="00756C17" w:rsidRPr="008A5643" w:rsidRDefault="00756C17" w:rsidP="00756C17"/>
    <w:p w:rsidR="00756C17" w:rsidRPr="00E86775" w:rsidRDefault="00756C17" w:rsidP="00756C17">
      <w:pPr>
        <w:numPr>
          <w:ilvl w:val="0"/>
          <w:numId w:val="2"/>
        </w:numPr>
      </w:pPr>
      <w:r w:rsidRPr="00E86775">
        <w:t>Enhance Resource Alignment: Conduct an in-depth analysis of human capital and technological capabilities to ensure alignment with strategic objectives (HSBC, 2022; Deming, 2012).</w:t>
      </w:r>
    </w:p>
    <w:p w:rsidR="00756C17" w:rsidRPr="00E86775" w:rsidRDefault="00756C17" w:rsidP="00756C17">
      <w:pPr>
        <w:numPr>
          <w:ilvl w:val="0"/>
          <w:numId w:val="2"/>
        </w:numPr>
      </w:pPr>
      <w:r w:rsidRPr="00E86775">
        <w:t>Strengthen Sustainability Initiatives: Expand sustainability efforts beyond responsible lending and investments. Consider initiatives to reduce the environmental footprint, contributing to both social responsibility and long-term competitiveness (HSBC, 2022; Dark et al., 2017).</w:t>
      </w:r>
    </w:p>
    <w:p w:rsidR="00756C17" w:rsidRPr="00E86775" w:rsidRDefault="00756C17" w:rsidP="00756C17">
      <w:pPr>
        <w:numPr>
          <w:ilvl w:val="0"/>
          <w:numId w:val="2"/>
        </w:numPr>
      </w:pPr>
      <w:r w:rsidRPr="00E86775">
        <w:t>Innovate for Future Competitiveness: Embrace technological innovations and emerging financial trends to maintain a competitive edge in a rapidly evolving industry (HSBC, 2022; Market Intelligence, 2003).</w:t>
      </w:r>
    </w:p>
    <w:p w:rsidR="00756C17" w:rsidRDefault="00756C17" w:rsidP="00756C17">
      <w:pPr>
        <w:numPr>
          <w:ilvl w:val="0"/>
          <w:numId w:val="2"/>
        </w:numPr>
      </w:pPr>
      <w:r w:rsidRPr="00E86775">
        <w:t xml:space="preserve">Diversify Sustainability Offerings: Explore opportunities to provide a diverse range of sustainability-focused financial products, meeting the increasing demand for socially responsible investments (HSBC, 2022; </w:t>
      </w:r>
      <w:proofErr w:type="spellStart"/>
      <w:r w:rsidRPr="00E86775">
        <w:t>Petrova</w:t>
      </w:r>
      <w:proofErr w:type="spellEnd"/>
      <w:r w:rsidRPr="00E86775">
        <w:t>, 2012).</w:t>
      </w:r>
    </w:p>
    <w:p w:rsidR="00756C17" w:rsidRPr="00E86775" w:rsidRDefault="00756C17" w:rsidP="00756C17">
      <w:pPr>
        <w:ind w:left="720"/>
      </w:pPr>
    </w:p>
    <w:p w:rsidR="00756C17" w:rsidRDefault="00756C17" w:rsidP="00756C17">
      <w:r w:rsidRPr="00E86775">
        <w:t>This strategic review serves as a foundation for HSBC Plc to refine its strategies, foster innovation, and further integrate sustainability into its business model, ensuring sustained success in the dynamic global financial landscape.</w:t>
      </w:r>
    </w:p>
    <w:p w:rsidR="00756C17" w:rsidRPr="00E86775" w:rsidRDefault="00756C17" w:rsidP="00756C17"/>
    <w:p w:rsidR="00756C17" w:rsidRDefault="00756C17" w:rsidP="00756C17">
      <w:pPr>
        <w:pStyle w:val="Heading1"/>
      </w:pPr>
      <w:bookmarkStart w:id="3" w:name="_Toc153614870"/>
      <w:r w:rsidRPr="008A5643">
        <w:t>Strategic Overview</w:t>
      </w:r>
      <w:bookmarkEnd w:id="3"/>
    </w:p>
    <w:p w:rsidR="00756C17" w:rsidRPr="008A5643" w:rsidRDefault="00756C17" w:rsidP="00756C17"/>
    <w:p w:rsidR="00756C17" w:rsidRDefault="00756C17" w:rsidP="00756C17">
      <w:r w:rsidRPr="00E86775">
        <w:t>HSBC Plc has strategically positioned itself in the global financial landscape through a combination of business and corporate strategies. Utilizing frameworks such as SWOT, PESTEL, and Industry Five Forces Models provides valuable insights into the external environment that shape HSBC's strategic choices.</w:t>
      </w:r>
    </w:p>
    <w:p w:rsidR="00756C17" w:rsidRPr="00E86775" w:rsidRDefault="00756C17" w:rsidP="00756C17"/>
    <w:p w:rsidR="00756C17" w:rsidRDefault="00756C17" w:rsidP="00756C17">
      <w:r w:rsidRPr="00E86775">
        <w:t xml:space="preserve">The SWOT analysis reveals the internal strengths of HSBC, such as its extensive global network and robust financial resources. Additionally, weaknesses such as regulatory challenges and the need for technological upgrades are identified (HSBC, 2022). Externally, opportunities in emerging markets and threats from intense competition and regulatory changes are highlighted (HSBC, 2022; </w:t>
      </w:r>
      <w:proofErr w:type="spellStart"/>
      <w:r w:rsidRPr="00E86775">
        <w:t>Bettis</w:t>
      </w:r>
      <w:proofErr w:type="spellEnd"/>
      <w:r w:rsidRPr="00E86775">
        <w:t xml:space="preserve"> et al., 2015).</w:t>
      </w:r>
    </w:p>
    <w:p w:rsidR="00756C17" w:rsidRPr="00E86775" w:rsidRDefault="00756C17" w:rsidP="00756C17"/>
    <w:p w:rsidR="00756C17" w:rsidRDefault="00756C17" w:rsidP="00756C17">
      <w:r w:rsidRPr="00E86775">
        <w:t xml:space="preserve">PESTEL analysis delves into the macro-environmental factors impacting HSBC's strategies. Economic stability, political stability in operating regions, and technological advancements are significant drivers. </w:t>
      </w:r>
      <w:r>
        <w:t>S</w:t>
      </w:r>
      <w:r w:rsidRPr="00E86775">
        <w:t xml:space="preserve">ocial and cultural factors influence consumer behaviour, while environmental and legal factors pose challenges and opportunities (HSBC, 2022; </w:t>
      </w:r>
      <w:proofErr w:type="spellStart"/>
      <w:r w:rsidRPr="00E86775">
        <w:t>Bettis</w:t>
      </w:r>
      <w:proofErr w:type="spellEnd"/>
      <w:r w:rsidRPr="00E86775">
        <w:t xml:space="preserve"> et al., 2015). </w:t>
      </w:r>
    </w:p>
    <w:p w:rsidR="00756C17" w:rsidRDefault="00756C17" w:rsidP="00756C17"/>
    <w:p w:rsidR="00756C17" w:rsidRDefault="00756C17" w:rsidP="00756C17">
      <w:r w:rsidRPr="00E86775">
        <w:t>Industry Five Forces Models help in understanding the competitive forces shaping the banking industry. The bargaining power of customers, the threat of new entrants, the bargaining power of suppliers, the threat of substitute products, and the intensity of competitive rivalry are critical factors influencing strategic decisions (Porter, 2008; HSBC, 2022).</w:t>
      </w:r>
    </w:p>
    <w:p w:rsidR="00756C17" w:rsidRPr="00E86775" w:rsidRDefault="00756C17" w:rsidP="00756C17"/>
    <w:p w:rsidR="00756C17" w:rsidRDefault="00756C17" w:rsidP="00756C17">
      <w:pPr>
        <w:pStyle w:val="Heading1"/>
      </w:pPr>
      <w:bookmarkStart w:id="4" w:name="_Toc153614871"/>
      <w:r w:rsidRPr="00E86775">
        <w:lastRenderedPageBreak/>
        <w:t>Chosen Strategies considering Analysis</w:t>
      </w:r>
      <w:bookmarkEnd w:id="4"/>
    </w:p>
    <w:p w:rsidR="00756C17" w:rsidRPr="00E86775" w:rsidRDefault="00756C17" w:rsidP="00756C17"/>
    <w:p w:rsidR="00756C17" w:rsidRDefault="00756C17" w:rsidP="00756C17">
      <w:r w:rsidRPr="00E86775">
        <w:t xml:space="preserve">HSBC pursues a dual strategy of global expansion and diversification of financial services. The SWOT analysis indicates that the global network and financial strength mitigate potential weaknesses and threats, supporting the pursuit of expansion (HSBC, 2022; </w:t>
      </w:r>
      <w:proofErr w:type="spellStart"/>
      <w:r w:rsidRPr="00E86775">
        <w:t>Bettis</w:t>
      </w:r>
      <w:proofErr w:type="spellEnd"/>
      <w:r w:rsidRPr="00E86775">
        <w:t xml:space="preserve"> et al., 2015). In the context of PESTEL, the emphasis on emerging markets aligns with the economic opportunities presented by these regions. HSBC's strategies are crafted to navigate political and cultural variations, showcasing adaptability and resilience (HSBC, 2022; </w:t>
      </w:r>
      <w:proofErr w:type="spellStart"/>
      <w:r w:rsidRPr="00E86775">
        <w:t>Bettis</w:t>
      </w:r>
      <w:proofErr w:type="spellEnd"/>
      <w:r w:rsidRPr="00E86775">
        <w:t xml:space="preserve"> et al., 2015).</w:t>
      </w:r>
    </w:p>
    <w:p w:rsidR="00756C17" w:rsidRPr="00E86775" w:rsidRDefault="00756C17" w:rsidP="00756C17"/>
    <w:p w:rsidR="00756C17" w:rsidRDefault="00756C17" w:rsidP="00756C17">
      <w:r w:rsidRPr="00E86775">
        <w:t>The Industry Five Forces analysis justifies HSBC's focus on diversification, as intense competitive rivalry and the threat of substitute products necessitate differentiation through a wide range of financial services (Porter, 2008; HSBC, 2022).</w:t>
      </w:r>
    </w:p>
    <w:p w:rsidR="00756C17" w:rsidRPr="00E86775" w:rsidRDefault="00756C17" w:rsidP="00756C17"/>
    <w:p w:rsidR="00756C17" w:rsidRDefault="00756C17" w:rsidP="00756C17">
      <w:r w:rsidRPr="00E86775">
        <w:t>HSBC Plc strategically pursues global expansion and diversification to leverage its strengths, navigate external challenges, and capitalize on emerging opportunities. The chosen strategies are well-aligned with the findings of SWOT, PESTEL, and Industry Five Forces Models, reflecting a comprehensive understanding of the external business environment.</w:t>
      </w:r>
    </w:p>
    <w:p w:rsidR="00756C17" w:rsidRPr="00E86775" w:rsidRDefault="00756C17" w:rsidP="00756C17"/>
    <w:p w:rsidR="00756C17" w:rsidRDefault="00756C17" w:rsidP="00756C17">
      <w:pPr>
        <w:pStyle w:val="Heading1"/>
      </w:pPr>
      <w:bookmarkStart w:id="5" w:name="_Toc153614872"/>
      <w:r w:rsidRPr="00E86775">
        <w:t>Resources and Capabilities</w:t>
      </w:r>
      <w:bookmarkEnd w:id="5"/>
    </w:p>
    <w:p w:rsidR="00756C17" w:rsidRPr="00E86775" w:rsidRDefault="00756C17" w:rsidP="00756C17"/>
    <w:p w:rsidR="00756C17" w:rsidRDefault="00756C17" w:rsidP="00756C17">
      <w:r w:rsidRPr="00E86775">
        <w:t>HSBC Plc possesses a diverse set of resources and capabilities that contribute to its standing as a major player in the global financial industry.</w:t>
      </w:r>
    </w:p>
    <w:p w:rsidR="00756C17" w:rsidRPr="00E86775" w:rsidRDefault="00756C17" w:rsidP="00756C17"/>
    <w:p w:rsidR="00756C17" w:rsidRDefault="00756C17" w:rsidP="00756C17">
      <w:r w:rsidRPr="00E86775">
        <w:t xml:space="preserve">Financial Resources: One of HSBC's primary strengths lies in its substantial financial resources. The bank's solid financial position is reflected in its impressive balance sheet and liquidity ratios (HSBC, 2022). These financial resources provide HSBC with a competitive edge, allowing it to invest in strategic initiatives, technology upgrades, and expansion endeavours (HSBC, 2022; </w:t>
      </w:r>
      <w:proofErr w:type="spellStart"/>
      <w:r w:rsidRPr="00E86775">
        <w:t>Petrova</w:t>
      </w:r>
      <w:proofErr w:type="spellEnd"/>
      <w:r w:rsidRPr="00E86775">
        <w:t>, 2012).</w:t>
      </w:r>
    </w:p>
    <w:p w:rsidR="00756C17" w:rsidRPr="00E86775" w:rsidRDefault="00756C17" w:rsidP="00756C17"/>
    <w:p w:rsidR="00756C17" w:rsidRPr="00E86775" w:rsidRDefault="00756C17" w:rsidP="00756C17">
      <w:r w:rsidRPr="00E86775">
        <w:t>Global Network: Another critical resource is HSBC's extensive global network, with a presence in numerous countries and regions. This network facilitates international operations, enables cross-border transactions, and positions HSBC as a preferred choice for multinational corporations and individuals engaged in global trade (HSBC, 2022).</w:t>
      </w:r>
    </w:p>
    <w:p w:rsidR="00756C17" w:rsidRDefault="00756C17" w:rsidP="00756C17">
      <w:r w:rsidRPr="00E86775">
        <w:t xml:space="preserve">Human Capital: The skills and expertise of HSBC's workforce constitute a valuable intangible resource. The bank's employees possess diverse talents, knowledge of local markets, and a global perspective, contributing to effective customer service and innovation (HSBC, 2022; </w:t>
      </w:r>
      <w:proofErr w:type="spellStart"/>
      <w:r w:rsidRPr="00E86775">
        <w:t>Bettis</w:t>
      </w:r>
      <w:proofErr w:type="spellEnd"/>
      <w:r w:rsidRPr="00E86775">
        <w:t xml:space="preserve"> et al., 2015).</w:t>
      </w:r>
    </w:p>
    <w:p w:rsidR="00756C17" w:rsidRPr="00E86775" w:rsidRDefault="00756C17" w:rsidP="00756C17"/>
    <w:p w:rsidR="00756C17" w:rsidRDefault="00756C17" w:rsidP="00756C17">
      <w:pPr>
        <w:pStyle w:val="Heading1"/>
      </w:pPr>
      <w:bookmarkStart w:id="6" w:name="_Toc153614873"/>
      <w:r w:rsidRPr="00E86775">
        <w:t>Technological Capabilities:</w:t>
      </w:r>
      <w:bookmarkEnd w:id="6"/>
      <w:r w:rsidRPr="00E86775">
        <w:t xml:space="preserve"> </w:t>
      </w:r>
    </w:p>
    <w:p w:rsidR="00756C17" w:rsidRPr="00E86775" w:rsidRDefault="00756C17" w:rsidP="00756C17"/>
    <w:p w:rsidR="00756C17" w:rsidRDefault="00756C17" w:rsidP="00756C17">
      <w:r w:rsidRPr="00E86775">
        <w:t xml:space="preserve">In the rapidly evolving landscape of financial services, technological capabilities are paramount. HSBC has invested significantly in digital transformation, enhancing its online banking services, mobile applications, and </w:t>
      </w:r>
      <w:proofErr w:type="spellStart"/>
      <w:r w:rsidRPr="00E86775">
        <w:t>cybersecurity</w:t>
      </w:r>
      <w:proofErr w:type="spellEnd"/>
      <w:r w:rsidRPr="00E86775">
        <w:t xml:space="preserve"> measures. This technological prowess not only improves customer experience but also strengthens operational efficiency (HSBC, 2022).</w:t>
      </w:r>
    </w:p>
    <w:p w:rsidR="00756C17" w:rsidRPr="00E86775" w:rsidRDefault="00756C17" w:rsidP="00756C17"/>
    <w:p w:rsidR="00756C17" w:rsidRPr="00E86775" w:rsidRDefault="00756C17" w:rsidP="00756C17">
      <w:r w:rsidRPr="00E86775">
        <w:t>Alignment of Resources and Capabilities with Current Strategies</w:t>
      </w:r>
    </w:p>
    <w:p w:rsidR="00756C17" w:rsidRDefault="00756C17" w:rsidP="00756C17">
      <w:r w:rsidRPr="00E86775">
        <w:t>HSBC has generally succeeded in aligning its resources and capabilities with its current strategies. The extensive financial resources support the global expansion strategy, enabling the bank to invest in new markets and technology. The global network aligns with the diversification of financial services, allowing HSBC to offer a wide range of products to diverse customer segments. Moreover, the emphasis on digital transformation aligns with the changing landscape of banking, ensuring HSBC remains competitive in the era of online and mobile banking (HSBC, 2022).</w:t>
      </w:r>
    </w:p>
    <w:p w:rsidR="00756C17" w:rsidRPr="00E86775" w:rsidRDefault="00756C17" w:rsidP="00756C17"/>
    <w:p w:rsidR="00756C17" w:rsidRPr="00E86775" w:rsidRDefault="00756C17" w:rsidP="00756C17">
      <w:r w:rsidRPr="00E86775">
        <w:t xml:space="preserve">However, there is room for improvement. While financial resources are robust, a more nuanced analysis is required to ensure optimal allocation in alignment with specific strategic goals. Human capital, though strong, may require ongoing development to adapt to evolving customer needs and technological advancements. HSBC should continuously assess and enhance its technological capabilities to stay ahead in the dynamic financial services industry (HSBC, 2022; </w:t>
      </w:r>
      <w:proofErr w:type="spellStart"/>
      <w:r w:rsidRPr="00E86775">
        <w:t>Petrova</w:t>
      </w:r>
      <w:proofErr w:type="spellEnd"/>
      <w:r w:rsidRPr="00E86775">
        <w:t>, 2012).</w:t>
      </w:r>
    </w:p>
    <w:p w:rsidR="00756C17" w:rsidRDefault="00756C17" w:rsidP="00756C17">
      <w:r w:rsidRPr="00E86775">
        <w:t>HSBC has effectively aligned its resources and capabilities with its current strategies, leveraging financial strength, a global network, skilled workforce, and technological advancements. Continuous refinement and optimization of these resources will be crucial to sustaining alignment and adapting to future challenges and opportunities.</w:t>
      </w:r>
    </w:p>
    <w:p w:rsidR="00756C17" w:rsidRPr="00E86775" w:rsidRDefault="00756C17" w:rsidP="00756C17"/>
    <w:p w:rsidR="00756C17" w:rsidRPr="00E86775" w:rsidRDefault="00756C17" w:rsidP="00756C17">
      <w:pPr>
        <w:pStyle w:val="Heading1"/>
      </w:pPr>
      <w:bookmarkStart w:id="7" w:name="_Toc153614874"/>
      <w:r w:rsidRPr="00E86775">
        <w:t>Implementation of Strategies</w:t>
      </w:r>
      <w:bookmarkEnd w:id="7"/>
    </w:p>
    <w:p w:rsidR="00756C17" w:rsidRPr="00E86775" w:rsidRDefault="00756C17" w:rsidP="00756C17"/>
    <w:p w:rsidR="00756C17" w:rsidRDefault="00756C17" w:rsidP="00756C17">
      <w:r w:rsidRPr="00E86775">
        <w:t>HSBC Plc has demonstrated a commendable track record in implementing its selected business and corporate strategies, which has translated into significant competitive advantages over rivals.</w:t>
      </w:r>
    </w:p>
    <w:p w:rsidR="00756C17" w:rsidRPr="00E86775" w:rsidRDefault="00756C17" w:rsidP="00756C17"/>
    <w:p w:rsidR="00756C17" w:rsidRDefault="00756C17" w:rsidP="00756C17">
      <w:r w:rsidRPr="00E86775">
        <w:t xml:space="preserve">Global Expansion: The success of HSBC's global expansion strategy is evident in its extensive international presence. The bank operates in numerous countries and regions, serving a diverse customer base. This global footprint not only provides access to lucrative markets but also positions HSBC as a preferred banking partner for multinational corporations and individuals engaged in cross-border transactions (HSBC, 2022; </w:t>
      </w:r>
      <w:proofErr w:type="spellStart"/>
      <w:r w:rsidRPr="00E86775">
        <w:t>Bloemer</w:t>
      </w:r>
      <w:proofErr w:type="spellEnd"/>
      <w:r w:rsidRPr="00E86775">
        <w:t xml:space="preserve"> et al., 1998).</w:t>
      </w:r>
    </w:p>
    <w:p w:rsidR="00756C17" w:rsidRPr="00E86775" w:rsidRDefault="00756C17" w:rsidP="00756C17"/>
    <w:p w:rsidR="00756C17" w:rsidRDefault="00756C17" w:rsidP="00756C17">
      <w:r w:rsidRPr="00E86775">
        <w:t xml:space="preserve">Diversification of Financial Services: HSBC's strategy of diversifying its financial services has been well-executed. The bank offers a comprehensive range of services, including retail banking, commercial banking, and investment banking. This diversification not only enhances revenue streams but also mitigates risks associated with fluctuations in specific sectors, contributing to overall financial resilience (HSBC, 2022; </w:t>
      </w:r>
      <w:proofErr w:type="spellStart"/>
      <w:r w:rsidRPr="00E86775">
        <w:t>Bloemer</w:t>
      </w:r>
      <w:proofErr w:type="spellEnd"/>
      <w:r w:rsidRPr="00E86775">
        <w:t xml:space="preserve"> et al., 1998).</w:t>
      </w:r>
    </w:p>
    <w:p w:rsidR="00756C17" w:rsidRPr="00E86775" w:rsidRDefault="00756C17" w:rsidP="00756C17"/>
    <w:p w:rsidR="00756C17" w:rsidRPr="00E86775" w:rsidRDefault="00756C17" w:rsidP="00756C17">
      <w:r w:rsidRPr="00E86775">
        <w:t xml:space="preserve">Customer-Centric Approach: HSBC's customer-centric approach is reflected in its emphasis on digital transformation. The successful implementation of advanced online and mobile banking services has enhanced customer experience, offering convenience and accessibility. This technological focus aligns with evolving customer preferences and positions HSBC as a technologically advanced and customer-friendly bank (HSBC, 2022; </w:t>
      </w:r>
      <w:proofErr w:type="spellStart"/>
      <w:r w:rsidRPr="00E86775">
        <w:t>Bloemer</w:t>
      </w:r>
      <w:proofErr w:type="spellEnd"/>
      <w:r w:rsidRPr="00E86775">
        <w:t xml:space="preserve"> et al., 1998).</w:t>
      </w:r>
    </w:p>
    <w:p w:rsidR="00756C17" w:rsidRDefault="00756C17" w:rsidP="00756C17">
      <w:pPr>
        <w:rPr>
          <w:b/>
          <w:bCs/>
        </w:rPr>
      </w:pPr>
    </w:p>
    <w:p w:rsidR="00756C17" w:rsidRPr="00E86775" w:rsidRDefault="00756C17" w:rsidP="00756C17">
      <w:pPr>
        <w:pStyle w:val="Heading1"/>
      </w:pPr>
      <w:bookmarkStart w:id="8" w:name="_Toc153614875"/>
      <w:r w:rsidRPr="00E86775">
        <w:lastRenderedPageBreak/>
        <w:t>Competitive Advantages over Rivals</w:t>
      </w:r>
      <w:bookmarkEnd w:id="8"/>
    </w:p>
    <w:p w:rsidR="00756C17" w:rsidRPr="00E86775" w:rsidRDefault="00756C17" w:rsidP="00756C17"/>
    <w:p w:rsidR="00756C17" w:rsidRDefault="00756C17" w:rsidP="00756C17">
      <w:r w:rsidRPr="00E86775">
        <w:t>HSBC Plc has secured notable competitive advantages over its rivals through effective strategy implementation:</w:t>
      </w:r>
    </w:p>
    <w:p w:rsidR="00756C17" w:rsidRPr="00E86775" w:rsidRDefault="00756C17" w:rsidP="00756C17"/>
    <w:p w:rsidR="00756C17" w:rsidRDefault="00756C17" w:rsidP="00756C17">
      <w:r w:rsidRPr="00E86775">
        <w:rPr>
          <w:b/>
          <w:bCs/>
        </w:rPr>
        <w:t>Global Network and Brand Recognition:</w:t>
      </w:r>
      <w:r w:rsidRPr="00E86775">
        <w:t xml:space="preserve"> The extensive global network and brand recognition contribute significantly to HSBC's competitive advantage. Rivals may find it challenging to match the breadth and depth of HSBC's international presence and the trust associated with its globally recognized brand (HSBC, 2022).</w:t>
      </w:r>
    </w:p>
    <w:p w:rsidR="00756C17" w:rsidRPr="00E86775" w:rsidRDefault="00756C17" w:rsidP="00756C17"/>
    <w:p w:rsidR="00756C17" w:rsidRDefault="00756C17" w:rsidP="00756C17">
      <w:r w:rsidRPr="00E86775">
        <w:rPr>
          <w:b/>
          <w:bCs/>
        </w:rPr>
        <w:t>Financial Strength:</w:t>
      </w:r>
      <w:r w:rsidRPr="00E86775">
        <w:t xml:space="preserve"> HSBC's robust financial position and substantial resources provide a competitive edge. The ability to invest in innovative technologies, expansion opportunities, and strategic initiatives enhances HSBC's resilience and adaptability in a dynamic industry, setting it apart from competitors (HSBC, 2022; </w:t>
      </w:r>
      <w:proofErr w:type="spellStart"/>
      <w:r w:rsidRPr="00E86775">
        <w:t>Petrova</w:t>
      </w:r>
      <w:proofErr w:type="spellEnd"/>
      <w:r w:rsidRPr="00E86775">
        <w:t>, 2012).</w:t>
      </w:r>
    </w:p>
    <w:p w:rsidR="00756C17" w:rsidRPr="00E86775" w:rsidRDefault="00756C17" w:rsidP="00756C17"/>
    <w:p w:rsidR="00756C17" w:rsidRDefault="00756C17" w:rsidP="00756C17">
      <w:r w:rsidRPr="00E86775">
        <w:rPr>
          <w:b/>
          <w:bCs/>
        </w:rPr>
        <w:t>Diversified Service Portfolio:</w:t>
      </w:r>
      <w:r w:rsidRPr="00E86775">
        <w:t xml:space="preserve"> The comprehensive suite of financial services offered by HSBC gives it a competitive advantage. The ability to cater to various customer segments, from individual consumers to large corporations, enhances market resilience and mitigates risks associated with economic fluctuations or industry-specific challenges (HSBC, 2022; </w:t>
      </w:r>
      <w:proofErr w:type="spellStart"/>
      <w:r w:rsidRPr="00E86775">
        <w:t>Bloemer</w:t>
      </w:r>
      <w:proofErr w:type="spellEnd"/>
      <w:r w:rsidRPr="00E86775">
        <w:t xml:space="preserve"> et al., 1998).</w:t>
      </w:r>
    </w:p>
    <w:p w:rsidR="00756C17" w:rsidRPr="00E86775" w:rsidRDefault="00756C17" w:rsidP="00756C17"/>
    <w:p w:rsidR="00756C17" w:rsidRDefault="00756C17" w:rsidP="00756C17">
      <w:r w:rsidRPr="00E86775">
        <w:rPr>
          <w:b/>
          <w:bCs/>
        </w:rPr>
        <w:t>Technological Innovation:</w:t>
      </w:r>
      <w:r w:rsidRPr="00E86775">
        <w:t xml:space="preserve"> The successful implementation of technological advancements positions HSBC as a leader in innovation. Rivals may struggle to match the bank's digital capabilities, potentially leading to a competitive advantage in attracting tech-savvy customers and businesses (HSBC, 2022).</w:t>
      </w:r>
    </w:p>
    <w:p w:rsidR="00756C17" w:rsidRPr="00E86775" w:rsidRDefault="00756C17" w:rsidP="00756C17"/>
    <w:p w:rsidR="00756C17" w:rsidRDefault="00756C17" w:rsidP="00756C17">
      <w:r w:rsidRPr="00E86775">
        <w:t>HSBC Plc has effectively implemented its selected strategies, resulting in notable competitive advantages. The global presence, diversified service portfolio, financial strength, and technological innovation collectively contribute to HSBC's leadership position in the competitive landscape of the global banking industry. Ongoing commitment to strategy execution and adaptation to emerging trends will be crucial in maintaining and expanding these advantages over time.</w:t>
      </w:r>
    </w:p>
    <w:p w:rsidR="00756C17" w:rsidRPr="00E86775" w:rsidRDefault="00756C17" w:rsidP="00756C17"/>
    <w:p w:rsidR="00756C17" w:rsidRDefault="00756C17" w:rsidP="00756C17">
      <w:pPr>
        <w:pStyle w:val="Heading1"/>
      </w:pPr>
      <w:bookmarkStart w:id="9" w:name="_Toc153614876"/>
      <w:r w:rsidRPr="00E86775">
        <w:t>Sustainability and Environmental Considerations</w:t>
      </w:r>
      <w:bookmarkEnd w:id="9"/>
    </w:p>
    <w:p w:rsidR="00756C17" w:rsidRPr="00E86775" w:rsidRDefault="00756C17" w:rsidP="00756C17"/>
    <w:p w:rsidR="00756C17" w:rsidRDefault="00756C17" w:rsidP="00756C17">
      <w:r w:rsidRPr="00E86775">
        <w:t>HSBC Plc has actively integrated sustainability and environmental considerations into its competitive strategy, demonstrating a commitment to responsible business practices and addressing the growing global focus on environmental issues.</w:t>
      </w:r>
    </w:p>
    <w:p w:rsidR="00756C17" w:rsidRPr="00E86775" w:rsidRDefault="00756C17" w:rsidP="00756C17"/>
    <w:p w:rsidR="00756C17" w:rsidRDefault="00756C17" w:rsidP="00756C17">
      <w:r w:rsidRPr="00E86775">
        <w:rPr>
          <w:b/>
          <w:bCs/>
        </w:rPr>
        <w:t>Responsible Lending and Investments:</w:t>
      </w:r>
      <w:r w:rsidRPr="00E86775">
        <w:t xml:space="preserve"> One of the key initiatives undertaken by HSBC is the integration of responsible lending and investment practices. The bank evaluates environmental and social risks associated with its lending and investment decisions, aligning its financial activities with sustainable development goals (HSBC, 2022).</w:t>
      </w:r>
    </w:p>
    <w:p w:rsidR="00756C17" w:rsidRPr="00E86775" w:rsidRDefault="00756C17" w:rsidP="00756C17"/>
    <w:p w:rsidR="00756C17" w:rsidRDefault="00756C17" w:rsidP="00756C17">
      <w:r w:rsidRPr="00E86775">
        <w:rPr>
          <w:b/>
          <w:bCs/>
        </w:rPr>
        <w:t>Climate Finance and Green Bonds:</w:t>
      </w:r>
      <w:r w:rsidRPr="00E86775">
        <w:t xml:space="preserve"> HSBC has been a pioneer in climate finance, committing to provide significant funding for projects addressing climate change. The bank issues green </w:t>
      </w:r>
      <w:r w:rsidRPr="00E86775">
        <w:lastRenderedPageBreak/>
        <w:t>bonds to fund environmentally sustainable initiatives, supporting projects such as renewable energy, energy efficiency, and sustainable infrastructure (HSBC, 2022).</w:t>
      </w:r>
    </w:p>
    <w:p w:rsidR="00756C17" w:rsidRPr="00E86775" w:rsidRDefault="00756C17" w:rsidP="00756C17"/>
    <w:p w:rsidR="00756C17" w:rsidRDefault="00756C17" w:rsidP="00756C17">
      <w:r w:rsidRPr="00E86775">
        <w:rPr>
          <w:b/>
          <w:bCs/>
        </w:rPr>
        <w:t>Carbon Neutrality Pledge:</w:t>
      </w:r>
      <w:r w:rsidRPr="00E86775">
        <w:t xml:space="preserve"> HSBC has made a commitment to achieve net-zero carbon emissions in its operations and supply chain by 2030. The bank is actively working towards reducing its carbon footprint through energy efficiency measures, renewable energy sourcing, and offsetting remaining emissions through carbon offset projects (HSBC, 2022).</w:t>
      </w:r>
    </w:p>
    <w:p w:rsidR="00756C17" w:rsidRPr="00E86775" w:rsidRDefault="00756C17" w:rsidP="00756C17"/>
    <w:p w:rsidR="00756C17" w:rsidRDefault="00756C17" w:rsidP="00756C17">
      <w:r w:rsidRPr="00E86775">
        <w:rPr>
          <w:b/>
          <w:bCs/>
        </w:rPr>
        <w:t>Sustainable Finance Initiatives:</w:t>
      </w:r>
      <w:r w:rsidRPr="00E86775">
        <w:t xml:space="preserve"> HSBC is actively involved in promoting sustainable finance by offering products and services that support environmentally friendly projects. This includes financing for renewable energy projects, sustainable agriculture, and initiatives aimed at biodiversity conservation (HSBC, 2022).</w:t>
      </w:r>
    </w:p>
    <w:p w:rsidR="00756C17" w:rsidRPr="00E86775" w:rsidRDefault="00756C17" w:rsidP="00756C17"/>
    <w:p w:rsidR="00756C17" w:rsidRDefault="00756C17" w:rsidP="00756C17">
      <w:pPr>
        <w:pStyle w:val="Heading1"/>
      </w:pPr>
      <w:bookmarkStart w:id="10" w:name="_Toc153614877"/>
      <w:r w:rsidRPr="00E86775">
        <w:t>Competitive Advantage through Sustainability</w:t>
      </w:r>
      <w:bookmarkEnd w:id="10"/>
    </w:p>
    <w:p w:rsidR="00756C17" w:rsidRPr="00E86775" w:rsidRDefault="00756C17" w:rsidP="00756C17"/>
    <w:p w:rsidR="00756C17" w:rsidRDefault="00756C17" w:rsidP="00756C17">
      <w:r w:rsidRPr="00E86775">
        <w:t>HSBC's integration of sustainability and environmental considerations into its competitive strategy provides several competitive advantages:</w:t>
      </w:r>
    </w:p>
    <w:p w:rsidR="00756C17" w:rsidRPr="00E86775" w:rsidRDefault="00756C17" w:rsidP="00756C17"/>
    <w:p w:rsidR="00756C17" w:rsidRDefault="00756C17" w:rsidP="00756C17">
      <w:r w:rsidRPr="00E86775">
        <w:rPr>
          <w:b/>
          <w:bCs/>
        </w:rPr>
        <w:t>Reputation and Brand Image:</w:t>
      </w:r>
      <w:r w:rsidRPr="00E86775">
        <w:t xml:space="preserve"> The commitment to sustainability enhances HSBC's reputation and brand image. Consumers and investors are increasingly prioritizing businesses with strong environmental and social responsibility records, giving HSBC a competitive edge in attracting conscious customers and investors (HSBC, 2022).</w:t>
      </w:r>
    </w:p>
    <w:p w:rsidR="00756C17" w:rsidRPr="00E86775" w:rsidRDefault="00756C17" w:rsidP="00756C17"/>
    <w:p w:rsidR="00756C17" w:rsidRDefault="00756C17" w:rsidP="00756C17">
      <w:r w:rsidRPr="00E86775">
        <w:rPr>
          <w:b/>
          <w:bCs/>
        </w:rPr>
        <w:t>Risk Mitigation:</w:t>
      </w:r>
      <w:r w:rsidRPr="00E86775">
        <w:t xml:space="preserve"> Considering environmental and social factors in lending and investment decisions helps HSBC mitigate risks associated with climate change and other sustainability challenges. This proactive risk management approach contributes to the long-term stability and resilience of the bank's operations (HSBC, 2022; Dark et al., 2017).</w:t>
      </w:r>
    </w:p>
    <w:p w:rsidR="00756C17" w:rsidRPr="00E86775" w:rsidRDefault="00756C17" w:rsidP="00756C17"/>
    <w:p w:rsidR="00756C17" w:rsidRDefault="00756C17" w:rsidP="00756C17">
      <w:r w:rsidRPr="00E86775">
        <w:rPr>
          <w:b/>
          <w:bCs/>
        </w:rPr>
        <w:t>Regulatory Compliance:</w:t>
      </w:r>
      <w:r w:rsidRPr="00E86775">
        <w:t xml:space="preserve"> Given the global focus on sustainable finance and increasing regulatory requirements related to environmental considerations, HSBC's proactive stance positions it </w:t>
      </w:r>
      <w:proofErr w:type="spellStart"/>
      <w:r w:rsidRPr="00E86775">
        <w:t>favorably</w:t>
      </w:r>
      <w:proofErr w:type="spellEnd"/>
      <w:r w:rsidRPr="00E86775">
        <w:t xml:space="preserve"> in terms of compliance. This can lead to reduced regulatory risks and potential competitive advantages in regions with stringent environmental regulations (HSBC, 2022).</w:t>
      </w:r>
    </w:p>
    <w:p w:rsidR="00756C17" w:rsidRPr="00E86775" w:rsidRDefault="00756C17" w:rsidP="00756C17"/>
    <w:p w:rsidR="00756C17" w:rsidRDefault="00756C17" w:rsidP="00756C17">
      <w:r w:rsidRPr="00E86775">
        <w:t>HSBC Plc has successfully integrated sustainability and environmental considerations into its competitive strategy through responsible lending, climate finance, carbon neutrality commitments, and sustainable finance initiatives. These efforts not only align with global sustainability goals but also provide HSBC with competitive advantages in terms of reputation, risk management, and regulatory compliance. Continued commitment to sustainability will be essential for maintaining these advantages and adapting to evolving environmental priorities.</w:t>
      </w:r>
    </w:p>
    <w:p w:rsidR="00756C17" w:rsidRPr="00E86775" w:rsidRDefault="00756C17" w:rsidP="00756C17"/>
    <w:p w:rsidR="00756C17" w:rsidRDefault="00756C17" w:rsidP="00756C17">
      <w:pPr>
        <w:pStyle w:val="Heading1"/>
      </w:pPr>
      <w:bookmarkStart w:id="11" w:name="_Toc153614878"/>
    </w:p>
    <w:p w:rsidR="00756C17" w:rsidRDefault="00756C17" w:rsidP="00756C17">
      <w:pPr>
        <w:pStyle w:val="Heading1"/>
      </w:pPr>
    </w:p>
    <w:p w:rsidR="00756C17" w:rsidRDefault="00756C17" w:rsidP="00756C17">
      <w:pPr>
        <w:pStyle w:val="Heading1"/>
      </w:pPr>
      <w:r w:rsidRPr="00E86775">
        <w:t>Future Strategic Directions</w:t>
      </w:r>
      <w:bookmarkEnd w:id="11"/>
    </w:p>
    <w:p w:rsidR="00756C17" w:rsidRPr="00E86775" w:rsidRDefault="00756C17" w:rsidP="00756C17"/>
    <w:p w:rsidR="00756C17" w:rsidRDefault="00756C17" w:rsidP="00756C17">
      <w:r w:rsidRPr="00E86775">
        <w:t>HSBC Plc faces a dynamic and evolving global financial landscape, necessitating careful consideration of future strategic directions. Several choices are available to the bank to ensure sustained growth, resilience, and competitiveness.</w:t>
      </w:r>
    </w:p>
    <w:p w:rsidR="00756C17" w:rsidRPr="00E86775" w:rsidRDefault="00756C17" w:rsidP="00756C17"/>
    <w:p w:rsidR="00756C17" w:rsidRDefault="00756C17" w:rsidP="00756C17">
      <w:pPr>
        <w:pStyle w:val="ListParagraph"/>
        <w:numPr>
          <w:ilvl w:val="0"/>
          <w:numId w:val="16"/>
        </w:numPr>
      </w:pPr>
      <w:r w:rsidRPr="00E86775">
        <w:rPr>
          <w:b/>
          <w:bCs/>
        </w:rPr>
        <w:t>Technological Innovation and Digital Transformation:</w:t>
      </w:r>
      <w:r w:rsidRPr="00E86775">
        <w:t xml:space="preserve"> As technology continues to reshape the financial industry, HSBC can prioritize further investments in technological innovation and digital transformation. This includes enhancing online and mobile banking services, adopting advanced analytics for personalized customer experiences, and exploring emerging technologies such as </w:t>
      </w:r>
      <w:proofErr w:type="spellStart"/>
      <w:r w:rsidRPr="00E86775">
        <w:t>blockchain</w:t>
      </w:r>
      <w:proofErr w:type="spellEnd"/>
      <w:r w:rsidRPr="00E86775">
        <w:t xml:space="preserve"> for improved efficiency and security (HSBC, 2022; Market Intelligence, 2003).</w:t>
      </w:r>
    </w:p>
    <w:p w:rsidR="00756C17" w:rsidRPr="00E86775" w:rsidRDefault="00756C17" w:rsidP="00756C17">
      <w:pPr>
        <w:pStyle w:val="ListParagraph"/>
      </w:pPr>
    </w:p>
    <w:p w:rsidR="00756C17" w:rsidRDefault="00756C17" w:rsidP="00756C17">
      <w:pPr>
        <w:pStyle w:val="ListParagraph"/>
        <w:numPr>
          <w:ilvl w:val="0"/>
          <w:numId w:val="16"/>
        </w:numPr>
      </w:pPr>
      <w:r w:rsidRPr="00E86775">
        <w:rPr>
          <w:b/>
          <w:bCs/>
        </w:rPr>
        <w:t>Enhanced Customer Experience:</w:t>
      </w:r>
      <w:r w:rsidRPr="00E86775">
        <w:t xml:space="preserve"> Focusing on customer experience remains a strategic imperative. HSBC can differentiate itself by providing seamless, user-friendly services, personalized financial solutions, and innovative customer engagement strategies. This approach aligns with the growing expectations of customers for convenient, efficient, and personalized banking experiences (HSBC, 2022; </w:t>
      </w:r>
      <w:proofErr w:type="spellStart"/>
      <w:r w:rsidRPr="00E86775">
        <w:t>Bloemer</w:t>
      </w:r>
      <w:proofErr w:type="spellEnd"/>
      <w:r w:rsidRPr="00E86775">
        <w:t xml:space="preserve"> et al., 1998).</w:t>
      </w:r>
    </w:p>
    <w:p w:rsidR="00756C17" w:rsidRDefault="00756C17" w:rsidP="00756C17">
      <w:pPr>
        <w:pStyle w:val="ListParagraph"/>
      </w:pPr>
    </w:p>
    <w:p w:rsidR="00756C17" w:rsidRPr="00E86775" w:rsidRDefault="00756C17" w:rsidP="00756C17">
      <w:pPr>
        <w:pStyle w:val="ListParagraph"/>
      </w:pPr>
    </w:p>
    <w:p w:rsidR="00756C17" w:rsidRDefault="00756C17" w:rsidP="00756C17">
      <w:pPr>
        <w:pStyle w:val="ListParagraph"/>
        <w:numPr>
          <w:ilvl w:val="0"/>
          <w:numId w:val="16"/>
        </w:numPr>
      </w:pPr>
      <w:r w:rsidRPr="00E86775">
        <w:rPr>
          <w:b/>
          <w:bCs/>
        </w:rPr>
        <w:t>Sustainable Finance Expansion:</w:t>
      </w:r>
      <w:r w:rsidRPr="00E86775">
        <w:t xml:space="preserve"> Given the increasing global emphasis on sustainability, HSBC can further expand its commitment to sustainable finance. This involves increasing funding for green initiatives, supporting projects aligned with the United Nations Sustainable Development Goals, and offering a broader range of sustainable financial products. This aligns with the bank's existing sustainability initiatives and capitalizes on the growing demand for environmentally responsible financial services (HSBC, 2022; Dark et al., 2017).</w:t>
      </w:r>
    </w:p>
    <w:p w:rsidR="00756C17" w:rsidRPr="00E86775" w:rsidRDefault="00756C17" w:rsidP="00756C17">
      <w:pPr>
        <w:pStyle w:val="ListParagraph"/>
      </w:pPr>
    </w:p>
    <w:p w:rsidR="00756C17" w:rsidRDefault="00756C17" w:rsidP="00756C17">
      <w:pPr>
        <w:pStyle w:val="ListParagraph"/>
        <w:numPr>
          <w:ilvl w:val="0"/>
          <w:numId w:val="16"/>
        </w:numPr>
      </w:pPr>
      <w:r w:rsidRPr="00E86775">
        <w:rPr>
          <w:b/>
          <w:bCs/>
        </w:rPr>
        <w:t>Inclusive Banking:</w:t>
      </w:r>
      <w:r w:rsidRPr="00E86775">
        <w:t xml:space="preserve"> Addressing financial inclusion can be a strategic focus for HSBC. By reaching underserved populations and offering inclusive banking solutions, the bank can tap into new markets and contribute to social and economic development. This may involve developing tailored products and services for unbanked or </w:t>
      </w:r>
      <w:proofErr w:type="spellStart"/>
      <w:r w:rsidRPr="00E86775">
        <w:t>underbanked</w:t>
      </w:r>
      <w:proofErr w:type="spellEnd"/>
      <w:r w:rsidRPr="00E86775">
        <w:t xml:space="preserve"> segments and leveraging digital channels for wider accessibility (HSBC, 2022).</w:t>
      </w:r>
    </w:p>
    <w:p w:rsidR="00756C17" w:rsidRDefault="00756C17" w:rsidP="00756C17">
      <w:pPr>
        <w:pStyle w:val="ListParagraph"/>
      </w:pPr>
    </w:p>
    <w:p w:rsidR="00756C17" w:rsidRPr="00E86775" w:rsidRDefault="00756C17" w:rsidP="00756C17">
      <w:pPr>
        <w:pStyle w:val="ListParagraph"/>
      </w:pPr>
    </w:p>
    <w:p w:rsidR="00756C17" w:rsidRDefault="00756C17" w:rsidP="00756C17">
      <w:pPr>
        <w:pStyle w:val="Heading1"/>
      </w:pPr>
      <w:bookmarkStart w:id="12" w:name="_Toc153614879"/>
      <w:r w:rsidRPr="00E86775">
        <w:t>Recommendations on Sustainability Practices for Future Competitive Advantages</w:t>
      </w:r>
      <w:bookmarkEnd w:id="12"/>
    </w:p>
    <w:p w:rsidR="00756C17" w:rsidRPr="00E86775" w:rsidRDefault="00756C17" w:rsidP="00756C17"/>
    <w:p w:rsidR="00756C17" w:rsidRDefault="00756C17" w:rsidP="00756C17">
      <w:pPr>
        <w:pStyle w:val="ListParagraph"/>
        <w:numPr>
          <w:ilvl w:val="0"/>
          <w:numId w:val="17"/>
        </w:numPr>
      </w:pPr>
      <w:r w:rsidRPr="00E86775">
        <w:rPr>
          <w:b/>
          <w:bCs/>
        </w:rPr>
        <w:t>Comprehensive ESG Integration:</w:t>
      </w:r>
      <w:r w:rsidRPr="00E86775">
        <w:t xml:space="preserve"> HSBC should deepen its integration of Environmental, Social, and Governance (ESG) factors across all aspects of its business. This involves incorporating sustainability considerations into risk </w:t>
      </w:r>
      <w:r w:rsidRPr="00E86775">
        <w:lastRenderedPageBreak/>
        <w:t xml:space="preserve">management, decision-making processes, and product development. A holistic ESG approach will enhance the bank's credibility and attractiveness to stakeholders (HSBC, 2022; </w:t>
      </w:r>
      <w:proofErr w:type="spellStart"/>
      <w:r w:rsidRPr="00E86775">
        <w:t>Bettis</w:t>
      </w:r>
      <w:proofErr w:type="spellEnd"/>
      <w:r w:rsidRPr="00E86775">
        <w:t xml:space="preserve"> et al., 2015).</w:t>
      </w:r>
    </w:p>
    <w:p w:rsidR="00756C17" w:rsidRPr="00E86775" w:rsidRDefault="00756C17" w:rsidP="00756C17">
      <w:pPr>
        <w:pStyle w:val="ListParagraph"/>
      </w:pPr>
    </w:p>
    <w:p w:rsidR="00756C17" w:rsidRDefault="00756C17" w:rsidP="00756C17">
      <w:pPr>
        <w:pStyle w:val="ListParagraph"/>
        <w:numPr>
          <w:ilvl w:val="0"/>
          <w:numId w:val="17"/>
        </w:numPr>
      </w:pPr>
      <w:r w:rsidRPr="00E86775">
        <w:rPr>
          <w:b/>
          <w:bCs/>
        </w:rPr>
        <w:t>Carbon-Neutral Operations:</w:t>
      </w:r>
      <w:r w:rsidRPr="00E86775">
        <w:t xml:space="preserve"> Accelerating efforts to achieve carbon neutrality by 2030 is a positive step. HSBC should continue investing in energy-efficient technologies, renewable energy sources, and carbon offset initiatives. Achieving and maintaining carbon neutrality not only contributes to environmental goals but also serves as a powerful differentiator in the financial industry (HSBC, 2022; Dark et al., 2017).</w:t>
      </w:r>
    </w:p>
    <w:p w:rsidR="00756C17" w:rsidRDefault="00756C17" w:rsidP="00756C17">
      <w:pPr>
        <w:pStyle w:val="ListParagraph"/>
      </w:pPr>
    </w:p>
    <w:p w:rsidR="00756C17" w:rsidRPr="00E86775" w:rsidRDefault="00756C17" w:rsidP="00756C17">
      <w:pPr>
        <w:pStyle w:val="ListParagraph"/>
      </w:pPr>
    </w:p>
    <w:p w:rsidR="00756C17" w:rsidRDefault="00756C17" w:rsidP="00756C17">
      <w:pPr>
        <w:pStyle w:val="ListParagraph"/>
        <w:numPr>
          <w:ilvl w:val="0"/>
          <w:numId w:val="17"/>
        </w:numPr>
      </w:pPr>
      <w:r w:rsidRPr="00E86775">
        <w:rPr>
          <w:b/>
          <w:bCs/>
        </w:rPr>
        <w:t>Sustainable Finance Product Innovation:</w:t>
      </w:r>
      <w:r w:rsidRPr="00E86775">
        <w:t xml:space="preserve"> To gain a competitive edge, HSBC should continuously innovate in the field of sustainable finance. This includes developing new financial products that promote sustainability, such as green bonds, sustainability-linked loans, and innovative investment instruments. Creating a diverse portfolio of sustainable financial products caters to a broader range of environmentally conscious clients (HSBC, 2022; </w:t>
      </w:r>
      <w:proofErr w:type="spellStart"/>
      <w:r w:rsidRPr="00E86775">
        <w:t>Petrova</w:t>
      </w:r>
      <w:proofErr w:type="spellEnd"/>
      <w:r w:rsidRPr="00E86775">
        <w:t>, 2012).</w:t>
      </w:r>
    </w:p>
    <w:p w:rsidR="00756C17" w:rsidRPr="00E86775" w:rsidRDefault="00756C17" w:rsidP="00756C17">
      <w:pPr>
        <w:pStyle w:val="ListParagraph"/>
      </w:pPr>
    </w:p>
    <w:p w:rsidR="00756C17" w:rsidRDefault="00756C17" w:rsidP="00756C17">
      <w:pPr>
        <w:pStyle w:val="ListParagraph"/>
        <w:numPr>
          <w:ilvl w:val="0"/>
          <w:numId w:val="17"/>
        </w:numPr>
      </w:pPr>
      <w:r w:rsidRPr="00E86775">
        <w:rPr>
          <w:b/>
          <w:bCs/>
        </w:rPr>
        <w:t>Stakeholder Engagement and Transparency:</w:t>
      </w:r>
      <w:r w:rsidRPr="00E86775">
        <w:t xml:space="preserve"> HSBC should enhance engagement with stakeholders, including customers, investors, and the broader community. Transparent reporting on sustainability metrics, progress towards environmental goals, and the social impact of initiatives builds trust and loyalty. Effective communication of sustainability efforts enhances the bank's reputation and competitiveness (HSBC, 2022; </w:t>
      </w:r>
      <w:proofErr w:type="spellStart"/>
      <w:r w:rsidRPr="00E86775">
        <w:t>Bettis</w:t>
      </w:r>
      <w:proofErr w:type="spellEnd"/>
      <w:r w:rsidRPr="00E86775">
        <w:t xml:space="preserve"> et al., 2015).</w:t>
      </w:r>
    </w:p>
    <w:p w:rsidR="00756C17" w:rsidRDefault="00756C17" w:rsidP="00756C17">
      <w:pPr>
        <w:pStyle w:val="ListParagraph"/>
      </w:pPr>
    </w:p>
    <w:p w:rsidR="00756C17" w:rsidRPr="00E86775" w:rsidRDefault="00756C17" w:rsidP="00756C17">
      <w:pPr>
        <w:pStyle w:val="ListParagraph"/>
      </w:pPr>
    </w:p>
    <w:p w:rsidR="00756C17" w:rsidRDefault="00756C17" w:rsidP="00756C17">
      <w:r>
        <w:t>F</w:t>
      </w:r>
      <w:r w:rsidRPr="00E86775">
        <w:t>or future strategic directions, HSBC should consider a blend of technological innovation, enhanced customer experience, sustainable finance expansion, and inclusive banking. The integration of comprehensive sustainability practices, focusing on ESG factors, carbon-neutral operations, innovative sustainable finance products, and transparent stakeholder engagement, will contribute to future competitive advantages and position HSBC as a leader in responsible and resilient banking.</w:t>
      </w:r>
    </w:p>
    <w:p w:rsidR="00756C17" w:rsidRPr="00E86775" w:rsidRDefault="00756C17" w:rsidP="00756C17"/>
    <w:p w:rsidR="00756C17" w:rsidRDefault="00756C17" w:rsidP="00756C17">
      <w:pPr>
        <w:pStyle w:val="Heading1"/>
      </w:pPr>
      <w:bookmarkStart w:id="13" w:name="_Toc153614880"/>
      <w:r w:rsidRPr="00E86775">
        <w:t>Conclusion</w:t>
      </w:r>
      <w:bookmarkEnd w:id="13"/>
    </w:p>
    <w:p w:rsidR="00756C17" w:rsidRPr="00E86775" w:rsidRDefault="00756C17" w:rsidP="00756C17"/>
    <w:p w:rsidR="00756C17" w:rsidRDefault="00756C17" w:rsidP="00756C17">
      <w:r w:rsidRPr="00E86775">
        <w:t>In summary, this strategic review of HSBC Plc has delved into various aspects of the company's business and corporate strategies, evaluating their effectiveness, and considering future directions. The key points discussed in the report are as follows:</w:t>
      </w:r>
    </w:p>
    <w:p w:rsidR="00756C17" w:rsidRPr="00E86775" w:rsidRDefault="00756C17" w:rsidP="00756C17"/>
    <w:p w:rsidR="00756C17" w:rsidRPr="00E86775" w:rsidRDefault="00756C17" w:rsidP="00756C17">
      <w:r w:rsidRPr="00E86775">
        <w:rPr>
          <w:b/>
          <w:bCs/>
        </w:rPr>
        <w:t>1. Strategic Overview:</w:t>
      </w:r>
    </w:p>
    <w:p w:rsidR="00756C17" w:rsidRPr="00E86775" w:rsidRDefault="00756C17" w:rsidP="00756C17">
      <w:pPr>
        <w:numPr>
          <w:ilvl w:val="0"/>
          <w:numId w:val="3"/>
        </w:numPr>
      </w:pPr>
      <w:r w:rsidRPr="00E86775">
        <w:t>HSBC pursues a dual strategy of global expansion and diversification of financial services.</w:t>
      </w:r>
    </w:p>
    <w:p w:rsidR="00756C17" w:rsidRPr="00E86775" w:rsidRDefault="00756C17" w:rsidP="00756C17">
      <w:pPr>
        <w:numPr>
          <w:ilvl w:val="0"/>
          <w:numId w:val="3"/>
        </w:numPr>
      </w:pPr>
      <w:r w:rsidRPr="00E86775">
        <w:t>SWOT, PESTEL, and Industry Five Forces Models were employed to analyze the external environment.</w:t>
      </w:r>
    </w:p>
    <w:p w:rsidR="00756C17" w:rsidRPr="00E86775" w:rsidRDefault="00756C17" w:rsidP="00756C17">
      <w:pPr>
        <w:numPr>
          <w:ilvl w:val="0"/>
          <w:numId w:val="3"/>
        </w:numPr>
      </w:pPr>
      <w:r w:rsidRPr="00E86775">
        <w:t>Chosen strategies align with the global financial landscape, leveraging strengths and addressing weaknesses and opportunities.</w:t>
      </w:r>
    </w:p>
    <w:p w:rsidR="00756C17" w:rsidRPr="00E86775" w:rsidRDefault="00756C17" w:rsidP="00756C17">
      <w:r w:rsidRPr="00E86775">
        <w:rPr>
          <w:b/>
          <w:bCs/>
        </w:rPr>
        <w:t>2. Resources and Capabilities:</w:t>
      </w:r>
    </w:p>
    <w:p w:rsidR="00756C17" w:rsidRPr="00E86775" w:rsidRDefault="00756C17" w:rsidP="00756C17">
      <w:pPr>
        <w:numPr>
          <w:ilvl w:val="0"/>
          <w:numId w:val="4"/>
        </w:numPr>
      </w:pPr>
      <w:r w:rsidRPr="00E86775">
        <w:lastRenderedPageBreak/>
        <w:t>HSBC possesses robust financial resources, a global network, skilled human capital, and advanced technological capabilities.</w:t>
      </w:r>
    </w:p>
    <w:p w:rsidR="00756C17" w:rsidRPr="00E86775" w:rsidRDefault="00756C17" w:rsidP="00756C17">
      <w:pPr>
        <w:numPr>
          <w:ilvl w:val="0"/>
          <w:numId w:val="4"/>
        </w:numPr>
      </w:pPr>
      <w:r w:rsidRPr="00E86775">
        <w:t>The alignment of resources and capabilities with current strategies is generally effective, though ongoing optimization is essential for sustained success.</w:t>
      </w:r>
    </w:p>
    <w:p w:rsidR="00756C17" w:rsidRPr="00E86775" w:rsidRDefault="00756C17" w:rsidP="00756C17">
      <w:r w:rsidRPr="00E86775">
        <w:rPr>
          <w:b/>
          <w:bCs/>
        </w:rPr>
        <w:t>3. Implementation of Strategies:</w:t>
      </w:r>
    </w:p>
    <w:p w:rsidR="00756C17" w:rsidRPr="00E86775" w:rsidRDefault="00756C17" w:rsidP="00756C17">
      <w:pPr>
        <w:numPr>
          <w:ilvl w:val="0"/>
          <w:numId w:val="5"/>
        </w:numPr>
      </w:pPr>
      <w:r w:rsidRPr="00E86775">
        <w:t>Successful implementation of global expansion and diversification strategies.</w:t>
      </w:r>
    </w:p>
    <w:p w:rsidR="00756C17" w:rsidRPr="00E86775" w:rsidRDefault="00756C17" w:rsidP="00756C17">
      <w:pPr>
        <w:numPr>
          <w:ilvl w:val="0"/>
          <w:numId w:val="5"/>
        </w:numPr>
      </w:pPr>
      <w:r w:rsidRPr="00E86775">
        <w:t>Competitive advantages include a global network, financial strength, diversified services, and technological innovation.</w:t>
      </w:r>
    </w:p>
    <w:p w:rsidR="00756C17" w:rsidRPr="00E86775" w:rsidRDefault="00756C17" w:rsidP="00756C17">
      <w:r w:rsidRPr="00E86775">
        <w:rPr>
          <w:b/>
          <w:bCs/>
        </w:rPr>
        <w:t>4. Sustainability and Environmental Considerations:</w:t>
      </w:r>
    </w:p>
    <w:p w:rsidR="00756C17" w:rsidRPr="00E86775" w:rsidRDefault="00756C17" w:rsidP="00756C17">
      <w:pPr>
        <w:numPr>
          <w:ilvl w:val="0"/>
          <w:numId w:val="6"/>
        </w:numPr>
      </w:pPr>
      <w:r w:rsidRPr="00E86775">
        <w:t>Integration of responsible lending and investments, climate finance, and a commitment to carbon neutrality.</w:t>
      </w:r>
    </w:p>
    <w:p w:rsidR="00756C17" w:rsidRPr="00E86775" w:rsidRDefault="00756C17" w:rsidP="00756C17">
      <w:pPr>
        <w:numPr>
          <w:ilvl w:val="0"/>
          <w:numId w:val="6"/>
        </w:numPr>
      </w:pPr>
      <w:r w:rsidRPr="00E86775">
        <w:t>HSBC's sustainability practices contribute to reputation, risk mitigation, and regulatory compliance, providing competitive advantages.</w:t>
      </w:r>
    </w:p>
    <w:p w:rsidR="00756C17" w:rsidRPr="00E86775" w:rsidRDefault="00756C17" w:rsidP="00756C17">
      <w:r w:rsidRPr="00E86775">
        <w:rPr>
          <w:b/>
          <w:bCs/>
        </w:rPr>
        <w:t>5. Future Strategic Directions:</w:t>
      </w:r>
    </w:p>
    <w:p w:rsidR="00756C17" w:rsidRPr="00E86775" w:rsidRDefault="00756C17" w:rsidP="00756C17">
      <w:pPr>
        <w:numPr>
          <w:ilvl w:val="0"/>
          <w:numId w:val="7"/>
        </w:numPr>
      </w:pPr>
      <w:r w:rsidRPr="00E86775">
        <w:t>Choices for the future include technological innovation, enhanced customer experience, sustainable finance expansion, and inclusive banking.</w:t>
      </w:r>
    </w:p>
    <w:p w:rsidR="00756C17" w:rsidRDefault="00756C17" w:rsidP="00756C17">
      <w:pPr>
        <w:numPr>
          <w:ilvl w:val="0"/>
          <w:numId w:val="7"/>
        </w:numPr>
      </w:pPr>
      <w:r w:rsidRPr="00E86775">
        <w:t>Recommendations focus on comprehensive ESG integration, carbon-neutral operations, sustainable finance product innovation, and stakeholder engagement for future competitive advantages.</w:t>
      </w:r>
    </w:p>
    <w:p w:rsidR="00756C17" w:rsidRPr="00E86775" w:rsidRDefault="00756C17" w:rsidP="00756C17">
      <w:pPr>
        <w:ind w:left="720"/>
      </w:pPr>
    </w:p>
    <w:p w:rsidR="00756C17" w:rsidRDefault="00756C17" w:rsidP="00756C17">
      <w:r w:rsidRPr="00E86775">
        <w:t>HSBC Plc stands at the forefront of the global financial industry, with a strong foundation built on strategic choices, aligned resources, effective implementation, and a commitment to sustainability. The future strategic directions and recommendations provided aim to guide HSBC towards continued success, resilience, and leadership in an ever evolving and competitive landscape.</w:t>
      </w:r>
    </w:p>
    <w:p w:rsidR="00756C17" w:rsidRPr="00E86775" w:rsidRDefault="00756C17" w:rsidP="00756C17"/>
    <w:p w:rsidR="00756C17" w:rsidRPr="00E86775" w:rsidRDefault="00756C17" w:rsidP="00756C17">
      <w:pPr>
        <w:pStyle w:val="Heading1"/>
      </w:pPr>
      <w:bookmarkStart w:id="14" w:name="_Toc153614881"/>
      <w:r w:rsidRPr="00E86775">
        <w:t>Recommendations for HSBC Plc</w:t>
      </w:r>
      <w:bookmarkEnd w:id="14"/>
    </w:p>
    <w:p w:rsidR="00756C17" w:rsidRPr="00E86775" w:rsidRDefault="00756C17" w:rsidP="00756C17">
      <w:r w:rsidRPr="00E86775">
        <w:t>Based on the comprehensive analysis of HSBC's current strategies and the evolving business landscape, the following key recommendations are proposed:</w:t>
      </w:r>
    </w:p>
    <w:p w:rsidR="00756C17" w:rsidRPr="00E86775" w:rsidRDefault="00756C17" w:rsidP="00756C17">
      <w:r w:rsidRPr="00E86775">
        <w:rPr>
          <w:b/>
          <w:bCs/>
        </w:rPr>
        <w:t>1. Enhance Resource Optimization:</w:t>
      </w:r>
    </w:p>
    <w:p w:rsidR="00756C17" w:rsidRPr="00E86775" w:rsidRDefault="00756C17" w:rsidP="00756C17">
      <w:pPr>
        <w:numPr>
          <w:ilvl w:val="0"/>
          <w:numId w:val="8"/>
        </w:numPr>
      </w:pPr>
      <w:r w:rsidRPr="00E86775">
        <w:t>Conduct a thorough analysis of human capital and technological capabilities to ensure optimal alignment with strategic objectives.</w:t>
      </w:r>
    </w:p>
    <w:p w:rsidR="00756C17" w:rsidRPr="00E86775" w:rsidRDefault="00756C17" w:rsidP="00756C17">
      <w:pPr>
        <w:numPr>
          <w:ilvl w:val="0"/>
          <w:numId w:val="8"/>
        </w:numPr>
      </w:pPr>
      <w:r w:rsidRPr="00E86775">
        <w:t>Implement strategies to continually enhance and develop the workforce, ensuring adaptability to evolving customer needs and technological advancements.</w:t>
      </w:r>
    </w:p>
    <w:p w:rsidR="00756C17" w:rsidRPr="00E86775" w:rsidRDefault="00756C17" w:rsidP="00756C17">
      <w:r w:rsidRPr="00E86775">
        <w:rPr>
          <w:b/>
          <w:bCs/>
        </w:rPr>
        <w:t>2. Strengthen Sustainability Initiatives:</w:t>
      </w:r>
    </w:p>
    <w:p w:rsidR="00756C17" w:rsidRPr="00E86775" w:rsidRDefault="00756C17" w:rsidP="00756C17">
      <w:pPr>
        <w:numPr>
          <w:ilvl w:val="0"/>
          <w:numId w:val="9"/>
        </w:numPr>
      </w:pPr>
      <w:r w:rsidRPr="00E86775">
        <w:t>Expand sustainability efforts beyond responsible lending and investments to include comprehensive environmental initiatives.</w:t>
      </w:r>
    </w:p>
    <w:p w:rsidR="00756C17" w:rsidRPr="00E86775" w:rsidRDefault="00756C17" w:rsidP="00756C17">
      <w:pPr>
        <w:numPr>
          <w:ilvl w:val="0"/>
          <w:numId w:val="9"/>
        </w:numPr>
      </w:pPr>
      <w:r w:rsidRPr="00E86775">
        <w:t>Actively engage in reducing the environmental footprint, such as through energy efficiency, renewable energy adoption, and other sustainable practices.</w:t>
      </w:r>
    </w:p>
    <w:p w:rsidR="00756C17" w:rsidRPr="00E86775" w:rsidRDefault="00756C17" w:rsidP="00756C17">
      <w:r w:rsidRPr="00E86775">
        <w:rPr>
          <w:b/>
          <w:bCs/>
        </w:rPr>
        <w:t>3. Innovate for Future Competitiveness:</w:t>
      </w:r>
    </w:p>
    <w:p w:rsidR="00756C17" w:rsidRPr="00E86775" w:rsidRDefault="00756C17" w:rsidP="00756C17">
      <w:pPr>
        <w:numPr>
          <w:ilvl w:val="0"/>
          <w:numId w:val="10"/>
        </w:numPr>
      </w:pPr>
      <w:r w:rsidRPr="00E86775">
        <w:t>Embrace technological innovations and stay abreast of emerging trends in the financial industry.</w:t>
      </w:r>
    </w:p>
    <w:p w:rsidR="00756C17" w:rsidRPr="00E86775" w:rsidRDefault="00756C17" w:rsidP="00756C17">
      <w:pPr>
        <w:numPr>
          <w:ilvl w:val="0"/>
          <w:numId w:val="10"/>
        </w:numPr>
      </w:pPr>
      <w:r w:rsidRPr="00E86775">
        <w:t xml:space="preserve">Invest strategically in cutting-edge technologies, such as artificial intelligence and </w:t>
      </w:r>
      <w:proofErr w:type="spellStart"/>
      <w:r w:rsidRPr="00E86775">
        <w:t>blockchain</w:t>
      </w:r>
      <w:proofErr w:type="spellEnd"/>
      <w:r w:rsidRPr="00E86775">
        <w:t>, to maintain a competitive edge in the digital landscape.</w:t>
      </w:r>
    </w:p>
    <w:p w:rsidR="00756C17" w:rsidRPr="00E86775" w:rsidRDefault="00756C17" w:rsidP="00756C17">
      <w:r w:rsidRPr="00E86775">
        <w:rPr>
          <w:b/>
          <w:bCs/>
        </w:rPr>
        <w:t>4. Diversify Sustainability Offerings:</w:t>
      </w:r>
    </w:p>
    <w:p w:rsidR="00756C17" w:rsidRPr="00E86775" w:rsidRDefault="00756C17" w:rsidP="00756C17">
      <w:pPr>
        <w:numPr>
          <w:ilvl w:val="0"/>
          <w:numId w:val="11"/>
        </w:numPr>
      </w:pPr>
      <w:r w:rsidRPr="00E86775">
        <w:t>Explore opportunities to provide a diverse range of sustainability-focused financial products.</w:t>
      </w:r>
    </w:p>
    <w:p w:rsidR="00756C17" w:rsidRPr="00E86775" w:rsidRDefault="00756C17" w:rsidP="00756C17">
      <w:pPr>
        <w:numPr>
          <w:ilvl w:val="0"/>
          <w:numId w:val="11"/>
        </w:numPr>
      </w:pPr>
      <w:r w:rsidRPr="00E86775">
        <w:lastRenderedPageBreak/>
        <w:t>Develop innovative financial instruments that cater to the growing demand for socially responsible investments, contributing to both environmental and social sustainability.</w:t>
      </w:r>
    </w:p>
    <w:p w:rsidR="00756C17" w:rsidRPr="00E86775" w:rsidRDefault="00756C17" w:rsidP="00756C17">
      <w:r w:rsidRPr="00E86775">
        <w:rPr>
          <w:b/>
          <w:bCs/>
        </w:rPr>
        <w:t>5. Comprehensive ESG Integration:</w:t>
      </w:r>
    </w:p>
    <w:p w:rsidR="00756C17" w:rsidRPr="00E86775" w:rsidRDefault="00756C17" w:rsidP="00756C17">
      <w:pPr>
        <w:numPr>
          <w:ilvl w:val="0"/>
          <w:numId w:val="12"/>
        </w:numPr>
      </w:pPr>
      <w:r w:rsidRPr="00E86775">
        <w:t>Deepen the integration of Environmental, Social, and Governance (ESG) factors across all business operations.</w:t>
      </w:r>
    </w:p>
    <w:p w:rsidR="00756C17" w:rsidRPr="00E86775" w:rsidRDefault="00756C17" w:rsidP="00756C17">
      <w:pPr>
        <w:numPr>
          <w:ilvl w:val="0"/>
          <w:numId w:val="12"/>
        </w:numPr>
      </w:pPr>
      <w:r w:rsidRPr="00E86775">
        <w:t>Ensure that sustainability considerations are woven into risk management, decision-making processes, and product development to demonstrate a holistic commitment to responsible business practices.</w:t>
      </w:r>
    </w:p>
    <w:p w:rsidR="00756C17" w:rsidRPr="00E86775" w:rsidRDefault="00756C17" w:rsidP="00756C17">
      <w:r w:rsidRPr="00E86775">
        <w:rPr>
          <w:b/>
          <w:bCs/>
        </w:rPr>
        <w:t>6. Accelerate Carbon Neutrality Goals:</w:t>
      </w:r>
    </w:p>
    <w:p w:rsidR="00756C17" w:rsidRPr="00E86775" w:rsidRDefault="00756C17" w:rsidP="00756C17">
      <w:pPr>
        <w:numPr>
          <w:ilvl w:val="0"/>
          <w:numId w:val="13"/>
        </w:numPr>
      </w:pPr>
      <w:r w:rsidRPr="00E86775">
        <w:t>Accelerate efforts to achieve the 2030 target of net-zero carbon emissions.</w:t>
      </w:r>
    </w:p>
    <w:p w:rsidR="00756C17" w:rsidRPr="00E86775" w:rsidRDefault="00756C17" w:rsidP="00756C17">
      <w:pPr>
        <w:numPr>
          <w:ilvl w:val="0"/>
          <w:numId w:val="13"/>
        </w:numPr>
      </w:pPr>
      <w:r w:rsidRPr="00E86775">
        <w:t>Continue investments in energy-efficient technologies, renewable energy sources, and carbon offset projects to solidify HSBC's position as a leader in sustainable banking.</w:t>
      </w:r>
    </w:p>
    <w:p w:rsidR="00756C17" w:rsidRPr="00E86775" w:rsidRDefault="00756C17" w:rsidP="00756C17">
      <w:r w:rsidRPr="00E86775">
        <w:rPr>
          <w:b/>
          <w:bCs/>
        </w:rPr>
        <w:t>7. Innovate in Sustainable Finance:</w:t>
      </w:r>
    </w:p>
    <w:p w:rsidR="00756C17" w:rsidRPr="00E86775" w:rsidRDefault="00756C17" w:rsidP="00756C17">
      <w:pPr>
        <w:numPr>
          <w:ilvl w:val="0"/>
          <w:numId w:val="14"/>
        </w:numPr>
      </w:pPr>
      <w:r w:rsidRPr="00E86775">
        <w:t>Continue to innovate in the field of sustainable finance by developing new, creative financial products.</w:t>
      </w:r>
    </w:p>
    <w:p w:rsidR="00756C17" w:rsidRPr="00E86775" w:rsidRDefault="00756C17" w:rsidP="00756C17">
      <w:pPr>
        <w:numPr>
          <w:ilvl w:val="0"/>
          <w:numId w:val="14"/>
        </w:numPr>
      </w:pPr>
      <w:r w:rsidRPr="00E86775">
        <w:t>Introduce products that cater to diverse sustainability needs, including green bonds, sustainability-linked loans, and other innovative financing solutions.</w:t>
      </w:r>
    </w:p>
    <w:p w:rsidR="00756C17" w:rsidRPr="00E86775" w:rsidRDefault="00756C17" w:rsidP="00756C17">
      <w:r w:rsidRPr="00E86775">
        <w:rPr>
          <w:b/>
          <w:bCs/>
        </w:rPr>
        <w:t>8. Stakeholder Engagement and Transparency:</w:t>
      </w:r>
    </w:p>
    <w:p w:rsidR="00756C17" w:rsidRPr="00E86775" w:rsidRDefault="00756C17" w:rsidP="00756C17">
      <w:pPr>
        <w:numPr>
          <w:ilvl w:val="0"/>
          <w:numId w:val="15"/>
        </w:numPr>
      </w:pPr>
      <w:r w:rsidRPr="00E86775">
        <w:t>Enhance engagement with stakeholders through transparent reporting on sustainability metrics.</w:t>
      </w:r>
    </w:p>
    <w:p w:rsidR="00756C17" w:rsidRDefault="00756C17" w:rsidP="00756C17">
      <w:pPr>
        <w:numPr>
          <w:ilvl w:val="0"/>
          <w:numId w:val="15"/>
        </w:numPr>
      </w:pPr>
      <w:r w:rsidRPr="00E86775">
        <w:t>Communicate progress toward environmental goals, social impact, and sustainability initiatives to build trust, strengthen relationships, and maintain a positive reputation.</w:t>
      </w:r>
    </w:p>
    <w:p w:rsidR="00756C17" w:rsidRPr="00E86775" w:rsidRDefault="00756C17" w:rsidP="00756C17">
      <w:pPr>
        <w:ind w:left="720"/>
      </w:pPr>
    </w:p>
    <w:p w:rsidR="00756C17" w:rsidRDefault="00756C17" w:rsidP="00756C17">
      <w:r w:rsidRPr="00E86775">
        <w:t>These recommendations aim to guide HSBC Plc toward a more sustainable, innovative, and competitive future. By optimizing resources, deepening the commitment to sustainability, embracing technological advancements, and fostering transparent stakeholder relationships, HSBC can continue to excel in the global financial landscape.</w:t>
      </w:r>
    </w:p>
    <w:p w:rsidR="00756C17" w:rsidRPr="00E86775" w:rsidRDefault="00756C17" w:rsidP="00756C17">
      <w:pPr>
        <w:pStyle w:val="Heading1"/>
      </w:pPr>
      <w:bookmarkStart w:id="15" w:name="_Toc153614882"/>
      <w:r w:rsidRPr="00E86775">
        <w:t>Reference</w:t>
      </w:r>
      <w:bookmarkEnd w:id="15"/>
    </w:p>
    <w:p w:rsidR="00756C17" w:rsidRDefault="00756C17" w:rsidP="00756C17">
      <w:pPr>
        <w:pStyle w:val="NormalWeb"/>
        <w:shd w:val="clear" w:color="auto" w:fill="FFFFFF"/>
        <w:spacing w:before="0" w:beforeAutospacing="0" w:line="420" w:lineRule="atLeast"/>
        <w:rPr>
          <w:rFonts w:ascii="Arial" w:hAnsi="Arial" w:cs="Arial"/>
          <w:color w:val="000000" w:themeColor="text1"/>
        </w:rPr>
      </w:pPr>
      <w:proofErr w:type="gramStart"/>
      <w:r>
        <w:rPr>
          <w:rFonts w:ascii="Arial" w:hAnsi="Arial" w:cs="Arial"/>
          <w:color w:val="000000" w:themeColor="text1"/>
        </w:rPr>
        <w:t xml:space="preserve">Board of HSBC Holdings plc 2022, </w:t>
      </w:r>
      <w:r>
        <w:rPr>
          <w:rFonts w:ascii="Arial" w:hAnsi="Arial" w:cs="Arial"/>
          <w:i/>
          <w:iCs/>
          <w:color w:val="000000" w:themeColor="text1"/>
        </w:rPr>
        <w:t>Annual Report and Accounts 2021</w:t>
      </w:r>
      <w:r>
        <w:rPr>
          <w:rFonts w:ascii="Arial" w:hAnsi="Arial" w:cs="Arial"/>
          <w:color w:val="000000" w:themeColor="text1"/>
        </w:rPr>
        <w:t>, HSBC Holdings plc.</w:t>
      </w:r>
      <w:proofErr w:type="gramEnd"/>
      <w:r>
        <w:rPr>
          <w:rFonts w:ascii="Arial" w:hAnsi="Arial" w:cs="Arial"/>
          <w:color w:val="000000" w:themeColor="text1"/>
        </w:rPr>
        <w:t xml:space="preserve"> Available at: </w:t>
      </w:r>
      <w:hyperlink r:id="rId5" w:history="1">
        <w:r>
          <w:rPr>
            <w:rStyle w:val="Hyperlink"/>
            <w:rFonts w:ascii="Arial" w:hAnsi="Arial" w:cs="Arial"/>
            <w:color w:val="000000" w:themeColor="text1"/>
          </w:rPr>
          <w:t>https://www.hsbc.com/who-we-are/leadership-and-governance/board-of-directors</w:t>
        </w:r>
      </w:hyperlink>
      <w:r>
        <w:rPr>
          <w:rFonts w:ascii="Arial" w:hAnsi="Arial" w:cs="Arial"/>
          <w:color w:val="000000" w:themeColor="text1"/>
        </w:rPr>
        <w:t xml:space="preserve">  Accessed: 12/Dec/2023</w:t>
      </w:r>
    </w:p>
    <w:p w:rsidR="00756C17" w:rsidRDefault="00756C17" w:rsidP="00756C17">
      <w:pPr>
        <w:pStyle w:val="NormalWeb"/>
        <w:spacing w:line="420" w:lineRule="atLeast"/>
        <w:rPr>
          <w:rFonts w:ascii="Arial" w:hAnsi="Arial" w:cs="Arial"/>
          <w:color w:val="000000" w:themeColor="text1"/>
        </w:rPr>
      </w:pPr>
      <w:proofErr w:type="spellStart"/>
      <w:proofErr w:type="gramStart"/>
      <w:r>
        <w:rPr>
          <w:rFonts w:ascii="Arial" w:hAnsi="Arial" w:cs="Arial"/>
          <w:color w:val="000000" w:themeColor="text1"/>
        </w:rPr>
        <w:t>Bettis</w:t>
      </w:r>
      <w:proofErr w:type="spellEnd"/>
      <w:r>
        <w:rPr>
          <w:rFonts w:ascii="Arial" w:hAnsi="Arial" w:cs="Arial"/>
          <w:color w:val="000000" w:themeColor="text1"/>
        </w:rPr>
        <w:t xml:space="preserve">, R., Gambardella, A., </w:t>
      </w:r>
      <w:proofErr w:type="spellStart"/>
      <w:r>
        <w:rPr>
          <w:rFonts w:ascii="Arial" w:hAnsi="Arial" w:cs="Arial"/>
          <w:color w:val="000000" w:themeColor="text1"/>
        </w:rPr>
        <w:t>Helfat</w:t>
      </w:r>
      <w:proofErr w:type="spellEnd"/>
      <w:r>
        <w:rPr>
          <w:rFonts w:ascii="Arial" w:hAnsi="Arial" w:cs="Arial"/>
          <w:color w:val="000000" w:themeColor="text1"/>
        </w:rPr>
        <w:t>, C., &amp; Mitchell, W. (2015).</w:t>
      </w:r>
      <w:proofErr w:type="gramEnd"/>
      <w:r>
        <w:rPr>
          <w:rFonts w:ascii="Arial" w:hAnsi="Arial" w:cs="Arial"/>
          <w:color w:val="000000" w:themeColor="text1"/>
        </w:rPr>
        <w:t xml:space="preserve"> </w:t>
      </w:r>
      <w:proofErr w:type="gramStart"/>
      <w:r>
        <w:rPr>
          <w:rFonts w:ascii="Arial" w:hAnsi="Arial" w:cs="Arial"/>
          <w:color w:val="000000" w:themeColor="text1"/>
        </w:rPr>
        <w:t>Qualitative empirical research in strategic management.</w:t>
      </w:r>
      <w:proofErr w:type="gramEnd"/>
      <w:r>
        <w:rPr>
          <w:rFonts w:ascii="Arial" w:hAnsi="Arial" w:cs="Arial"/>
          <w:color w:val="000000" w:themeColor="text1"/>
        </w:rPr>
        <w:t> </w:t>
      </w:r>
      <w:r>
        <w:rPr>
          <w:rFonts w:ascii="Arial" w:hAnsi="Arial" w:cs="Arial"/>
          <w:i/>
          <w:iCs/>
          <w:color w:val="000000" w:themeColor="text1"/>
        </w:rPr>
        <w:t>Strategic Management</w:t>
      </w:r>
      <w:r>
        <w:rPr>
          <w:rFonts w:ascii="Arial" w:hAnsi="Arial" w:cs="Arial"/>
          <w:color w:val="000000" w:themeColor="text1"/>
        </w:rPr>
        <w:t> Journal</w:t>
      </w:r>
      <w:r>
        <w:rPr>
          <w:rFonts w:ascii="Arial" w:hAnsi="Arial" w:cs="Arial"/>
          <w:i/>
          <w:iCs/>
          <w:color w:val="000000" w:themeColor="text1"/>
        </w:rPr>
        <w:t>, 36</w:t>
      </w:r>
      <w:r>
        <w:rPr>
          <w:rFonts w:ascii="Arial" w:hAnsi="Arial" w:cs="Arial"/>
          <w:color w:val="000000" w:themeColor="text1"/>
        </w:rPr>
        <w:t>(5), 637-639.</w:t>
      </w:r>
    </w:p>
    <w:p w:rsidR="00756C17" w:rsidRDefault="00756C17" w:rsidP="00756C17">
      <w:pPr>
        <w:pStyle w:val="NormalWeb"/>
        <w:spacing w:line="420" w:lineRule="atLeast"/>
        <w:rPr>
          <w:rFonts w:ascii="Arial" w:hAnsi="Arial" w:cs="Arial"/>
          <w:color w:val="000000" w:themeColor="text1"/>
        </w:rPr>
      </w:pPr>
      <w:proofErr w:type="gramStart"/>
      <w:r>
        <w:rPr>
          <w:rFonts w:ascii="Arial" w:hAnsi="Arial" w:cs="Arial"/>
          <w:color w:val="000000" w:themeColor="text1"/>
        </w:rPr>
        <w:t xml:space="preserve">Dark, F., </w:t>
      </w:r>
      <w:proofErr w:type="spellStart"/>
      <w:r>
        <w:rPr>
          <w:rFonts w:ascii="Arial" w:hAnsi="Arial" w:cs="Arial"/>
          <w:color w:val="000000" w:themeColor="text1"/>
        </w:rPr>
        <w:t>Whiteford</w:t>
      </w:r>
      <w:proofErr w:type="spellEnd"/>
      <w:r>
        <w:rPr>
          <w:rFonts w:ascii="Arial" w:hAnsi="Arial" w:cs="Arial"/>
          <w:color w:val="000000" w:themeColor="text1"/>
        </w:rPr>
        <w:t xml:space="preserve">, H., </w:t>
      </w:r>
      <w:proofErr w:type="spellStart"/>
      <w:r>
        <w:rPr>
          <w:rFonts w:ascii="Arial" w:hAnsi="Arial" w:cs="Arial"/>
          <w:color w:val="000000" w:themeColor="text1"/>
        </w:rPr>
        <w:t>Ashkanasy</w:t>
      </w:r>
      <w:proofErr w:type="spellEnd"/>
      <w:r>
        <w:rPr>
          <w:rFonts w:ascii="Arial" w:hAnsi="Arial" w:cs="Arial"/>
          <w:color w:val="000000" w:themeColor="text1"/>
        </w:rPr>
        <w:t>, N., &amp; Harvey, C. (2017).</w:t>
      </w:r>
      <w:proofErr w:type="gramEnd"/>
      <w:r>
        <w:rPr>
          <w:rFonts w:ascii="Arial" w:hAnsi="Arial" w:cs="Arial"/>
          <w:color w:val="000000" w:themeColor="text1"/>
        </w:rPr>
        <w:t xml:space="preserve"> </w:t>
      </w:r>
      <w:proofErr w:type="gramStart"/>
      <w:r>
        <w:rPr>
          <w:rFonts w:ascii="Arial" w:hAnsi="Arial" w:cs="Arial"/>
          <w:color w:val="000000" w:themeColor="text1"/>
        </w:rPr>
        <w:t>The impact of organizational change and fiscal restraint on organizational culture.</w:t>
      </w:r>
      <w:proofErr w:type="gramEnd"/>
      <w:r>
        <w:rPr>
          <w:rFonts w:ascii="Arial" w:hAnsi="Arial" w:cs="Arial"/>
          <w:color w:val="000000" w:themeColor="text1"/>
        </w:rPr>
        <w:t> </w:t>
      </w:r>
      <w:r>
        <w:rPr>
          <w:rFonts w:ascii="Arial" w:hAnsi="Arial" w:cs="Arial"/>
          <w:i/>
          <w:iCs/>
          <w:color w:val="000000" w:themeColor="text1"/>
        </w:rPr>
        <w:t>International Journal of Mental Health Systems, 11</w:t>
      </w:r>
      <w:r>
        <w:rPr>
          <w:rFonts w:ascii="Arial" w:hAnsi="Arial" w:cs="Arial"/>
          <w:color w:val="000000" w:themeColor="text1"/>
        </w:rPr>
        <w:t>(1), 1-7.</w:t>
      </w:r>
    </w:p>
    <w:p w:rsidR="00756C17" w:rsidRDefault="00756C17" w:rsidP="00756C17">
      <w:pPr>
        <w:pStyle w:val="NormalWeb"/>
        <w:spacing w:line="420" w:lineRule="atLeast"/>
        <w:rPr>
          <w:rFonts w:ascii="Arial" w:hAnsi="Arial" w:cs="Arial"/>
          <w:color w:val="000000" w:themeColor="text1"/>
        </w:rPr>
      </w:pPr>
      <w:r>
        <w:rPr>
          <w:rFonts w:ascii="Arial" w:hAnsi="Arial" w:cs="Arial"/>
          <w:color w:val="000000" w:themeColor="text1"/>
        </w:rPr>
        <w:lastRenderedPageBreak/>
        <w:t xml:space="preserve">Deming, Z. (2012). </w:t>
      </w:r>
      <w:proofErr w:type="gramStart"/>
      <w:r>
        <w:rPr>
          <w:rFonts w:ascii="Arial" w:hAnsi="Arial" w:cs="Arial"/>
          <w:color w:val="000000" w:themeColor="text1"/>
        </w:rPr>
        <w:t>Research on the barriers to knowledge transfer of industry technology innovation strategy alliance and its countermeasures.</w:t>
      </w:r>
      <w:proofErr w:type="gramEnd"/>
      <w:r>
        <w:rPr>
          <w:rFonts w:ascii="Arial" w:hAnsi="Arial" w:cs="Arial"/>
          <w:color w:val="000000" w:themeColor="text1"/>
        </w:rPr>
        <w:t> </w:t>
      </w:r>
      <w:r>
        <w:rPr>
          <w:rFonts w:ascii="Arial" w:hAnsi="Arial" w:cs="Arial"/>
          <w:i/>
          <w:iCs/>
          <w:color w:val="000000" w:themeColor="text1"/>
        </w:rPr>
        <w:t>Information Studies: Theory &amp; Application, 2</w:t>
      </w:r>
      <w:r>
        <w:rPr>
          <w:rFonts w:ascii="Arial" w:hAnsi="Arial" w:cs="Arial"/>
          <w:color w:val="000000" w:themeColor="text1"/>
        </w:rPr>
        <w:t>(1), 134-149.</w:t>
      </w:r>
    </w:p>
    <w:p w:rsidR="00756C17" w:rsidRDefault="00756C17" w:rsidP="00756C17">
      <w:pPr>
        <w:pStyle w:val="NormalWeb"/>
        <w:spacing w:line="420" w:lineRule="atLeast"/>
        <w:rPr>
          <w:rFonts w:ascii="Arial" w:hAnsi="Arial" w:cs="Arial"/>
          <w:color w:val="000000" w:themeColor="text1"/>
        </w:rPr>
      </w:pPr>
      <w:proofErr w:type="spellStart"/>
      <w:r>
        <w:rPr>
          <w:rFonts w:ascii="Arial" w:hAnsi="Arial" w:cs="Arial"/>
          <w:color w:val="000000" w:themeColor="text1"/>
        </w:rPr>
        <w:t>Petrova</w:t>
      </w:r>
      <w:proofErr w:type="spellEnd"/>
      <w:r>
        <w:rPr>
          <w:rFonts w:ascii="Arial" w:hAnsi="Arial" w:cs="Arial"/>
          <w:color w:val="000000" w:themeColor="text1"/>
        </w:rPr>
        <w:t xml:space="preserve">, E. (2012). </w:t>
      </w:r>
      <w:proofErr w:type="gramStart"/>
      <w:r>
        <w:rPr>
          <w:rFonts w:ascii="Arial" w:hAnsi="Arial" w:cs="Arial"/>
          <w:color w:val="000000" w:themeColor="text1"/>
        </w:rPr>
        <w:t>Relationship between cost of equity capital and voluntary corporate disclosures.</w:t>
      </w:r>
      <w:proofErr w:type="gramEnd"/>
      <w:r>
        <w:rPr>
          <w:rFonts w:ascii="Arial" w:hAnsi="Arial" w:cs="Arial"/>
          <w:color w:val="000000" w:themeColor="text1"/>
        </w:rPr>
        <w:t> </w:t>
      </w:r>
      <w:r>
        <w:rPr>
          <w:rFonts w:ascii="Arial" w:hAnsi="Arial" w:cs="Arial"/>
          <w:i/>
          <w:iCs/>
          <w:color w:val="000000" w:themeColor="text1"/>
        </w:rPr>
        <w:t>International Journal of Economics and Finance, 4</w:t>
      </w:r>
      <w:r>
        <w:rPr>
          <w:rFonts w:ascii="Arial" w:hAnsi="Arial" w:cs="Arial"/>
          <w:color w:val="000000" w:themeColor="text1"/>
        </w:rPr>
        <w:t>(3), 83-96</w:t>
      </w:r>
    </w:p>
    <w:p w:rsidR="00756C17" w:rsidRDefault="00756C17" w:rsidP="00756C17">
      <w:pPr>
        <w:shd w:val="clear" w:color="auto" w:fill="FFFFFF"/>
        <w:spacing w:after="100" w:afterAutospacing="1" w:line="420" w:lineRule="atLeast"/>
        <w:rPr>
          <w:rFonts w:ascii="Arial" w:eastAsia="Times New Roman" w:hAnsi="Arial" w:cs="Arial"/>
          <w:color w:val="000000" w:themeColor="text1"/>
          <w:lang w:eastAsia="en-GB"/>
        </w:rPr>
      </w:pPr>
      <w:proofErr w:type="spellStart"/>
      <w:r>
        <w:rPr>
          <w:rFonts w:ascii="Arial" w:eastAsia="Times New Roman" w:hAnsi="Arial" w:cs="Arial"/>
          <w:color w:val="000000" w:themeColor="text1"/>
          <w:lang w:eastAsia="en-GB"/>
        </w:rPr>
        <w:t>Bloemer</w:t>
      </w:r>
      <w:proofErr w:type="spellEnd"/>
      <w:r>
        <w:rPr>
          <w:rFonts w:ascii="Arial" w:eastAsia="Times New Roman" w:hAnsi="Arial" w:cs="Arial"/>
          <w:color w:val="000000" w:themeColor="text1"/>
          <w:lang w:eastAsia="en-GB"/>
        </w:rPr>
        <w:t xml:space="preserve">, J., </w:t>
      </w:r>
      <w:proofErr w:type="spellStart"/>
      <w:r>
        <w:rPr>
          <w:rFonts w:ascii="Arial" w:eastAsia="Times New Roman" w:hAnsi="Arial" w:cs="Arial"/>
          <w:color w:val="000000" w:themeColor="text1"/>
          <w:lang w:eastAsia="en-GB"/>
        </w:rPr>
        <w:t>Ruyter</w:t>
      </w:r>
      <w:proofErr w:type="spellEnd"/>
      <w:r>
        <w:rPr>
          <w:rFonts w:ascii="Arial" w:eastAsia="Times New Roman" w:hAnsi="Arial" w:cs="Arial"/>
          <w:color w:val="000000" w:themeColor="text1"/>
          <w:lang w:eastAsia="en-GB"/>
        </w:rPr>
        <w:t xml:space="preserve">, K., </w:t>
      </w:r>
      <w:proofErr w:type="spellStart"/>
      <w:r>
        <w:rPr>
          <w:rFonts w:ascii="Arial" w:eastAsia="Times New Roman" w:hAnsi="Arial" w:cs="Arial"/>
          <w:color w:val="000000" w:themeColor="text1"/>
          <w:lang w:eastAsia="en-GB"/>
        </w:rPr>
        <w:t>Peeters</w:t>
      </w:r>
      <w:proofErr w:type="spellEnd"/>
      <w:r>
        <w:rPr>
          <w:rFonts w:ascii="Arial" w:eastAsia="Times New Roman" w:hAnsi="Arial" w:cs="Arial"/>
          <w:color w:val="000000" w:themeColor="text1"/>
          <w:lang w:eastAsia="en-GB"/>
        </w:rPr>
        <w:t>, P.</w:t>
      </w:r>
      <w:proofErr w:type="gramStart"/>
      <w:r>
        <w:rPr>
          <w:rFonts w:ascii="Arial" w:eastAsia="Times New Roman" w:hAnsi="Arial" w:cs="Arial"/>
          <w:color w:val="000000" w:themeColor="text1"/>
          <w:lang w:eastAsia="en-GB"/>
        </w:rPr>
        <w:t>,1998</w:t>
      </w:r>
      <w:proofErr w:type="gramEnd"/>
      <w:r>
        <w:rPr>
          <w:rFonts w:ascii="Arial" w:eastAsia="Times New Roman" w:hAnsi="Arial" w:cs="Arial"/>
          <w:color w:val="000000" w:themeColor="text1"/>
          <w:lang w:eastAsia="en-GB"/>
        </w:rPr>
        <w:t xml:space="preserve">. Investigating Drivers of Bank Loyalty: The Complex Relationship </w:t>
      </w:r>
      <w:proofErr w:type="gramStart"/>
      <w:r>
        <w:rPr>
          <w:rFonts w:ascii="Arial" w:eastAsia="Times New Roman" w:hAnsi="Arial" w:cs="Arial"/>
          <w:color w:val="000000" w:themeColor="text1"/>
          <w:lang w:eastAsia="en-GB"/>
        </w:rPr>
        <w:t>Between</w:t>
      </w:r>
      <w:proofErr w:type="gramEnd"/>
      <w:r>
        <w:rPr>
          <w:rFonts w:ascii="Arial" w:eastAsia="Times New Roman" w:hAnsi="Arial" w:cs="Arial"/>
          <w:color w:val="000000" w:themeColor="text1"/>
          <w:lang w:eastAsia="en-GB"/>
        </w:rPr>
        <w:t xml:space="preserve"> Image, Service Quality and Satisfaction. </w:t>
      </w:r>
      <w:r>
        <w:rPr>
          <w:rFonts w:ascii="Arial" w:eastAsia="Times New Roman" w:hAnsi="Arial" w:cs="Arial"/>
          <w:i/>
          <w:iCs/>
          <w:color w:val="000000" w:themeColor="text1"/>
          <w:lang w:eastAsia="en-GB"/>
        </w:rPr>
        <w:t>International Journal of Bank Marketing</w:t>
      </w:r>
      <w:r>
        <w:rPr>
          <w:rFonts w:ascii="Arial" w:eastAsia="Times New Roman" w:hAnsi="Arial" w:cs="Arial"/>
          <w:color w:val="000000" w:themeColor="text1"/>
          <w:lang w:eastAsia="en-GB"/>
        </w:rPr>
        <w:t>, 16, 276-286.</w:t>
      </w:r>
    </w:p>
    <w:p w:rsidR="00756C17" w:rsidRDefault="00756C17" w:rsidP="00756C17">
      <w:pPr>
        <w:pStyle w:val="NormalWeb"/>
        <w:shd w:val="clear" w:color="auto" w:fill="FFFFFF"/>
        <w:spacing w:before="0" w:beforeAutospacing="0" w:line="420" w:lineRule="atLeast"/>
        <w:rPr>
          <w:rFonts w:ascii="Arial" w:hAnsi="Arial" w:cs="Arial"/>
          <w:color w:val="000000" w:themeColor="text1"/>
        </w:rPr>
      </w:pPr>
      <w:proofErr w:type="spellStart"/>
      <w:r>
        <w:rPr>
          <w:rFonts w:ascii="Arial" w:hAnsi="Arial" w:cs="Arial"/>
          <w:color w:val="000000" w:themeColor="text1"/>
        </w:rPr>
        <w:t>Hornby</w:t>
      </w:r>
      <w:proofErr w:type="spellEnd"/>
      <w:r>
        <w:rPr>
          <w:rFonts w:ascii="Arial" w:hAnsi="Arial" w:cs="Arial"/>
          <w:color w:val="000000" w:themeColor="text1"/>
        </w:rPr>
        <w:t>, A., 1998. Oxford Advanced Learner’s Dictionary, Special Price Edition, China: Oxford University Press.</w:t>
      </w:r>
    </w:p>
    <w:p w:rsidR="00756C17" w:rsidRDefault="00756C17" w:rsidP="00756C17">
      <w:pPr>
        <w:pStyle w:val="NormalWeb"/>
        <w:shd w:val="clear" w:color="auto" w:fill="FFFFFF"/>
        <w:spacing w:before="0" w:beforeAutospacing="0" w:line="420" w:lineRule="atLeast"/>
        <w:rPr>
          <w:rFonts w:ascii="Arial" w:hAnsi="Arial" w:cs="Arial"/>
          <w:color w:val="000000" w:themeColor="text1"/>
        </w:rPr>
      </w:pPr>
      <w:proofErr w:type="gramStart"/>
      <w:r>
        <w:rPr>
          <w:rFonts w:ascii="Arial" w:hAnsi="Arial" w:cs="Arial"/>
          <w:color w:val="000000" w:themeColor="text1"/>
        </w:rPr>
        <w:t>HSBC.,</w:t>
      </w:r>
      <w:proofErr w:type="gramEnd"/>
      <w:r>
        <w:rPr>
          <w:rFonts w:ascii="Arial" w:hAnsi="Arial" w:cs="Arial"/>
          <w:color w:val="000000" w:themeColor="text1"/>
        </w:rPr>
        <w:t xml:space="preserve"> 2003.</w:t>
      </w:r>
      <w:r>
        <w:rPr>
          <w:rStyle w:val="Emphasis"/>
          <w:rFonts w:ascii="Arial" w:eastAsiaTheme="majorEastAsia" w:hAnsi="Arial" w:cs="Arial"/>
          <w:color w:val="000000" w:themeColor="text1"/>
        </w:rPr>
        <w:t>The Making of the Modern HSBC Group</w:t>
      </w:r>
      <w:r>
        <w:rPr>
          <w:rFonts w:ascii="Arial" w:hAnsi="Arial" w:cs="Arial"/>
          <w:color w:val="000000" w:themeColor="text1"/>
        </w:rPr>
        <w:t>, Web.</w:t>
      </w:r>
    </w:p>
    <w:p w:rsidR="00756C17" w:rsidRDefault="00756C17" w:rsidP="00756C17">
      <w:pPr>
        <w:pStyle w:val="NormalWeb"/>
        <w:shd w:val="clear" w:color="auto" w:fill="FFFFFF"/>
        <w:spacing w:before="0" w:beforeAutospacing="0" w:line="420" w:lineRule="atLeast"/>
        <w:rPr>
          <w:rFonts w:ascii="Arial" w:hAnsi="Arial" w:cs="Arial"/>
          <w:color w:val="000000" w:themeColor="text1"/>
        </w:rPr>
      </w:pPr>
      <w:proofErr w:type="gramStart"/>
      <w:r>
        <w:rPr>
          <w:rFonts w:ascii="Arial" w:hAnsi="Arial" w:cs="Arial"/>
          <w:color w:val="000000" w:themeColor="text1"/>
        </w:rPr>
        <w:t>Market Intelligence, 2003.</w:t>
      </w:r>
      <w:proofErr w:type="gramEnd"/>
      <w:r>
        <w:rPr>
          <w:rFonts w:ascii="Arial" w:hAnsi="Arial" w:cs="Arial"/>
          <w:color w:val="000000" w:themeColor="text1"/>
        </w:rPr>
        <w:t> </w:t>
      </w:r>
      <w:proofErr w:type="gramStart"/>
      <w:r>
        <w:rPr>
          <w:rStyle w:val="Emphasis"/>
          <w:rFonts w:ascii="Arial" w:eastAsiaTheme="majorEastAsia" w:hAnsi="Arial" w:cs="Arial"/>
          <w:color w:val="000000" w:themeColor="text1"/>
        </w:rPr>
        <w:t>The MI Banking Survey</w:t>
      </w:r>
      <w:r>
        <w:rPr>
          <w:rFonts w:ascii="Arial" w:hAnsi="Arial" w:cs="Arial"/>
          <w:color w:val="000000" w:themeColor="text1"/>
        </w:rPr>
        <w:t>.</w:t>
      </w:r>
      <w:proofErr w:type="gramEnd"/>
      <w:r>
        <w:rPr>
          <w:rFonts w:ascii="Arial" w:hAnsi="Arial" w:cs="Arial"/>
          <w:color w:val="000000" w:themeColor="text1"/>
        </w:rPr>
        <w:t xml:space="preserve"> </w:t>
      </w:r>
      <w:proofErr w:type="gramStart"/>
      <w:r>
        <w:rPr>
          <w:rFonts w:ascii="Arial" w:hAnsi="Arial" w:cs="Arial"/>
          <w:color w:val="000000" w:themeColor="text1"/>
        </w:rPr>
        <w:t>Web.</w:t>
      </w:r>
      <w:proofErr w:type="gramEnd"/>
    </w:p>
    <w:p w:rsidR="00756C17" w:rsidRDefault="00756C17" w:rsidP="00756C17">
      <w:pPr>
        <w:pStyle w:val="NormalWeb"/>
        <w:shd w:val="clear" w:color="auto" w:fill="FFFFFF"/>
        <w:spacing w:before="0" w:beforeAutospacing="0" w:line="420" w:lineRule="atLeast"/>
        <w:rPr>
          <w:rFonts w:ascii="Arial" w:hAnsi="Arial" w:cs="Arial"/>
          <w:color w:val="000000" w:themeColor="text1"/>
        </w:rPr>
      </w:pPr>
      <w:proofErr w:type="spellStart"/>
      <w:proofErr w:type="gramStart"/>
      <w:r>
        <w:rPr>
          <w:rFonts w:ascii="Arial" w:hAnsi="Arial" w:cs="Arial"/>
          <w:color w:val="000000" w:themeColor="text1"/>
        </w:rPr>
        <w:t>Zikmund</w:t>
      </w:r>
      <w:proofErr w:type="spellEnd"/>
      <w:r>
        <w:rPr>
          <w:rFonts w:ascii="Arial" w:hAnsi="Arial" w:cs="Arial"/>
          <w:color w:val="000000" w:themeColor="text1"/>
        </w:rPr>
        <w:t>, W., 2003.</w:t>
      </w:r>
      <w:proofErr w:type="gramEnd"/>
      <w:r>
        <w:rPr>
          <w:rFonts w:ascii="Arial" w:hAnsi="Arial" w:cs="Arial"/>
          <w:color w:val="000000" w:themeColor="text1"/>
        </w:rPr>
        <w:t xml:space="preserve"> </w:t>
      </w:r>
      <w:proofErr w:type="gramStart"/>
      <w:r>
        <w:rPr>
          <w:rFonts w:ascii="Arial" w:hAnsi="Arial" w:cs="Arial"/>
          <w:color w:val="000000" w:themeColor="text1"/>
        </w:rPr>
        <w:t>Exploring Marketing Research.</w:t>
      </w:r>
      <w:proofErr w:type="gramEnd"/>
      <w:r>
        <w:rPr>
          <w:rFonts w:ascii="Arial" w:hAnsi="Arial" w:cs="Arial"/>
          <w:color w:val="000000" w:themeColor="text1"/>
        </w:rPr>
        <w:t xml:space="preserve"> Ohio: Thomson South-Western.</w:t>
      </w:r>
    </w:p>
    <w:p w:rsidR="00756C17" w:rsidRDefault="00756C17" w:rsidP="00756C17">
      <w:pPr>
        <w:pStyle w:val="NormalWeb"/>
        <w:shd w:val="clear" w:color="auto" w:fill="FFFFFF"/>
        <w:spacing w:before="0" w:beforeAutospacing="0" w:line="420" w:lineRule="atLeast"/>
        <w:rPr>
          <w:rFonts w:ascii="Arial" w:hAnsi="Arial" w:cs="Arial"/>
          <w:color w:val="1F2024"/>
        </w:rPr>
      </w:pPr>
    </w:p>
    <w:p w:rsidR="00756C17" w:rsidRDefault="00756C17" w:rsidP="00756C17"/>
    <w:p w:rsidR="00756C17" w:rsidRDefault="00756C17" w:rsidP="00756C17"/>
    <w:p w:rsidR="00756C17" w:rsidRDefault="00756C17" w:rsidP="00756C17"/>
    <w:p w:rsidR="00756C17" w:rsidRDefault="00756C17" w:rsidP="00756C17"/>
    <w:p w:rsidR="002E1EEA" w:rsidRDefault="002E1EEA"/>
    <w:sectPr w:rsidR="002E1EEA" w:rsidSect="00756C17">
      <w:pgSz w:w="11906" w:h="16838"/>
      <w:pgMar w:top="99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256876"/>
    <w:multiLevelType w:val="multilevel"/>
    <w:tmpl w:val="6FEE5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DF14E8D"/>
    <w:multiLevelType w:val="multilevel"/>
    <w:tmpl w:val="786E7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3164696"/>
    <w:multiLevelType w:val="multilevel"/>
    <w:tmpl w:val="655E4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48E03CE"/>
    <w:multiLevelType w:val="multilevel"/>
    <w:tmpl w:val="6FA68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92949E6"/>
    <w:multiLevelType w:val="hybridMultilevel"/>
    <w:tmpl w:val="EB5CEF26"/>
    <w:lvl w:ilvl="0" w:tplc="25A2307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98C2525"/>
    <w:multiLevelType w:val="multilevel"/>
    <w:tmpl w:val="49406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FFF0974"/>
    <w:multiLevelType w:val="multilevel"/>
    <w:tmpl w:val="D3D415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83D3276"/>
    <w:multiLevelType w:val="multilevel"/>
    <w:tmpl w:val="48404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3D482C53"/>
    <w:multiLevelType w:val="multilevel"/>
    <w:tmpl w:val="5C1AB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4355684D"/>
    <w:multiLevelType w:val="multilevel"/>
    <w:tmpl w:val="19341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477C1282"/>
    <w:multiLevelType w:val="multilevel"/>
    <w:tmpl w:val="5B9AA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492E3639"/>
    <w:multiLevelType w:val="multilevel"/>
    <w:tmpl w:val="AAE0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499A53F5"/>
    <w:multiLevelType w:val="hybridMultilevel"/>
    <w:tmpl w:val="4342915E"/>
    <w:lvl w:ilvl="0" w:tplc="5CB0513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A0C6924"/>
    <w:multiLevelType w:val="multilevel"/>
    <w:tmpl w:val="C1D6A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62582610"/>
    <w:multiLevelType w:val="multilevel"/>
    <w:tmpl w:val="D8E09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66F22AA2"/>
    <w:multiLevelType w:val="multilevel"/>
    <w:tmpl w:val="A2307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DEB6829"/>
    <w:multiLevelType w:val="multilevel"/>
    <w:tmpl w:val="71AEA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5"/>
  </w:num>
  <w:num w:numId="2">
    <w:abstractNumId w:val="6"/>
  </w:num>
  <w:num w:numId="3">
    <w:abstractNumId w:val="9"/>
  </w:num>
  <w:num w:numId="4">
    <w:abstractNumId w:val="3"/>
  </w:num>
  <w:num w:numId="5">
    <w:abstractNumId w:val="2"/>
  </w:num>
  <w:num w:numId="6">
    <w:abstractNumId w:val="1"/>
  </w:num>
  <w:num w:numId="7">
    <w:abstractNumId w:val="5"/>
  </w:num>
  <w:num w:numId="8">
    <w:abstractNumId w:val="10"/>
  </w:num>
  <w:num w:numId="9">
    <w:abstractNumId w:val="0"/>
  </w:num>
  <w:num w:numId="10">
    <w:abstractNumId w:val="14"/>
  </w:num>
  <w:num w:numId="11">
    <w:abstractNumId w:val="13"/>
  </w:num>
  <w:num w:numId="12">
    <w:abstractNumId w:val="7"/>
  </w:num>
  <w:num w:numId="13">
    <w:abstractNumId w:val="11"/>
  </w:num>
  <w:num w:numId="14">
    <w:abstractNumId w:val="8"/>
  </w:num>
  <w:num w:numId="15">
    <w:abstractNumId w:val="16"/>
  </w:num>
  <w:num w:numId="16">
    <w:abstractNumId w:val="4"/>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56C17"/>
    <w:rsid w:val="002E1EEA"/>
    <w:rsid w:val="00756C1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6C17"/>
    <w:pPr>
      <w:spacing w:after="0" w:line="240" w:lineRule="auto"/>
    </w:pPr>
    <w:rPr>
      <w:sz w:val="24"/>
      <w:szCs w:val="24"/>
      <w:lang w:val="en-GB"/>
    </w:rPr>
  </w:style>
  <w:style w:type="paragraph" w:styleId="Heading1">
    <w:name w:val="heading 1"/>
    <w:basedOn w:val="Normal"/>
    <w:next w:val="Normal"/>
    <w:link w:val="Heading1Char"/>
    <w:uiPriority w:val="9"/>
    <w:qFormat/>
    <w:rsid w:val="00756C17"/>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756C17"/>
    <w:rPr>
      <w:rFonts w:asciiTheme="majorHAnsi" w:eastAsiaTheme="majorEastAsia" w:hAnsiTheme="majorHAnsi" w:cstheme="majorBidi"/>
      <w:color w:val="365F91" w:themeColor="accent1" w:themeShade="BF"/>
      <w:sz w:val="32"/>
      <w:szCs w:val="32"/>
      <w:lang w:val="en-GB"/>
    </w:rPr>
  </w:style>
  <w:style w:type="character" w:styleId="Emphasis">
    <w:name w:val="Emphasis"/>
    <w:basedOn w:val="DefaultParagraphFont"/>
    <w:uiPriority w:val="20"/>
    <w:qFormat/>
    <w:rsid w:val="00756C17"/>
    <w:rPr>
      <w:i/>
      <w:iCs/>
    </w:rPr>
  </w:style>
  <w:style w:type="character" w:styleId="Hyperlink">
    <w:name w:val="Hyperlink"/>
    <w:basedOn w:val="DefaultParagraphFont"/>
    <w:uiPriority w:val="99"/>
    <w:unhideWhenUsed/>
    <w:qFormat/>
    <w:rsid w:val="00756C17"/>
    <w:rPr>
      <w:color w:val="0000FF" w:themeColor="hyperlink"/>
      <w:u w:val="single"/>
    </w:rPr>
  </w:style>
  <w:style w:type="paragraph" w:styleId="NormalWeb">
    <w:name w:val="Normal (Web)"/>
    <w:basedOn w:val="Normal"/>
    <w:uiPriority w:val="99"/>
    <w:unhideWhenUsed/>
    <w:qFormat/>
    <w:rsid w:val="00756C17"/>
    <w:pPr>
      <w:spacing w:before="100" w:beforeAutospacing="1" w:after="100" w:afterAutospacing="1"/>
    </w:pPr>
    <w:rPr>
      <w:rFonts w:ascii="Times New Roman" w:eastAsia="Times New Roman" w:hAnsi="Times New Roman" w:cs="Times New Roman"/>
      <w:lang w:eastAsia="en-GB"/>
    </w:rPr>
  </w:style>
  <w:style w:type="paragraph" w:styleId="TOC1">
    <w:name w:val="toc 1"/>
    <w:basedOn w:val="Normal"/>
    <w:next w:val="Normal"/>
    <w:uiPriority w:val="39"/>
    <w:unhideWhenUsed/>
    <w:qFormat/>
    <w:rsid w:val="00756C17"/>
    <w:pPr>
      <w:spacing w:before="120"/>
    </w:pPr>
    <w:rPr>
      <w:rFonts w:cstheme="minorHAnsi"/>
      <w:b/>
      <w:bCs/>
      <w:i/>
      <w:iCs/>
    </w:rPr>
  </w:style>
  <w:style w:type="paragraph" w:styleId="ListParagraph">
    <w:name w:val="List Paragraph"/>
    <w:basedOn w:val="Normal"/>
    <w:uiPriority w:val="34"/>
    <w:qFormat/>
    <w:rsid w:val="00756C17"/>
    <w:pPr>
      <w:ind w:left="720"/>
      <w:contextualSpacing/>
    </w:pPr>
  </w:style>
  <w:style w:type="paragraph" w:customStyle="1" w:styleId="TOCHeading1">
    <w:name w:val="TOC Heading1"/>
    <w:basedOn w:val="Heading1"/>
    <w:next w:val="Normal"/>
    <w:uiPriority w:val="39"/>
    <w:unhideWhenUsed/>
    <w:qFormat/>
    <w:rsid w:val="00756C17"/>
    <w:pPr>
      <w:spacing w:before="480" w:line="276" w:lineRule="auto"/>
      <w:outlineLvl w:val="9"/>
    </w:pPr>
    <w:rPr>
      <w:b/>
      <w:bCs/>
      <w:sz w:val="28"/>
      <w:szCs w:val="28"/>
      <w:lang w:val="en-US"/>
    </w:rPr>
  </w:style>
  <w:style w:type="paragraph" w:styleId="BalloonText">
    <w:name w:val="Balloon Text"/>
    <w:basedOn w:val="Normal"/>
    <w:link w:val="BalloonTextChar"/>
    <w:uiPriority w:val="99"/>
    <w:semiHidden/>
    <w:unhideWhenUsed/>
    <w:rsid w:val="00756C17"/>
    <w:rPr>
      <w:rFonts w:ascii="Tahoma" w:hAnsi="Tahoma" w:cs="Tahoma"/>
      <w:sz w:val="16"/>
      <w:szCs w:val="16"/>
    </w:rPr>
  </w:style>
  <w:style w:type="character" w:customStyle="1" w:styleId="BalloonTextChar">
    <w:name w:val="Balloon Text Char"/>
    <w:basedOn w:val="DefaultParagraphFont"/>
    <w:link w:val="BalloonText"/>
    <w:uiPriority w:val="99"/>
    <w:semiHidden/>
    <w:rsid w:val="00756C17"/>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hsbc.com/who-we-are/leadership-and-governance/board-of-director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4423</Words>
  <Characters>25213</Characters>
  <Application>Microsoft Office Word</Application>
  <DocSecurity>0</DocSecurity>
  <Lines>210</Lines>
  <Paragraphs>59</Paragraphs>
  <ScaleCrop>false</ScaleCrop>
  <Company/>
  <LinksUpToDate>false</LinksUpToDate>
  <CharactersWithSpaces>29577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dc:creator>
  <cp:keywords/>
  <dc:description/>
  <cp:lastModifiedBy>Lucas</cp:lastModifiedBy>
  <cp:revision>2</cp:revision>
  <dcterms:created xsi:type="dcterms:W3CDTF">2023-12-16T14:53:00Z</dcterms:created>
  <dcterms:modified xsi:type="dcterms:W3CDTF">2023-12-16T14:55:00Z</dcterms:modified>
</cp:coreProperties>
</file>