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2288C" w:rsidRDefault="00E66B5D">
      <w:pPr>
        <w:spacing w:after="0" w:line="240" w:lineRule="auto"/>
        <w:ind w:left="-180" w:right="-334"/>
      </w:pPr>
      <w:r>
        <w:rPr>
          <w:rFonts w:ascii="Georgia" w:eastAsia="SimSun" w:hAnsi="Georgia" w:cs="Times New Roman"/>
          <w:noProof/>
          <w:color w:val="000000"/>
          <w:sz w:val="21"/>
          <w:szCs w:val="21"/>
          <w:lang w:eastAsia="zh-CN"/>
        </w:rPr>
        <w:drawing>
          <wp:inline distT="0" distB="0" distL="0" distR="0">
            <wp:extent cx="2876546" cy="1047746"/>
            <wp:effectExtent l="19050" t="19050" r="19054" b="19054"/>
            <wp:docPr id="1" name="Picture 2" descr="TSD_logo2010"/>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2876546" cy="1047746"/>
                    </a:xfrm>
                    <a:prstGeom prst="rect">
                      <a:avLst/>
                    </a:prstGeom>
                    <a:noFill/>
                    <a:ln w="19046">
                      <a:solidFill>
                        <a:srgbClr val="000000"/>
                      </a:solidFill>
                      <a:prstDash val="solid"/>
                    </a:ln>
                  </pic:spPr>
                </pic:pic>
              </a:graphicData>
            </a:graphic>
          </wp:inline>
        </w:drawing>
      </w:r>
    </w:p>
    <w:p w:rsidR="0032288C" w:rsidRDefault="00E66B5D">
      <w:pPr>
        <w:keepNext/>
        <w:spacing w:before="240" w:after="60" w:line="240" w:lineRule="auto"/>
        <w:jc w:val="center"/>
        <w:outlineLvl w:val="0"/>
        <w:rPr>
          <w:rFonts w:ascii="Arial" w:eastAsia="SimSun" w:hAnsi="Arial"/>
          <w:b/>
          <w:bCs/>
          <w:kern w:val="3"/>
          <w:sz w:val="32"/>
          <w:szCs w:val="32"/>
          <w:lang w:val="cy-GB" w:eastAsia="zh-CN"/>
        </w:rPr>
      </w:pPr>
      <w:r>
        <w:rPr>
          <w:rFonts w:ascii="Arial" w:eastAsia="SimSun" w:hAnsi="Arial"/>
          <w:b/>
          <w:bCs/>
          <w:kern w:val="3"/>
          <w:sz w:val="32"/>
          <w:szCs w:val="32"/>
          <w:lang w:val="cy-GB" w:eastAsia="zh-CN"/>
        </w:rPr>
        <w:t>Undergraduate assignment feedback form</w:t>
      </w:r>
    </w:p>
    <w:p w:rsidR="0032288C" w:rsidRDefault="00E66B5D">
      <w:pPr>
        <w:spacing w:after="0" w:line="240" w:lineRule="auto"/>
        <w:jc w:val="center"/>
        <w:rPr>
          <w:rFonts w:ascii="Arial" w:eastAsia="SimSun" w:hAnsi="Arial"/>
          <w:b/>
          <w:sz w:val="24"/>
          <w:szCs w:val="24"/>
          <w:lang w:val="cy-GB" w:eastAsia="zh-CN"/>
        </w:rPr>
      </w:pPr>
      <w:r>
        <w:rPr>
          <w:rFonts w:ascii="Arial" w:eastAsia="SimSun" w:hAnsi="Arial"/>
          <w:b/>
          <w:sz w:val="24"/>
          <w:szCs w:val="24"/>
          <w:lang w:val="cy-GB" w:eastAsia="zh-CN"/>
        </w:rPr>
        <w:t>(to be completed by marker)</w:t>
      </w:r>
    </w:p>
    <w:p w:rsidR="0032288C" w:rsidRDefault="0032288C">
      <w:pPr>
        <w:spacing w:after="0" w:line="240" w:lineRule="auto"/>
        <w:jc w:val="center"/>
        <w:rPr>
          <w:rFonts w:ascii="Arial" w:eastAsia="SimSun" w:hAnsi="Arial"/>
          <w:b/>
          <w:sz w:val="24"/>
          <w:szCs w:val="24"/>
          <w:lang w:val="cy-GB" w:eastAsia="zh-CN"/>
        </w:rPr>
      </w:pPr>
    </w:p>
    <w:p w:rsidR="0032288C" w:rsidRDefault="0032288C">
      <w:pPr>
        <w:keepNext/>
        <w:spacing w:after="0" w:line="240" w:lineRule="auto"/>
        <w:ind w:left="720"/>
        <w:jc w:val="both"/>
        <w:outlineLvl w:val="2"/>
        <w:rPr>
          <w:rFonts w:ascii="Trebuchet MS" w:eastAsia="SimSun" w:hAnsi="Trebuchet MS" w:cs="Tahoma"/>
          <w:b/>
          <w:bCs/>
          <w:sz w:val="20"/>
          <w:szCs w:val="20"/>
          <w:lang w:eastAsia="zh-CN"/>
        </w:rPr>
      </w:pPr>
    </w:p>
    <w:tbl>
      <w:tblPr>
        <w:tblW w:w="8755" w:type="dxa"/>
        <w:tblCellMar>
          <w:left w:w="10" w:type="dxa"/>
          <w:right w:w="10" w:type="dxa"/>
        </w:tblCellMar>
        <w:tblLook w:val="0000" w:firstRow="0" w:lastRow="0" w:firstColumn="0" w:lastColumn="0" w:noHBand="0" w:noVBand="0"/>
      </w:tblPr>
      <w:tblGrid>
        <w:gridCol w:w="4788"/>
        <w:gridCol w:w="1980"/>
        <w:gridCol w:w="1987"/>
      </w:tblGrid>
      <w:tr w:rsidR="0032288C">
        <w:trPr>
          <w:trHeight w:val="718"/>
        </w:trPr>
        <w:tc>
          <w:tcPr>
            <w:tcW w:w="8755" w:type="dxa"/>
            <w:gridSpan w:val="3"/>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rsidR="0032288C" w:rsidRDefault="00E66B5D">
            <w:pPr>
              <w:spacing w:after="0" w:line="240" w:lineRule="auto"/>
              <w:ind w:right="34"/>
              <w:rPr>
                <w:rFonts w:eastAsia="SimSun" w:cs="Tahoma"/>
                <w:i/>
                <w:color w:val="000000"/>
                <w:sz w:val="24"/>
                <w:szCs w:val="24"/>
                <w:lang w:eastAsia="zh-CN"/>
              </w:rPr>
            </w:pPr>
            <w:r>
              <w:rPr>
                <w:rFonts w:eastAsia="SimSun" w:cs="Tahoma"/>
                <w:i/>
                <w:color w:val="000000"/>
                <w:sz w:val="24"/>
                <w:szCs w:val="24"/>
                <w:lang w:eastAsia="zh-CN"/>
              </w:rPr>
              <w:t>Student Name: Henry Gillson - Gant</w:t>
            </w:r>
          </w:p>
          <w:p w:rsidR="0032288C" w:rsidRDefault="0032288C">
            <w:pPr>
              <w:spacing w:after="0" w:line="240" w:lineRule="auto"/>
              <w:ind w:right="34"/>
              <w:rPr>
                <w:rFonts w:eastAsia="SimSun" w:cs="Tahoma"/>
                <w:i/>
                <w:color w:val="000000"/>
                <w:sz w:val="24"/>
                <w:szCs w:val="24"/>
                <w:lang w:eastAsia="zh-CN"/>
              </w:rPr>
            </w:pPr>
          </w:p>
        </w:tc>
      </w:tr>
      <w:tr w:rsidR="0032288C">
        <w:trPr>
          <w:trHeight w:val="849"/>
        </w:trPr>
        <w:tc>
          <w:tcPr>
            <w:tcW w:w="478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rsidR="0032288C" w:rsidRDefault="00E66B5D">
            <w:pPr>
              <w:spacing w:after="0" w:line="240" w:lineRule="auto"/>
              <w:ind w:right="34"/>
              <w:rPr>
                <w:rFonts w:eastAsia="SimSun" w:cs="Tahoma"/>
                <w:i/>
                <w:color w:val="000000"/>
                <w:sz w:val="24"/>
                <w:szCs w:val="24"/>
                <w:lang w:eastAsia="zh-CN"/>
              </w:rPr>
            </w:pPr>
            <w:r>
              <w:rPr>
                <w:rFonts w:eastAsia="SimSun" w:cs="Tahoma"/>
                <w:i/>
                <w:color w:val="000000"/>
                <w:sz w:val="24"/>
                <w:szCs w:val="24"/>
                <w:lang w:eastAsia="zh-CN"/>
              </w:rPr>
              <w:t>Module Code: (HPHI6014)</w:t>
            </w:r>
          </w:p>
          <w:p w:rsidR="0032288C" w:rsidRDefault="0032288C">
            <w:pPr>
              <w:spacing w:after="0" w:line="240" w:lineRule="auto"/>
              <w:ind w:right="34"/>
              <w:rPr>
                <w:rFonts w:eastAsia="SimSun" w:cs="Tahoma"/>
                <w:i/>
                <w:color w:val="000000"/>
                <w:sz w:val="24"/>
                <w:szCs w:val="24"/>
                <w:lang w:eastAsia="zh-CN"/>
              </w:rPr>
            </w:pPr>
          </w:p>
          <w:p w:rsidR="0032288C" w:rsidRDefault="00E66B5D">
            <w:pPr>
              <w:spacing w:after="0" w:line="240" w:lineRule="auto"/>
              <w:ind w:right="34"/>
              <w:rPr>
                <w:rFonts w:eastAsia="SimSun" w:cs="Tahoma"/>
                <w:i/>
                <w:color w:val="000000"/>
                <w:sz w:val="24"/>
                <w:szCs w:val="24"/>
                <w:lang w:eastAsia="zh-CN"/>
              </w:rPr>
            </w:pPr>
            <w:r>
              <w:rPr>
                <w:rFonts w:eastAsia="SimSun" w:cs="Tahoma"/>
                <w:i/>
                <w:color w:val="000000"/>
                <w:sz w:val="24"/>
                <w:szCs w:val="24"/>
                <w:lang w:eastAsia="zh-CN"/>
              </w:rPr>
              <w:t>Module title: Standing on the shoulders of Giants' – Understanding the Enlightenment</w:t>
            </w:r>
          </w:p>
          <w:p w:rsidR="0032288C" w:rsidRDefault="0032288C">
            <w:pPr>
              <w:spacing w:after="0" w:line="240" w:lineRule="auto"/>
              <w:ind w:right="34"/>
              <w:rPr>
                <w:rFonts w:eastAsia="SimSun" w:cs="Tahoma"/>
                <w:i/>
                <w:color w:val="000000"/>
                <w:sz w:val="24"/>
                <w:szCs w:val="24"/>
                <w:lang w:eastAsia="zh-CN"/>
              </w:rPr>
            </w:pPr>
          </w:p>
        </w:tc>
        <w:tc>
          <w:tcPr>
            <w:tcW w:w="3967" w:type="dxa"/>
            <w:gridSpan w:val="2"/>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32288C" w:rsidRDefault="00E66B5D">
            <w:pPr>
              <w:spacing w:after="0" w:line="240" w:lineRule="auto"/>
              <w:ind w:right="34"/>
              <w:rPr>
                <w:rFonts w:eastAsia="SimSun" w:cs="Tahoma"/>
                <w:i/>
                <w:color w:val="000000"/>
                <w:sz w:val="24"/>
                <w:szCs w:val="24"/>
                <w:lang w:eastAsia="zh-CN"/>
              </w:rPr>
            </w:pPr>
            <w:r>
              <w:rPr>
                <w:rFonts w:eastAsia="SimSun" w:cs="Tahoma"/>
                <w:i/>
                <w:color w:val="000000"/>
                <w:sz w:val="24"/>
                <w:szCs w:val="24"/>
                <w:lang w:eastAsia="zh-CN"/>
              </w:rPr>
              <w:t>Student number: 1600129</w:t>
            </w:r>
          </w:p>
        </w:tc>
      </w:tr>
      <w:tr w:rsidR="0032288C">
        <w:trPr>
          <w:trHeight w:val="3972"/>
        </w:trPr>
        <w:tc>
          <w:tcPr>
            <w:tcW w:w="8755" w:type="dxa"/>
            <w:gridSpan w:val="3"/>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32288C" w:rsidRDefault="00E66B5D">
            <w:pPr>
              <w:spacing w:after="0" w:line="240" w:lineRule="auto"/>
              <w:rPr>
                <w:rFonts w:eastAsia="SimSun" w:cs="Tahoma"/>
                <w:i/>
                <w:color w:val="000000"/>
                <w:sz w:val="24"/>
                <w:szCs w:val="24"/>
                <w:lang w:eastAsia="zh-CN"/>
              </w:rPr>
            </w:pPr>
            <w:r>
              <w:rPr>
                <w:rFonts w:eastAsia="SimSun" w:cs="Tahoma"/>
                <w:i/>
                <w:color w:val="000000"/>
                <w:sz w:val="24"/>
                <w:szCs w:val="24"/>
                <w:lang w:eastAsia="zh-CN"/>
              </w:rPr>
              <w:t>For completion by marker:</w:t>
            </w:r>
          </w:p>
          <w:p w:rsidR="0032288C" w:rsidRDefault="00E66B5D">
            <w:pPr>
              <w:spacing w:before="100" w:after="100" w:line="240" w:lineRule="auto"/>
              <w:rPr>
                <w:rFonts w:eastAsia="SimSun" w:cs="Tahoma"/>
                <w:i/>
                <w:color w:val="000000"/>
                <w:sz w:val="24"/>
                <w:szCs w:val="24"/>
                <w:lang w:eastAsia="zh-CN"/>
              </w:rPr>
            </w:pPr>
            <w:r>
              <w:rPr>
                <w:rFonts w:eastAsia="SimSun" w:cs="Tahoma"/>
                <w:i/>
                <w:color w:val="000000"/>
                <w:sz w:val="24"/>
                <w:szCs w:val="24"/>
                <w:lang w:eastAsia="zh-CN"/>
              </w:rPr>
              <w:t>Comments:</w:t>
            </w:r>
          </w:p>
          <w:p w:rsidR="0032288C" w:rsidRDefault="00E66B5D">
            <w:pPr>
              <w:spacing w:before="100" w:after="100" w:line="240" w:lineRule="auto"/>
              <w:rPr>
                <w:rFonts w:eastAsia="SimSun" w:cs="Tahoma"/>
                <w:i/>
                <w:color w:val="000000"/>
                <w:sz w:val="24"/>
                <w:szCs w:val="24"/>
                <w:lang w:eastAsia="zh-CN"/>
              </w:rPr>
            </w:pPr>
            <w:r>
              <w:rPr>
                <w:rFonts w:eastAsia="SimSun" w:cs="Tahoma"/>
                <w:i/>
                <w:color w:val="000000"/>
                <w:sz w:val="24"/>
                <w:szCs w:val="24"/>
                <w:lang w:eastAsia="zh-CN"/>
              </w:rPr>
              <w:t>Word count: 2667</w:t>
            </w:r>
          </w:p>
          <w:p w:rsidR="0032288C" w:rsidRDefault="0032288C">
            <w:pPr>
              <w:spacing w:before="100" w:after="100" w:line="240" w:lineRule="auto"/>
              <w:rPr>
                <w:rFonts w:eastAsia="SimSun" w:cs="Tahoma"/>
                <w:i/>
                <w:color w:val="000000"/>
                <w:sz w:val="24"/>
                <w:szCs w:val="24"/>
                <w:lang w:eastAsia="zh-CN"/>
              </w:rPr>
            </w:pPr>
          </w:p>
          <w:p w:rsidR="0032288C" w:rsidRDefault="0032288C">
            <w:pPr>
              <w:spacing w:before="100" w:after="100" w:line="240" w:lineRule="auto"/>
              <w:rPr>
                <w:rFonts w:eastAsia="SimSun" w:cs="Tahoma"/>
                <w:i/>
                <w:color w:val="000000"/>
                <w:sz w:val="24"/>
                <w:szCs w:val="24"/>
                <w:lang w:eastAsia="zh-CN"/>
              </w:rPr>
            </w:pPr>
          </w:p>
          <w:p w:rsidR="0032288C" w:rsidRDefault="0032288C">
            <w:pPr>
              <w:spacing w:before="100" w:after="100" w:line="240" w:lineRule="auto"/>
              <w:rPr>
                <w:rFonts w:eastAsia="SimSun" w:cs="Tahoma"/>
                <w:i/>
                <w:color w:val="000000"/>
                <w:sz w:val="24"/>
                <w:szCs w:val="24"/>
                <w:lang w:eastAsia="zh-CN"/>
              </w:rPr>
            </w:pPr>
          </w:p>
          <w:p w:rsidR="0032288C" w:rsidRDefault="0032288C">
            <w:pPr>
              <w:spacing w:before="100" w:after="100" w:line="240" w:lineRule="auto"/>
              <w:rPr>
                <w:rFonts w:eastAsia="SimSun" w:cs="Tahoma"/>
                <w:i/>
                <w:color w:val="000000"/>
                <w:sz w:val="24"/>
                <w:szCs w:val="24"/>
                <w:lang w:eastAsia="zh-CN"/>
              </w:rPr>
            </w:pPr>
          </w:p>
          <w:p w:rsidR="0032288C" w:rsidRDefault="0032288C">
            <w:pPr>
              <w:spacing w:before="100" w:after="100" w:line="240" w:lineRule="auto"/>
              <w:rPr>
                <w:rFonts w:eastAsia="SimSun" w:cs="Tahoma"/>
                <w:i/>
                <w:color w:val="000000"/>
                <w:sz w:val="24"/>
                <w:szCs w:val="24"/>
                <w:lang w:eastAsia="zh-CN"/>
              </w:rPr>
            </w:pPr>
          </w:p>
          <w:p w:rsidR="0032288C" w:rsidRDefault="0032288C">
            <w:pPr>
              <w:spacing w:before="100" w:after="100" w:line="240" w:lineRule="auto"/>
              <w:rPr>
                <w:rFonts w:eastAsia="SimSun" w:cs="Tahoma"/>
                <w:i/>
                <w:color w:val="000000"/>
                <w:sz w:val="24"/>
                <w:szCs w:val="24"/>
                <w:lang w:eastAsia="zh-CN"/>
              </w:rPr>
            </w:pPr>
          </w:p>
          <w:p w:rsidR="0032288C" w:rsidRDefault="0032288C">
            <w:pPr>
              <w:spacing w:before="100" w:after="100" w:line="240" w:lineRule="auto"/>
              <w:rPr>
                <w:rFonts w:eastAsia="SimSun" w:cs="Tahoma"/>
                <w:i/>
                <w:color w:val="000000"/>
                <w:sz w:val="24"/>
                <w:szCs w:val="24"/>
                <w:lang w:eastAsia="zh-CN"/>
              </w:rPr>
            </w:pPr>
          </w:p>
          <w:p w:rsidR="0032288C" w:rsidRDefault="0032288C">
            <w:pPr>
              <w:spacing w:before="100" w:after="100" w:line="240" w:lineRule="auto"/>
              <w:rPr>
                <w:rFonts w:eastAsia="SimSun" w:cs="Tahoma"/>
                <w:i/>
                <w:color w:val="000000"/>
                <w:sz w:val="24"/>
                <w:szCs w:val="24"/>
                <w:lang w:eastAsia="zh-CN"/>
              </w:rPr>
            </w:pPr>
          </w:p>
          <w:p w:rsidR="0032288C" w:rsidRDefault="0032288C">
            <w:pPr>
              <w:spacing w:before="100" w:after="100" w:line="240" w:lineRule="auto"/>
              <w:rPr>
                <w:rFonts w:eastAsia="SimSun" w:cs="Tahoma"/>
                <w:i/>
                <w:color w:val="000000"/>
                <w:sz w:val="24"/>
                <w:szCs w:val="24"/>
                <w:lang w:eastAsia="zh-CN"/>
              </w:rPr>
            </w:pPr>
          </w:p>
          <w:p w:rsidR="0032288C" w:rsidRDefault="0032288C">
            <w:pPr>
              <w:spacing w:before="100" w:after="100" w:line="240" w:lineRule="auto"/>
              <w:rPr>
                <w:rFonts w:eastAsia="SimSun" w:cs="Tahoma"/>
                <w:i/>
                <w:color w:val="000000"/>
                <w:sz w:val="24"/>
                <w:szCs w:val="24"/>
                <w:lang w:eastAsia="zh-CN"/>
              </w:rPr>
            </w:pPr>
          </w:p>
        </w:tc>
      </w:tr>
      <w:tr w:rsidR="0032288C">
        <w:trPr>
          <w:trHeight w:val="492"/>
        </w:trPr>
        <w:tc>
          <w:tcPr>
            <w:tcW w:w="6768" w:type="dxa"/>
            <w:gridSpan w:val="2"/>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rsidR="0032288C" w:rsidRDefault="00E66B5D">
            <w:pPr>
              <w:spacing w:before="100" w:after="100" w:line="240" w:lineRule="auto"/>
              <w:ind w:left="142" w:right="34"/>
              <w:rPr>
                <w:rFonts w:eastAsia="SimSun" w:cs="Tahoma"/>
                <w:i/>
                <w:color w:val="000000"/>
                <w:sz w:val="24"/>
                <w:szCs w:val="24"/>
                <w:lang w:eastAsia="zh-CN"/>
              </w:rPr>
            </w:pPr>
            <w:r>
              <w:rPr>
                <w:rFonts w:eastAsia="SimSun" w:cs="Tahoma"/>
                <w:i/>
                <w:color w:val="000000"/>
                <w:sz w:val="24"/>
                <w:szCs w:val="24"/>
                <w:lang w:eastAsia="zh-CN"/>
              </w:rPr>
              <w:t>Marker’s signature:</w:t>
            </w:r>
          </w:p>
        </w:tc>
        <w:tc>
          <w:tcPr>
            <w:tcW w:w="198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rsidR="0032288C" w:rsidRDefault="00E66B5D">
            <w:pPr>
              <w:spacing w:before="100" w:after="0" w:line="240" w:lineRule="auto"/>
              <w:ind w:left="142" w:right="34"/>
              <w:rPr>
                <w:rFonts w:eastAsia="SimSun" w:cs="Tahoma"/>
                <w:i/>
                <w:color w:val="000000"/>
                <w:sz w:val="24"/>
                <w:szCs w:val="24"/>
                <w:lang w:eastAsia="zh-CN"/>
              </w:rPr>
            </w:pPr>
            <w:r>
              <w:rPr>
                <w:rFonts w:eastAsia="SimSun" w:cs="Tahoma"/>
                <w:i/>
                <w:color w:val="000000"/>
                <w:sz w:val="24"/>
                <w:szCs w:val="24"/>
                <w:lang w:eastAsia="zh-CN"/>
              </w:rPr>
              <w:t>Date:</w:t>
            </w:r>
          </w:p>
        </w:tc>
      </w:tr>
      <w:tr w:rsidR="0032288C">
        <w:tc>
          <w:tcPr>
            <w:tcW w:w="8755" w:type="dxa"/>
            <w:gridSpan w:val="3"/>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rsidR="0032288C" w:rsidRDefault="00E66B5D">
            <w:pPr>
              <w:spacing w:after="0" w:line="240" w:lineRule="auto"/>
              <w:ind w:left="142" w:right="34"/>
              <w:rPr>
                <w:rFonts w:eastAsia="SimSun" w:cs="Tahoma"/>
                <w:i/>
                <w:color w:val="000000"/>
                <w:sz w:val="24"/>
                <w:szCs w:val="24"/>
                <w:lang w:eastAsia="zh-CN"/>
              </w:rPr>
            </w:pPr>
            <w:r>
              <w:rPr>
                <w:rFonts w:eastAsia="SimSun" w:cs="Tahoma"/>
                <w:i/>
                <w:color w:val="000000"/>
                <w:sz w:val="24"/>
                <w:szCs w:val="24"/>
                <w:lang w:eastAsia="zh-CN"/>
              </w:rPr>
              <w:t xml:space="preserve">Provisional mark: </w:t>
            </w:r>
          </w:p>
          <w:p w:rsidR="0032288C" w:rsidRDefault="00E66B5D">
            <w:pPr>
              <w:spacing w:after="0" w:line="240" w:lineRule="auto"/>
              <w:ind w:left="142" w:right="34"/>
            </w:pPr>
            <w:r>
              <w:rPr>
                <w:rFonts w:eastAsia="SimSun" w:cs="Tahoma"/>
                <w:b/>
                <w:i/>
                <w:color w:val="000000"/>
                <w:sz w:val="24"/>
                <w:szCs w:val="24"/>
                <w:lang w:eastAsia="zh-CN"/>
              </w:rPr>
              <w:t>NB.</w:t>
            </w:r>
            <w:r>
              <w:rPr>
                <w:rFonts w:eastAsia="SimSun" w:cs="Tahoma"/>
                <w:i/>
                <w:color w:val="000000"/>
                <w:sz w:val="24"/>
                <w:szCs w:val="24"/>
                <w:lang w:eastAsia="zh-CN"/>
              </w:rPr>
              <w:t xml:space="preserve">  All marks are provisional until confirmed by the final examination board. </w:t>
            </w:r>
          </w:p>
        </w:tc>
      </w:tr>
    </w:tbl>
    <w:p w:rsidR="0032288C" w:rsidRDefault="0032288C">
      <w:pPr>
        <w:spacing w:before="960"/>
        <w:rPr>
          <w:rFonts w:ascii="Aparajita" w:hAnsi="Aparajita" w:cs="Aparajita"/>
          <w:u w:val="single"/>
        </w:rPr>
      </w:pPr>
    </w:p>
    <w:p w:rsidR="004356CD" w:rsidRDefault="004356CD" w:rsidP="004356CD">
      <w:pPr>
        <w:spacing w:before="960"/>
        <w:jc w:val="center"/>
        <w:rPr>
          <w:rFonts w:ascii="Aparajita" w:hAnsi="Aparajita" w:cs="Aparajita"/>
          <w:u w:val="single"/>
        </w:rPr>
      </w:pPr>
    </w:p>
    <w:p w:rsidR="004356CD" w:rsidRPr="006461AF" w:rsidRDefault="00E66B5D" w:rsidP="004356CD">
      <w:pPr>
        <w:spacing w:before="960"/>
        <w:jc w:val="center"/>
        <w:rPr>
          <w:rFonts w:asciiTheme="minorHAnsi" w:hAnsiTheme="minorHAnsi" w:cstheme="minorHAnsi"/>
          <w:b/>
          <w:sz w:val="24"/>
          <w:szCs w:val="24"/>
          <w:u w:val="single"/>
        </w:rPr>
      </w:pPr>
      <w:r w:rsidRPr="006461AF">
        <w:rPr>
          <w:rFonts w:asciiTheme="minorHAnsi" w:hAnsiTheme="minorHAnsi" w:cstheme="minorHAnsi"/>
          <w:b/>
          <w:sz w:val="24"/>
          <w:szCs w:val="24"/>
          <w:u w:val="single"/>
        </w:rPr>
        <w:t>Discuss the concept of ‘the culture of honour’ that pervaded military life during the eighteenth century. Is it an ideal that reflected Enlightenment thought and ideas?</w:t>
      </w:r>
    </w:p>
    <w:p w:rsidR="0032288C" w:rsidRPr="006461AF" w:rsidRDefault="00E66B5D" w:rsidP="004356CD">
      <w:pPr>
        <w:spacing w:before="960"/>
        <w:rPr>
          <w:rFonts w:asciiTheme="minorHAnsi" w:hAnsiTheme="minorHAnsi" w:cstheme="minorHAnsi"/>
          <w:u w:val="single"/>
        </w:rPr>
      </w:pPr>
      <w:r w:rsidRPr="006461AF">
        <w:rPr>
          <w:rFonts w:asciiTheme="minorHAnsi" w:hAnsiTheme="minorHAnsi" w:cstheme="minorHAnsi"/>
        </w:rPr>
        <w:t xml:space="preserve">Honour, to the modern day a guide of how to conduct one’s self in battle. To be self-reliant on the battlefield pursuing an ideal that may bring glory, but also self-service to others. However, this image of honour or a matter of honour is not so simply put. The question specifically refers to the Enlightenment when even the concept of honour was developing. For the first part of this piece, there will be a discussion based on the philosophers of the Enlightenment, who each had their own ideal when it came to a question of honour such as Montesquieu and Hobbes. The second will contain an exploration of the European military establishment involving other themes of the Enlightenment. </w:t>
      </w:r>
    </w:p>
    <w:p w:rsidR="0032288C" w:rsidRPr="006461AF" w:rsidRDefault="00E66B5D">
      <w:pPr>
        <w:spacing w:before="240"/>
        <w:rPr>
          <w:rFonts w:asciiTheme="minorHAnsi" w:hAnsiTheme="minorHAnsi" w:cstheme="minorHAnsi"/>
        </w:rPr>
      </w:pPr>
      <w:r w:rsidRPr="006461AF">
        <w:rPr>
          <w:rFonts w:asciiTheme="minorHAnsi" w:hAnsiTheme="minorHAnsi" w:cstheme="minorHAnsi"/>
        </w:rPr>
        <w:t xml:space="preserve">To make it easier to understand the changing perception of honour the exploration will be done in chronological order, the first of to be considered is Thomas Hobbes (1588 – 1679), an English philosopher who is best known for his work </w:t>
      </w:r>
      <w:r w:rsidRPr="006461AF">
        <w:rPr>
          <w:rFonts w:asciiTheme="minorHAnsi" w:hAnsiTheme="minorHAnsi" w:cstheme="minorHAnsi"/>
          <w:i/>
        </w:rPr>
        <w:t>Leviathan</w:t>
      </w:r>
      <w:r w:rsidRPr="006461AF">
        <w:rPr>
          <w:rStyle w:val="FootnoteReference"/>
          <w:rFonts w:asciiTheme="minorHAnsi" w:hAnsiTheme="minorHAnsi" w:cstheme="minorHAnsi"/>
          <w:i/>
        </w:rPr>
        <w:footnoteReference w:id="1"/>
      </w:r>
      <w:r w:rsidRPr="006461AF">
        <w:rPr>
          <w:rFonts w:asciiTheme="minorHAnsi" w:hAnsiTheme="minorHAnsi" w:cstheme="minorHAnsi"/>
          <w:i/>
        </w:rPr>
        <w:t xml:space="preserve">. </w:t>
      </w:r>
      <w:r w:rsidRPr="006461AF">
        <w:rPr>
          <w:rFonts w:asciiTheme="minorHAnsi" w:hAnsiTheme="minorHAnsi" w:cstheme="minorHAnsi"/>
        </w:rPr>
        <w:t>It is in this very book that Hobbes defines honour as a fear of men dying a horrible death, and they are willing to submit to authority at all costs to avoid this</w:t>
      </w:r>
      <w:r w:rsidRPr="006461AF">
        <w:rPr>
          <w:rStyle w:val="FootnoteReference"/>
          <w:rFonts w:asciiTheme="minorHAnsi" w:hAnsiTheme="minorHAnsi" w:cstheme="minorHAnsi"/>
        </w:rPr>
        <w:footnoteReference w:id="2"/>
      </w:r>
      <w:r w:rsidRPr="006461AF">
        <w:rPr>
          <w:rFonts w:asciiTheme="minorHAnsi" w:hAnsiTheme="minorHAnsi" w:cstheme="minorHAnsi"/>
        </w:rPr>
        <w:t>. Hobbes refers to the quality of pride that in times of war, men would be prepared to throw down their lives for a cause they believed in</w:t>
      </w:r>
      <w:r w:rsidRPr="006461AF">
        <w:rPr>
          <w:rStyle w:val="FootnoteReference"/>
          <w:rFonts w:asciiTheme="minorHAnsi" w:hAnsiTheme="minorHAnsi" w:cstheme="minorHAnsi"/>
        </w:rPr>
        <w:footnoteReference w:id="3"/>
      </w:r>
      <w:r w:rsidRPr="006461AF">
        <w:rPr>
          <w:rFonts w:asciiTheme="minorHAnsi" w:hAnsiTheme="minorHAnsi" w:cstheme="minorHAnsi"/>
        </w:rPr>
        <w:t>. In this pride, for them, honour stood for dying for a worthy cause irrespective of how their life ended. That they would be remembered for a glorious deed for posterity. This Hobbesian philosophy was written on the back of the English Civil whereby men of influence and importance would gladly die defending their king as a Royalist, or Parliament as a Parliamentarian</w:t>
      </w:r>
      <w:r w:rsidRPr="006461AF">
        <w:rPr>
          <w:rStyle w:val="FootnoteReference"/>
          <w:rFonts w:asciiTheme="minorHAnsi" w:hAnsiTheme="minorHAnsi" w:cstheme="minorHAnsi"/>
        </w:rPr>
        <w:footnoteReference w:id="4"/>
      </w:r>
      <w:r w:rsidRPr="006461AF">
        <w:rPr>
          <w:rFonts w:asciiTheme="minorHAnsi" w:hAnsiTheme="minorHAnsi" w:cstheme="minorHAnsi"/>
        </w:rPr>
        <w:t xml:space="preserve">. In other words, all rationality would be abandoned in favour of a higher ideal, as if nothing else mattered but the cause. </w:t>
      </w:r>
    </w:p>
    <w:p w:rsidR="0032288C" w:rsidRPr="006461AF" w:rsidRDefault="00E66B5D">
      <w:pPr>
        <w:spacing w:before="240"/>
        <w:rPr>
          <w:rFonts w:asciiTheme="minorHAnsi" w:hAnsiTheme="minorHAnsi" w:cstheme="minorHAnsi"/>
        </w:rPr>
      </w:pPr>
      <w:r w:rsidRPr="006461AF">
        <w:rPr>
          <w:rFonts w:asciiTheme="minorHAnsi" w:hAnsiTheme="minorHAnsi" w:cstheme="minorHAnsi"/>
        </w:rPr>
        <w:t>It is this concept of irrationality that Hobbes unequivocally opposes preferring that of self-preservation rather than a useless death</w:t>
      </w:r>
      <w:r w:rsidRPr="006461AF">
        <w:rPr>
          <w:rStyle w:val="FootnoteReference"/>
          <w:rFonts w:asciiTheme="minorHAnsi" w:hAnsiTheme="minorHAnsi" w:cstheme="minorHAnsi"/>
        </w:rPr>
        <w:footnoteReference w:id="5"/>
      </w:r>
      <w:r w:rsidRPr="006461AF">
        <w:rPr>
          <w:rFonts w:asciiTheme="minorHAnsi" w:hAnsiTheme="minorHAnsi" w:cstheme="minorHAnsi"/>
        </w:rPr>
        <w:t>. Whilst admitting that such actions may indeed be part of human nature, Hobbes relates in Leviathan that in his context of honour, a man seeks also to maintain a state of dignity</w:t>
      </w:r>
      <w:r w:rsidRPr="006461AF">
        <w:rPr>
          <w:rStyle w:val="FootnoteReference"/>
          <w:rFonts w:asciiTheme="minorHAnsi" w:hAnsiTheme="minorHAnsi" w:cstheme="minorHAnsi"/>
        </w:rPr>
        <w:footnoteReference w:id="6"/>
      </w:r>
      <w:r w:rsidRPr="006461AF">
        <w:rPr>
          <w:rFonts w:asciiTheme="minorHAnsi" w:hAnsiTheme="minorHAnsi" w:cstheme="minorHAnsi"/>
        </w:rPr>
        <w:t>. In Chapter 10 he goes as far of providing a list of how people may be honoured, of course with material things based on his concept of materialism</w:t>
      </w:r>
      <w:r w:rsidRPr="006461AF">
        <w:rPr>
          <w:rStyle w:val="FootnoteReference"/>
          <w:rFonts w:asciiTheme="minorHAnsi" w:hAnsiTheme="minorHAnsi" w:cstheme="minorHAnsi"/>
        </w:rPr>
        <w:footnoteReference w:id="7"/>
      </w:r>
      <w:r w:rsidRPr="006461AF">
        <w:rPr>
          <w:rFonts w:asciiTheme="minorHAnsi" w:hAnsiTheme="minorHAnsi" w:cstheme="minorHAnsi"/>
        </w:rPr>
        <w:t>. Particularly he mentions dignity is attained by superiority and is considered to gain aid and to avoid offence</w:t>
      </w:r>
      <w:r w:rsidRPr="006461AF">
        <w:rPr>
          <w:rStyle w:val="FootnoteReference"/>
          <w:rFonts w:asciiTheme="minorHAnsi" w:hAnsiTheme="minorHAnsi" w:cstheme="minorHAnsi"/>
        </w:rPr>
        <w:footnoteReference w:id="8"/>
      </w:r>
      <w:r w:rsidRPr="006461AF">
        <w:rPr>
          <w:rFonts w:asciiTheme="minorHAnsi" w:hAnsiTheme="minorHAnsi" w:cstheme="minorHAnsi"/>
        </w:rPr>
        <w:t>. Certainly, within war soldiers who perform courageous actions are rewarded with medals and other material objects to represent their success, and to maintain the dignity of such an august person</w:t>
      </w:r>
      <w:r w:rsidRPr="006461AF">
        <w:rPr>
          <w:rStyle w:val="FootnoteReference"/>
          <w:rFonts w:asciiTheme="minorHAnsi" w:hAnsiTheme="minorHAnsi" w:cstheme="minorHAnsi"/>
        </w:rPr>
        <w:footnoteReference w:id="9"/>
      </w:r>
      <w:r w:rsidRPr="006461AF">
        <w:rPr>
          <w:rFonts w:asciiTheme="minorHAnsi" w:hAnsiTheme="minorHAnsi" w:cstheme="minorHAnsi"/>
        </w:rPr>
        <w:t xml:space="preserve">. </w:t>
      </w:r>
      <w:r w:rsidRPr="006461AF">
        <w:rPr>
          <w:rFonts w:asciiTheme="minorHAnsi" w:hAnsiTheme="minorHAnsi" w:cstheme="minorHAnsi"/>
        </w:rPr>
        <w:lastRenderedPageBreak/>
        <w:t>After the civil war General Fairfax, Commander in Chief of the Army of Parliament was awarded £5000 a year for his services during the war</w:t>
      </w:r>
      <w:r w:rsidRPr="006461AF">
        <w:rPr>
          <w:rStyle w:val="FootnoteReference"/>
          <w:rFonts w:asciiTheme="minorHAnsi" w:hAnsiTheme="minorHAnsi" w:cstheme="minorHAnsi"/>
        </w:rPr>
        <w:footnoteReference w:id="10"/>
      </w:r>
      <w:r w:rsidRPr="006461AF">
        <w:rPr>
          <w:rFonts w:asciiTheme="minorHAnsi" w:hAnsiTheme="minorHAnsi" w:cstheme="minorHAnsi"/>
        </w:rPr>
        <w:t>. Other senior officers were granted peerages for their efforts by Parliament for their services just like Fairfax, but to not to cause disloyalty among the new elites of the Commonwealth of England and not necessarily for merit</w:t>
      </w:r>
      <w:r w:rsidRPr="006461AF">
        <w:rPr>
          <w:rStyle w:val="FootnoteReference"/>
          <w:rFonts w:asciiTheme="minorHAnsi" w:hAnsiTheme="minorHAnsi" w:cstheme="minorHAnsi"/>
        </w:rPr>
        <w:footnoteReference w:id="11"/>
      </w:r>
      <w:r w:rsidRPr="006461AF">
        <w:rPr>
          <w:rFonts w:asciiTheme="minorHAnsi" w:hAnsiTheme="minorHAnsi" w:cstheme="minorHAnsi"/>
        </w:rPr>
        <w:t>. Christopher Maclure in his analysis on Hobbes’s concept of honour identifies that the essence of dignity and superiority is firmly rooted in those who seek dignity and honour, and it is that drive that will force them to pursue courageous action, to achieve that dignity</w:t>
      </w:r>
      <w:r w:rsidRPr="006461AF">
        <w:rPr>
          <w:rStyle w:val="FootnoteReference"/>
          <w:rFonts w:asciiTheme="minorHAnsi" w:hAnsiTheme="minorHAnsi" w:cstheme="minorHAnsi"/>
        </w:rPr>
        <w:footnoteReference w:id="12"/>
      </w:r>
      <w:r w:rsidRPr="006461AF">
        <w:rPr>
          <w:rFonts w:asciiTheme="minorHAnsi" w:hAnsiTheme="minorHAnsi" w:cstheme="minorHAnsi"/>
        </w:rPr>
        <w:t xml:space="preserve">.   </w:t>
      </w:r>
    </w:p>
    <w:p w:rsidR="0032288C" w:rsidRPr="006461AF" w:rsidRDefault="00E66B5D">
      <w:pPr>
        <w:spacing w:before="240"/>
        <w:rPr>
          <w:rFonts w:asciiTheme="minorHAnsi" w:hAnsiTheme="minorHAnsi" w:cstheme="minorHAnsi"/>
        </w:rPr>
      </w:pPr>
      <w:r w:rsidRPr="006461AF">
        <w:rPr>
          <w:rFonts w:asciiTheme="minorHAnsi" w:hAnsiTheme="minorHAnsi" w:cstheme="minorHAnsi"/>
        </w:rPr>
        <w:t>If Hobbes is to be understood, men have honour for different reasons, if only to achieve a glorious death rather than just maintain one’s dignity</w:t>
      </w:r>
      <w:r w:rsidRPr="006461AF">
        <w:rPr>
          <w:rStyle w:val="FootnoteReference"/>
          <w:rFonts w:asciiTheme="minorHAnsi" w:hAnsiTheme="minorHAnsi" w:cstheme="minorHAnsi"/>
        </w:rPr>
        <w:footnoteReference w:id="13"/>
      </w:r>
      <w:r w:rsidRPr="006461AF">
        <w:rPr>
          <w:rFonts w:asciiTheme="minorHAnsi" w:hAnsiTheme="minorHAnsi" w:cstheme="minorHAnsi"/>
        </w:rPr>
        <w:t xml:space="preserve">. Montesquieu, also known as Baron de Montesquieu, in </w:t>
      </w:r>
      <w:r w:rsidRPr="006461AF">
        <w:rPr>
          <w:rFonts w:asciiTheme="minorHAnsi" w:hAnsiTheme="minorHAnsi" w:cstheme="minorHAnsi"/>
          <w:i/>
        </w:rPr>
        <w:t>Spirit of Laws,</w:t>
      </w:r>
      <w:r w:rsidRPr="006461AF">
        <w:rPr>
          <w:rFonts w:asciiTheme="minorHAnsi" w:hAnsiTheme="minorHAnsi" w:cstheme="minorHAnsi"/>
        </w:rPr>
        <w:t xml:space="preserve"> firmly places honour in the realm of patronage</w:t>
      </w:r>
      <w:r w:rsidRPr="006461AF">
        <w:rPr>
          <w:rStyle w:val="FootnoteReference"/>
          <w:rFonts w:asciiTheme="minorHAnsi" w:hAnsiTheme="minorHAnsi" w:cstheme="minorHAnsi"/>
        </w:rPr>
        <w:footnoteReference w:id="14"/>
      </w:r>
      <w:r w:rsidRPr="006461AF">
        <w:rPr>
          <w:rFonts w:asciiTheme="minorHAnsi" w:hAnsiTheme="minorHAnsi" w:cstheme="minorHAnsi"/>
        </w:rPr>
        <w:t>. After dividing society into thee entities, Montesquieu argues that honour represents the powers of the sovereign to grant prestige and awards on individuals that harness self-interest rather than the common good of society</w:t>
      </w:r>
      <w:r w:rsidRPr="006461AF">
        <w:rPr>
          <w:rStyle w:val="FootnoteReference"/>
          <w:rFonts w:asciiTheme="minorHAnsi" w:hAnsiTheme="minorHAnsi" w:cstheme="minorHAnsi"/>
        </w:rPr>
        <w:footnoteReference w:id="15"/>
      </w:r>
      <w:r w:rsidRPr="006461AF">
        <w:rPr>
          <w:rFonts w:asciiTheme="minorHAnsi" w:hAnsiTheme="minorHAnsi" w:cstheme="minorHAnsi"/>
        </w:rPr>
        <w:t>. To be blunt, nobody was prepared to do anything unless there was something that satisfied their needs, a motivation not an attribute. Above all, he preferred virtue, that at the very cornerstone was selflessness, the ability to do things without asking for anything in return whereas honour demands service for one’s self</w:t>
      </w:r>
      <w:r w:rsidRPr="006461AF">
        <w:rPr>
          <w:rStyle w:val="FootnoteReference"/>
          <w:rFonts w:asciiTheme="minorHAnsi" w:hAnsiTheme="minorHAnsi" w:cstheme="minorHAnsi"/>
        </w:rPr>
        <w:footnoteReference w:id="16"/>
      </w:r>
      <w:r w:rsidRPr="006461AF">
        <w:rPr>
          <w:rFonts w:asciiTheme="minorHAnsi" w:hAnsiTheme="minorHAnsi" w:cstheme="minorHAnsi"/>
        </w:rPr>
        <w:t xml:space="preserve">. Lazare Carnot speaking to the Arras Academy in the 1780s condemned honour as a relic of the feudal age, </w:t>
      </w:r>
      <w:proofErr w:type="gramStart"/>
      <w:r w:rsidRPr="006461AF">
        <w:rPr>
          <w:rFonts w:asciiTheme="minorHAnsi" w:hAnsiTheme="minorHAnsi" w:cstheme="minorHAnsi"/>
        </w:rPr>
        <w:t>as a means to</w:t>
      </w:r>
      <w:proofErr w:type="gramEnd"/>
      <w:r w:rsidRPr="006461AF">
        <w:rPr>
          <w:rFonts w:asciiTheme="minorHAnsi" w:hAnsiTheme="minorHAnsi" w:cstheme="minorHAnsi"/>
        </w:rPr>
        <w:t xml:space="preserve"> personify people’s self-interest at the expense of others, in his mind the common people</w:t>
      </w:r>
      <w:r w:rsidRPr="006461AF">
        <w:rPr>
          <w:rStyle w:val="FootnoteReference"/>
          <w:rFonts w:asciiTheme="minorHAnsi" w:hAnsiTheme="minorHAnsi" w:cstheme="minorHAnsi"/>
        </w:rPr>
        <w:footnoteReference w:id="17"/>
      </w:r>
      <w:r w:rsidRPr="006461AF">
        <w:rPr>
          <w:rFonts w:asciiTheme="minorHAnsi" w:hAnsiTheme="minorHAnsi" w:cstheme="minorHAnsi"/>
        </w:rPr>
        <w:t>. John Lynn refers to this as the theory of Combat Motivation</w:t>
      </w:r>
      <w:r w:rsidRPr="006461AF">
        <w:rPr>
          <w:rStyle w:val="FootnoteReference"/>
          <w:rFonts w:asciiTheme="minorHAnsi" w:hAnsiTheme="minorHAnsi" w:cstheme="minorHAnsi"/>
        </w:rPr>
        <w:footnoteReference w:id="18"/>
      </w:r>
      <w:r w:rsidRPr="006461AF">
        <w:rPr>
          <w:rFonts w:asciiTheme="minorHAnsi" w:hAnsiTheme="minorHAnsi" w:cstheme="minorHAnsi"/>
        </w:rPr>
        <w:t>. For soldiers to fight any battle or action there must be something in return for them to risk their lives</w:t>
      </w:r>
      <w:r w:rsidRPr="006461AF">
        <w:rPr>
          <w:rStyle w:val="FootnoteReference"/>
          <w:rFonts w:asciiTheme="minorHAnsi" w:hAnsiTheme="minorHAnsi" w:cstheme="minorHAnsi"/>
        </w:rPr>
        <w:footnoteReference w:id="19"/>
      </w:r>
      <w:r w:rsidRPr="006461AF">
        <w:rPr>
          <w:rFonts w:asciiTheme="minorHAnsi" w:hAnsiTheme="minorHAnsi" w:cstheme="minorHAnsi"/>
        </w:rPr>
        <w:t>. This may not necessarily be material, but just by giving respect to them may be all that is required</w:t>
      </w:r>
      <w:r w:rsidRPr="006461AF">
        <w:rPr>
          <w:rStyle w:val="FootnoteReference"/>
          <w:rFonts w:asciiTheme="minorHAnsi" w:hAnsiTheme="minorHAnsi" w:cstheme="minorHAnsi"/>
        </w:rPr>
        <w:footnoteReference w:id="20"/>
      </w:r>
      <w:r w:rsidRPr="006461AF">
        <w:rPr>
          <w:rFonts w:asciiTheme="minorHAnsi" w:hAnsiTheme="minorHAnsi" w:cstheme="minorHAnsi"/>
        </w:rPr>
        <w:t xml:space="preserve">. </w:t>
      </w:r>
    </w:p>
    <w:p w:rsidR="0032288C" w:rsidRPr="006461AF" w:rsidRDefault="00E66B5D">
      <w:pPr>
        <w:spacing w:before="240"/>
        <w:rPr>
          <w:rFonts w:asciiTheme="minorHAnsi" w:hAnsiTheme="minorHAnsi" w:cstheme="minorHAnsi"/>
        </w:rPr>
      </w:pPr>
      <w:r w:rsidRPr="006461AF">
        <w:rPr>
          <w:rFonts w:asciiTheme="minorHAnsi" w:hAnsiTheme="minorHAnsi" w:cstheme="minorHAnsi"/>
        </w:rPr>
        <w:t>Montesquieu in lieu of honour favoured virtue</w:t>
      </w:r>
      <w:r w:rsidRPr="006461AF">
        <w:rPr>
          <w:rStyle w:val="FootnoteReference"/>
          <w:rFonts w:asciiTheme="minorHAnsi" w:hAnsiTheme="minorHAnsi" w:cstheme="minorHAnsi"/>
        </w:rPr>
        <w:footnoteReference w:id="21"/>
      </w:r>
      <w:r w:rsidRPr="006461AF">
        <w:rPr>
          <w:rFonts w:asciiTheme="minorHAnsi" w:hAnsiTheme="minorHAnsi" w:cstheme="minorHAnsi"/>
        </w:rPr>
        <w:t>. An armed force should be prepared to fight selflessly and expect nothing as they lay down their lives for their country</w:t>
      </w:r>
      <w:r w:rsidRPr="006461AF">
        <w:rPr>
          <w:rStyle w:val="FootnoteReference"/>
          <w:rFonts w:asciiTheme="minorHAnsi" w:hAnsiTheme="minorHAnsi" w:cstheme="minorHAnsi"/>
        </w:rPr>
        <w:footnoteReference w:id="22"/>
      </w:r>
      <w:r w:rsidRPr="006461AF">
        <w:rPr>
          <w:rFonts w:asciiTheme="minorHAnsi" w:hAnsiTheme="minorHAnsi" w:cstheme="minorHAnsi"/>
        </w:rPr>
        <w:t>. Certainly, as a testament to this, Maximillian Robespierre when describing the French National Guard referred to them as would, “degenerate into a military aristocracy, as docile in oppressing citizens as prompt to prostrate itself before the will of the monarch”, if they were to ever rely upon honour</w:t>
      </w:r>
      <w:r w:rsidRPr="006461AF">
        <w:rPr>
          <w:rStyle w:val="FootnoteReference"/>
          <w:rFonts w:asciiTheme="minorHAnsi" w:hAnsiTheme="minorHAnsi" w:cstheme="minorHAnsi"/>
        </w:rPr>
        <w:footnoteReference w:id="23"/>
      </w:r>
      <w:r w:rsidRPr="006461AF">
        <w:rPr>
          <w:rFonts w:asciiTheme="minorHAnsi" w:hAnsiTheme="minorHAnsi" w:cstheme="minorHAnsi"/>
        </w:rPr>
        <w:t>. It represented the oppression of the people</w:t>
      </w:r>
      <w:r w:rsidRPr="006461AF">
        <w:rPr>
          <w:rStyle w:val="FootnoteReference"/>
          <w:rFonts w:asciiTheme="minorHAnsi" w:hAnsiTheme="minorHAnsi" w:cstheme="minorHAnsi"/>
        </w:rPr>
        <w:footnoteReference w:id="24"/>
      </w:r>
      <w:r w:rsidRPr="006461AF">
        <w:rPr>
          <w:rFonts w:asciiTheme="minorHAnsi" w:hAnsiTheme="minorHAnsi" w:cstheme="minorHAnsi"/>
        </w:rPr>
        <w:t>. However, Montesquieu recognised that without honour there is no motivation for men to fight for their nation during wartime</w:t>
      </w:r>
      <w:r w:rsidRPr="006461AF">
        <w:rPr>
          <w:rStyle w:val="FootnoteReference"/>
          <w:rFonts w:asciiTheme="minorHAnsi" w:hAnsiTheme="minorHAnsi" w:cstheme="minorHAnsi"/>
        </w:rPr>
        <w:footnoteReference w:id="25"/>
      </w:r>
      <w:r w:rsidRPr="006461AF">
        <w:rPr>
          <w:rFonts w:asciiTheme="minorHAnsi" w:hAnsiTheme="minorHAnsi" w:cstheme="minorHAnsi"/>
        </w:rPr>
        <w:t>.  It was Henry IV who, in 1600, established the modern regiment within the French order of battle</w:t>
      </w:r>
      <w:r w:rsidRPr="006461AF">
        <w:rPr>
          <w:rStyle w:val="FootnoteReference"/>
          <w:rFonts w:asciiTheme="minorHAnsi" w:hAnsiTheme="minorHAnsi" w:cstheme="minorHAnsi"/>
        </w:rPr>
        <w:footnoteReference w:id="26"/>
      </w:r>
      <w:r w:rsidRPr="006461AF">
        <w:rPr>
          <w:rFonts w:asciiTheme="minorHAnsi" w:hAnsiTheme="minorHAnsi" w:cstheme="minorHAnsi"/>
        </w:rPr>
        <w:t xml:space="preserve">. He permitted the </w:t>
      </w:r>
      <w:r w:rsidRPr="006461AF">
        <w:rPr>
          <w:rFonts w:asciiTheme="minorHAnsi" w:hAnsiTheme="minorHAnsi" w:cstheme="minorHAnsi"/>
        </w:rPr>
        <w:lastRenderedPageBreak/>
        <w:t>nobility to be appointed to these colonelcies of these regiments to raise troops in their name and not the king, as a status symbol</w:t>
      </w:r>
      <w:r w:rsidRPr="006461AF">
        <w:rPr>
          <w:rStyle w:val="FootnoteReference"/>
          <w:rFonts w:asciiTheme="minorHAnsi" w:hAnsiTheme="minorHAnsi" w:cstheme="minorHAnsi"/>
        </w:rPr>
        <w:footnoteReference w:id="27"/>
      </w:r>
      <w:r w:rsidRPr="006461AF">
        <w:rPr>
          <w:rFonts w:asciiTheme="minorHAnsi" w:hAnsiTheme="minorHAnsi" w:cstheme="minorHAnsi"/>
        </w:rPr>
        <w:t>. This was done deliberately to soothe the nobility; they could gain prestige and honour from the king on the exchange of providing Henry with a new professional army</w:t>
      </w:r>
      <w:r w:rsidRPr="006461AF">
        <w:rPr>
          <w:rStyle w:val="FootnoteReference"/>
          <w:rFonts w:asciiTheme="minorHAnsi" w:hAnsiTheme="minorHAnsi" w:cstheme="minorHAnsi"/>
        </w:rPr>
        <w:footnoteReference w:id="28"/>
      </w:r>
      <w:r w:rsidRPr="006461AF">
        <w:rPr>
          <w:rFonts w:asciiTheme="minorHAnsi" w:hAnsiTheme="minorHAnsi" w:cstheme="minorHAnsi"/>
        </w:rPr>
        <w:t xml:space="preserve">. Alan J. Grey describes the French Officer Corps of the </w:t>
      </w:r>
      <w:r w:rsidRPr="006461AF">
        <w:rPr>
          <w:rFonts w:asciiTheme="minorHAnsi" w:hAnsiTheme="minorHAnsi" w:cstheme="minorHAnsi"/>
          <w:i/>
        </w:rPr>
        <w:t>Ancien Regime</w:t>
      </w:r>
      <w:r w:rsidRPr="006461AF">
        <w:rPr>
          <w:rFonts w:asciiTheme="minorHAnsi" w:hAnsiTheme="minorHAnsi" w:cstheme="minorHAnsi"/>
        </w:rPr>
        <w:t xml:space="preserve"> as insubordinate, constantly wanting grace and favour at court, except as part of a military fraternity than that of the Royal Court of Versailles that Montesquieu was acquainted with</w:t>
      </w:r>
      <w:r w:rsidRPr="006461AF">
        <w:rPr>
          <w:rStyle w:val="FootnoteReference"/>
          <w:rFonts w:asciiTheme="minorHAnsi" w:hAnsiTheme="minorHAnsi" w:cstheme="minorHAnsi"/>
        </w:rPr>
        <w:footnoteReference w:id="29"/>
      </w:r>
      <w:r w:rsidRPr="006461AF">
        <w:rPr>
          <w:rFonts w:asciiTheme="minorHAnsi" w:hAnsiTheme="minorHAnsi" w:cstheme="minorHAnsi"/>
        </w:rPr>
        <w:t xml:space="preserve">.   </w:t>
      </w:r>
    </w:p>
    <w:p w:rsidR="0032288C" w:rsidRPr="006461AF" w:rsidRDefault="00E66B5D">
      <w:pPr>
        <w:spacing w:before="240"/>
        <w:rPr>
          <w:rFonts w:asciiTheme="minorHAnsi" w:hAnsiTheme="minorHAnsi" w:cstheme="minorHAnsi"/>
        </w:rPr>
      </w:pPr>
      <w:r w:rsidRPr="006461AF">
        <w:rPr>
          <w:rFonts w:asciiTheme="minorHAnsi" w:hAnsiTheme="minorHAnsi" w:cstheme="minorHAnsi"/>
        </w:rPr>
        <w:t>It is very much the situation as expressed by Hobbes and Montesquieu that the men who typically served in the armies of the eighteenth century did so out of self-wanting rather than selflessness. The army is an integral organ of the state. Part of the Military Enlightenment saw the transfer of primarily feudal based armies tied to the land, transform into permanent and well-trained forces</w:t>
      </w:r>
      <w:r w:rsidRPr="006461AF">
        <w:rPr>
          <w:rStyle w:val="FootnoteReference"/>
          <w:rFonts w:asciiTheme="minorHAnsi" w:hAnsiTheme="minorHAnsi" w:cstheme="minorHAnsi"/>
        </w:rPr>
        <w:footnoteReference w:id="30"/>
      </w:r>
      <w:r w:rsidRPr="006461AF">
        <w:rPr>
          <w:rFonts w:asciiTheme="minorHAnsi" w:hAnsiTheme="minorHAnsi" w:cstheme="minorHAnsi"/>
        </w:rPr>
        <w:t>. Certainly, the Duke of Marlborough in 1704 campaigned vigorously for the establishment of a standing army in England and Scotland prior to 1707</w:t>
      </w:r>
      <w:r w:rsidRPr="006461AF">
        <w:rPr>
          <w:rStyle w:val="FootnoteReference"/>
          <w:rFonts w:asciiTheme="minorHAnsi" w:hAnsiTheme="minorHAnsi" w:cstheme="minorHAnsi"/>
        </w:rPr>
        <w:footnoteReference w:id="31"/>
      </w:r>
      <w:r w:rsidRPr="006461AF">
        <w:rPr>
          <w:rFonts w:asciiTheme="minorHAnsi" w:hAnsiTheme="minorHAnsi" w:cstheme="minorHAnsi"/>
        </w:rPr>
        <w:t>. However, even the enlightened members of British Society frowned at the idea, as it would relieve them more of their purse than the already established feudal system</w:t>
      </w:r>
      <w:r w:rsidRPr="006461AF">
        <w:rPr>
          <w:rStyle w:val="FootnoteReference"/>
          <w:rFonts w:asciiTheme="minorHAnsi" w:hAnsiTheme="minorHAnsi" w:cstheme="minorHAnsi"/>
        </w:rPr>
        <w:footnoteReference w:id="32"/>
      </w:r>
      <w:r w:rsidRPr="006461AF">
        <w:rPr>
          <w:rFonts w:asciiTheme="minorHAnsi" w:hAnsiTheme="minorHAnsi" w:cstheme="minorHAnsi"/>
        </w:rPr>
        <w:t>. It was decided therefore that to fund the new army commissions were to be sold to the same aristocrats that opposed it</w:t>
      </w:r>
      <w:r w:rsidRPr="006461AF">
        <w:rPr>
          <w:rStyle w:val="FootnoteReference"/>
          <w:rFonts w:asciiTheme="minorHAnsi" w:hAnsiTheme="minorHAnsi" w:cstheme="minorHAnsi"/>
        </w:rPr>
        <w:footnoteReference w:id="33"/>
      </w:r>
      <w:r w:rsidRPr="006461AF">
        <w:rPr>
          <w:rFonts w:asciiTheme="minorHAnsi" w:hAnsiTheme="minorHAnsi" w:cstheme="minorHAnsi"/>
        </w:rPr>
        <w:t>. Those with self-interest and a want of grace from the king purchased these positions and pledged their support to the creation of a standing army</w:t>
      </w:r>
      <w:r w:rsidRPr="006461AF">
        <w:rPr>
          <w:rStyle w:val="FootnoteReference"/>
          <w:rFonts w:asciiTheme="minorHAnsi" w:hAnsiTheme="minorHAnsi" w:cstheme="minorHAnsi"/>
        </w:rPr>
        <w:footnoteReference w:id="34"/>
      </w:r>
      <w:r w:rsidRPr="006461AF">
        <w:rPr>
          <w:rFonts w:asciiTheme="minorHAnsi" w:hAnsiTheme="minorHAnsi" w:cstheme="minorHAnsi"/>
        </w:rPr>
        <w:t>. Armstrong Starkey observes that was a transition from a system that relied upon loyalty through the land based on a vassal and overlord relationship, to one of direct obedience to the state</w:t>
      </w:r>
      <w:r w:rsidRPr="006461AF">
        <w:rPr>
          <w:rStyle w:val="FootnoteReference"/>
          <w:rFonts w:asciiTheme="minorHAnsi" w:hAnsiTheme="minorHAnsi" w:cstheme="minorHAnsi"/>
        </w:rPr>
        <w:footnoteReference w:id="35"/>
      </w:r>
      <w:r w:rsidRPr="006461AF">
        <w:rPr>
          <w:rFonts w:asciiTheme="minorHAnsi" w:hAnsiTheme="minorHAnsi" w:cstheme="minorHAnsi"/>
        </w:rPr>
        <w:t>. Commissions were established and granted by the crown, they were purchased by those of self-interest seeking patronage</w:t>
      </w:r>
      <w:r w:rsidRPr="006461AF">
        <w:rPr>
          <w:rStyle w:val="FootnoteReference"/>
          <w:rFonts w:asciiTheme="minorHAnsi" w:hAnsiTheme="minorHAnsi" w:cstheme="minorHAnsi"/>
        </w:rPr>
        <w:footnoteReference w:id="36"/>
      </w:r>
      <w:r w:rsidRPr="006461AF">
        <w:rPr>
          <w:rFonts w:asciiTheme="minorHAnsi" w:hAnsiTheme="minorHAnsi" w:cstheme="minorHAnsi"/>
        </w:rPr>
        <w:t xml:space="preserve">. </w:t>
      </w:r>
    </w:p>
    <w:p w:rsidR="0032288C" w:rsidRPr="006461AF" w:rsidRDefault="00E66B5D">
      <w:pPr>
        <w:spacing w:before="240"/>
        <w:rPr>
          <w:rFonts w:asciiTheme="minorHAnsi" w:hAnsiTheme="minorHAnsi" w:cstheme="minorHAnsi"/>
        </w:rPr>
      </w:pPr>
      <w:r w:rsidRPr="006461AF">
        <w:rPr>
          <w:rFonts w:asciiTheme="minorHAnsi" w:hAnsiTheme="minorHAnsi" w:cstheme="minorHAnsi"/>
        </w:rPr>
        <w:t xml:space="preserve">The very idea of self-interest is at the core of enlightenment philosophy. A firm belief that people should be able to do what they wanted without being governed by religious concern, or the state. In </w:t>
      </w:r>
      <w:r w:rsidRPr="006461AF">
        <w:rPr>
          <w:rFonts w:asciiTheme="minorHAnsi" w:hAnsiTheme="minorHAnsi" w:cstheme="minorHAnsi"/>
          <w:i/>
        </w:rPr>
        <w:t>Wealth of Nations</w:t>
      </w:r>
      <w:r w:rsidRPr="006461AF">
        <w:rPr>
          <w:rFonts w:asciiTheme="minorHAnsi" w:hAnsiTheme="minorHAnsi" w:cstheme="minorHAnsi"/>
        </w:rPr>
        <w:t>, Adam Smith, founding father of modern economics, argued for a society that was powered by labour</w:t>
      </w:r>
      <w:r w:rsidRPr="006461AF">
        <w:rPr>
          <w:rStyle w:val="FootnoteReference"/>
          <w:rFonts w:asciiTheme="minorHAnsi" w:hAnsiTheme="minorHAnsi" w:cstheme="minorHAnsi"/>
        </w:rPr>
        <w:footnoteReference w:id="37"/>
      </w:r>
      <w:r w:rsidRPr="006461AF">
        <w:rPr>
          <w:rFonts w:asciiTheme="minorHAnsi" w:hAnsiTheme="minorHAnsi" w:cstheme="minorHAnsi"/>
        </w:rPr>
        <w:t>. Only by people working and the means of production ever rolling could there be significant economic output</w:t>
      </w:r>
      <w:r w:rsidRPr="006461AF">
        <w:rPr>
          <w:rStyle w:val="FootnoteReference"/>
          <w:rFonts w:asciiTheme="minorHAnsi" w:hAnsiTheme="minorHAnsi" w:cstheme="minorHAnsi"/>
        </w:rPr>
        <w:footnoteReference w:id="38"/>
      </w:r>
      <w:r w:rsidRPr="006461AF">
        <w:rPr>
          <w:rFonts w:asciiTheme="minorHAnsi" w:hAnsiTheme="minorHAnsi" w:cstheme="minorHAnsi"/>
        </w:rPr>
        <w:t>. There should be an incentive for people to do things, in the case of the worker, wages</w:t>
      </w:r>
      <w:r w:rsidRPr="006461AF">
        <w:rPr>
          <w:rStyle w:val="FootnoteReference"/>
          <w:rFonts w:asciiTheme="minorHAnsi" w:hAnsiTheme="minorHAnsi" w:cstheme="minorHAnsi"/>
        </w:rPr>
        <w:footnoteReference w:id="39"/>
      </w:r>
      <w:r w:rsidRPr="006461AF">
        <w:rPr>
          <w:rFonts w:asciiTheme="minorHAnsi" w:hAnsiTheme="minorHAnsi" w:cstheme="minorHAnsi"/>
        </w:rPr>
        <w:t>. In the case of the soldier, pay, glory, and most importantly loot, if the philosophy of Louis XIV is to be followed</w:t>
      </w:r>
      <w:r w:rsidRPr="006461AF">
        <w:rPr>
          <w:rStyle w:val="FootnoteReference"/>
          <w:rFonts w:asciiTheme="minorHAnsi" w:hAnsiTheme="minorHAnsi" w:cstheme="minorHAnsi"/>
        </w:rPr>
        <w:footnoteReference w:id="40"/>
      </w:r>
      <w:r w:rsidRPr="006461AF">
        <w:rPr>
          <w:rFonts w:asciiTheme="minorHAnsi" w:hAnsiTheme="minorHAnsi" w:cstheme="minorHAnsi"/>
        </w:rPr>
        <w:t>. Adam Smith firmly believed that actions of self-interest had hidden successful impacts on society</w:t>
      </w:r>
      <w:r w:rsidRPr="006461AF">
        <w:rPr>
          <w:rStyle w:val="FootnoteReference"/>
          <w:rFonts w:asciiTheme="minorHAnsi" w:hAnsiTheme="minorHAnsi" w:cstheme="minorHAnsi"/>
        </w:rPr>
        <w:footnoteReference w:id="41"/>
      </w:r>
      <w:r w:rsidRPr="006461AF">
        <w:rPr>
          <w:rFonts w:asciiTheme="minorHAnsi" w:hAnsiTheme="minorHAnsi" w:cstheme="minorHAnsi"/>
        </w:rPr>
        <w:t>. However, in the military of the 18</w:t>
      </w:r>
      <w:r w:rsidRPr="006461AF">
        <w:rPr>
          <w:rFonts w:asciiTheme="minorHAnsi" w:hAnsiTheme="minorHAnsi" w:cstheme="minorHAnsi"/>
          <w:vertAlign w:val="superscript"/>
        </w:rPr>
        <w:t>th</w:t>
      </w:r>
      <w:r w:rsidRPr="006461AF">
        <w:rPr>
          <w:rFonts w:asciiTheme="minorHAnsi" w:hAnsiTheme="minorHAnsi" w:cstheme="minorHAnsi"/>
        </w:rPr>
        <w:t xml:space="preserve"> Century, this had the complete opposite. In times of peace, the high positions of the British Army were dominated by those who cared more for the frivolities and vulgarity of Georgian High Society spending more time in London and Bath than in their regiments</w:t>
      </w:r>
      <w:r w:rsidRPr="006461AF">
        <w:rPr>
          <w:rStyle w:val="FootnoteReference"/>
          <w:rFonts w:asciiTheme="minorHAnsi" w:hAnsiTheme="minorHAnsi" w:cstheme="minorHAnsi"/>
        </w:rPr>
        <w:footnoteReference w:id="42"/>
      </w:r>
      <w:r w:rsidRPr="006461AF">
        <w:rPr>
          <w:rFonts w:asciiTheme="minorHAnsi" w:hAnsiTheme="minorHAnsi" w:cstheme="minorHAnsi"/>
        </w:rPr>
        <w:t xml:space="preserve">. Infrequently did men of talent reach a position that </w:t>
      </w:r>
      <w:r w:rsidRPr="006461AF">
        <w:rPr>
          <w:rFonts w:asciiTheme="minorHAnsi" w:hAnsiTheme="minorHAnsi" w:cstheme="minorHAnsi"/>
        </w:rPr>
        <w:lastRenderedPageBreak/>
        <w:t>benefitted the army. Gregory Freemont-Barnes insists that only in times of war do men of talent truly come to be seen by the military elite rather delicately implying that this is only the case on the death of their incompetent predecessor</w:t>
      </w:r>
      <w:r w:rsidRPr="006461AF">
        <w:rPr>
          <w:rStyle w:val="FootnoteReference"/>
          <w:rFonts w:asciiTheme="minorHAnsi" w:hAnsiTheme="minorHAnsi" w:cstheme="minorHAnsi"/>
        </w:rPr>
        <w:footnoteReference w:id="43"/>
      </w:r>
      <w:r w:rsidRPr="006461AF">
        <w:rPr>
          <w:rFonts w:asciiTheme="minorHAnsi" w:hAnsiTheme="minorHAnsi" w:cstheme="minorHAnsi"/>
        </w:rPr>
        <w:t xml:space="preserve">. </w:t>
      </w:r>
    </w:p>
    <w:p w:rsidR="0032288C" w:rsidRPr="006461AF" w:rsidRDefault="00E66B5D">
      <w:pPr>
        <w:spacing w:before="240"/>
        <w:rPr>
          <w:rFonts w:asciiTheme="minorHAnsi" w:hAnsiTheme="minorHAnsi" w:cstheme="minorHAnsi"/>
        </w:rPr>
      </w:pPr>
      <w:r w:rsidRPr="006461AF">
        <w:rPr>
          <w:rFonts w:asciiTheme="minorHAnsi" w:hAnsiTheme="minorHAnsi" w:cstheme="minorHAnsi"/>
        </w:rPr>
        <w:t>Even if those of talent could climb to the top of the tree and command a regiment, they still originated from the upper classes albeit from humbler means. It was a tradition within both the peerages of France and Britain that it would the second son who sought a martial career</w:t>
      </w:r>
      <w:r w:rsidRPr="006461AF">
        <w:rPr>
          <w:rStyle w:val="FootnoteReference"/>
          <w:rFonts w:asciiTheme="minorHAnsi" w:hAnsiTheme="minorHAnsi" w:cstheme="minorHAnsi"/>
        </w:rPr>
        <w:footnoteReference w:id="44"/>
      </w:r>
      <w:r w:rsidRPr="006461AF">
        <w:rPr>
          <w:rFonts w:asciiTheme="minorHAnsi" w:hAnsiTheme="minorHAnsi" w:cstheme="minorHAnsi"/>
        </w:rPr>
        <w:t>. For Prussia and the German lands, it was given that young male sons of the nobility would join the army, even as a reservist in the Landwehr</w:t>
      </w:r>
      <w:r w:rsidRPr="006461AF">
        <w:rPr>
          <w:rStyle w:val="FootnoteReference"/>
          <w:rFonts w:asciiTheme="minorHAnsi" w:hAnsiTheme="minorHAnsi" w:cstheme="minorHAnsi"/>
        </w:rPr>
        <w:footnoteReference w:id="45"/>
      </w:r>
      <w:r w:rsidRPr="006461AF">
        <w:rPr>
          <w:rFonts w:asciiTheme="minorHAnsi" w:hAnsiTheme="minorHAnsi" w:cstheme="minorHAnsi"/>
        </w:rPr>
        <w:t>. Importantly it required an education. It was John Locke who hypothesised that our brain begins as a blank slate, we fill the slate with knowledge that is acquired through experience and that we acquire knowledge through deduction and the assistance of others</w:t>
      </w:r>
      <w:r w:rsidRPr="006461AF">
        <w:rPr>
          <w:rStyle w:val="FootnoteReference"/>
          <w:rFonts w:asciiTheme="minorHAnsi" w:hAnsiTheme="minorHAnsi" w:cstheme="minorHAnsi"/>
        </w:rPr>
        <w:footnoteReference w:id="46"/>
      </w:r>
      <w:r w:rsidRPr="006461AF">
        <w:rPr>
          <w:rFonts w:asciiTheme="minorHAnsi" w:hAnsiTheme="minorHAnsi" w:cstheme="minorHAnsi"/>
        </w:rPr>
        <w:t>. Unless men fill their minds full of military knowledge they are incapable of fighting a war, let alone navigate the concept of honour. It was recognised by European nations that to lead men into battle, officers had to be trained to fight and to command men in the ideals of the enlightenment</w:t>
      </w:r>
      <w:r w:rsidRPr="006461AF">
        <w:rPr>
          <w:rStyle w:val="FootnoteReference"/>
          <w:rFonts w:asciiTheme="minorHAnsi" w:hAnsiTheme="minorHAnsi" w:cstheme="minorHAnsi"/>
        </w:rPr>
        <w:footnoteReference w:id="47"/>
      </w:r>
      <w:r w:rsidRPr="006461AF">
        <w:rPr>
          <w:rFonts w:asciiTheme="minorHAnsi" w:hAnsiTheme="minorHAnsi" w:cstheme="minorHAnsi"/>
        </w:rPr>
        <w:t>. Catherine II of Russia achieved this by creating the Corps of Cadets Schools</w:t>
      </w:r>
      <w:r w:rsidRPr="006461AF">
        <w:rPr>
          <w:rStyle w:val="FootnoteReference"/>
          <w:rFonts w:asciiTheme="minorHAnsi" w:hAnsiTheme="minorHAnsi" w:cstheme="minorHAnsi"/>
        </w:rPr>
        <w:footnoteReference w:id="48"/>
      </w:r>
      <w:r w:rsidRPr="006461AF">
        <w:rPr>
          <w:rFonts w:asciiTheme="minorHAnsi" w:hAnsiTheme="minorHAnsi" w:cstheme="minorHAnsi"/>
        </w:rPr>
        <w:t>. Such schools such as Kovalevsky School in Moscow provided an education in war, but also humanities to perspective officer cadets so that they understood warfare, to be able to lead in a rational way and in a conduct that did not impair their dignity, their honour</w:t>
      </w:r>
      <w:r w:rsidRPr="006461AF">
        <w:rPr>
          <w:rStyle w:val="FootnoteReference"/>
          <w:rFonts w:asciiTheme="minorHAnsi" w:hAnsiTheme="minorHAnsi" w:cstheme="minorHAnsi"/>
        </w:rPr>
        <w:footnoteReference w:id="49"/>
      </w:r>
      <w:r w:rsidRPr="006461AF">
        <w:rPr>
          <w:rFonts w:asciiTheme="minorHAnsi" w:hAnsiTheme="minorHAnsi" w:cstheme="minorHAnsi"/>
        </w:rPr>
        <w:t xml:space="preserve">. </w:t>
      </w:r>
    </w:p>
    <w:p w:rsidR="0032288C" w:rsidRPr="006461AF" w:rsidRDefault="00E66B5D">
      <w:pPr>
        <w:spacing w:before="240"/>
        <w:rPr>
          <w:rFonts w:asciiTheme="minorHAnsi" w:hAnsiTheme="minorHAnsi" w:cstheme="minorHAnsi"/>
        </w:rPr>
      </w:pPr>
      <w:r w:rsidRPr="006461AF">
        <w:rPr>
          <w:rFonts w:asciiTheme="minorHAnsi" w:hAnsiTheme="minorHAnsi" w:cstheme="minorHAnsi"/>
        </w:rPr>
        <w:t>Such educational reforms were not just aimed at then nobility. Frederick the Great of Prussia established a fully functioning school system up until the age 13, for all children in Prussia</w:t>
      </w:r>
      <w:r w:rsidRPr="006461AF">
        <w:rPr>
          <w:rStyle w:val="FootnoteReference"/>
          <w:rFonts w:asciiTheme="minorHAnsi" w:hAnsiTheme="minorHAnsi" w:cstheme="minorHAnsi"/>
        </w:rPr>
        <w:footnoteReference w:id="50"/>
      </w:r>
      <w:r w:rsidRPr="006461AF">
        <w:rPr>
          <w:rFonts w:asciiTheme="minorHAnsi" w:hAnsiTheme="minorHAnsi" w:cstheme="minorHAnsi"/>
        </w:rPr>
        <w:t>. They were taught to read and to wright. At the time of reform in the 1760s, Prussia instituted conscription to bolster their armies in the face of enemies to the east and to the west</w:t>
      </w:r>
      <w:r w:rsidRPr="006461AF">
        <w:rPr>
          <w:rStyle w:val="FootnoteReference"/>
          <w:rFonts w:asciiTheme="minorHAnsi" w:hAnsiTheme="minorHAnsi" w:cstheme="minorHAnsi"/>
        </w:rPr>
        <w:footnoteReference w:id="51"/>
      </w:r>
      <w:r w:rsidRPr="006461AF">
        <w:rPr>
          <w:rFonts w:asciiTheme="minorHAnsi" w:hAnsiTheme="minorHAnsi" w:cstheme="minorHAnsi"/>
        </w:rPr>
        <w:t>. Every able-bodied young man from 1760 had to serve three years in the army, and after that until the age of 35 in the Landwehr, the reserves</w:t>
      </w:r>
      <w:r w:rsidRPr="006461AF">
        <w:rPr>
          <w:rStyle w:val="FootnoteReference"/>
          <w:rFonts w:asciiTheme="minorHAnsi" w:hAnsiTheme="minorHAnsi" w:cstheme="minorHAnsi"/>
        </w:rPr>
        <w:footnoteReference w:id="52"/>
      </w:r>
      <w:r w:rsidRPr="006461AF">
        <w:rPr>
          <w:rFonts w:asciiTheme="minorHAnsi" w:hAnsiTheme="minorHAnsi" w:cstheme="minorHAnsi"/>
        </w:rPr>
        <w:t>. The key to their education was to develop a relational well-rounded young man who could obey orders. The rationale for the school system was in part to create leaders who could become NCOs, within the Prussian Army. Frederick firmly believed in giving enough education that the soldiers of his army were at least capable of dealing with any situation thrown at them, without fermenting the fervour of revolution</w:t>
      </w:r>
      <w:r w:rsidRPr="006461AF">
        <w:rPr>
          <w:rStyle w:val="FootnoteReference"/>
          <w:rFonts w:asciiTheme="minorHAnsi" w:hAnsiTheme="minorHAnsi" w:cstheme="minorHAnsi"/>
        </w:rPr>
        <w:footnoteReference w:id="53"/>
      </w:r>
      <w:r w:rsidRPr="006461AF">
        <w:rPr>
          <w:rFonts w:asciiTheme="minorHAnsi" w:hAnsiTheme="minorHAnsi" w:cstheme="minorHAnsi"/>
        </w:rPr>
        <w:t>. Frederick during the Third Silesian War in 1759, a sub-theatre of the Seven Years War, ordered his regimental commanders to execute any man who dishonoured the army, as they were the effective scourge of Prussian Society</w:t>
      </w:r>
      <w:r w:rsidRPr="006461AF">
        <w:rPr>
          <w:rStyle w:val="FootnoteReference"/>
          <w:rFonts w:asciiTheme="minorHAnsi" w:hAnsiTheme="minorHAnsi" w:cstheme="minorHAnsi"/>
        </w:rPr>
        <w:footnoteReference w:id="54"/>
      </w:r>
      <w:r w:rsidRPr="006461AF">
        <w:rPr>
          <w:rFonts w:asciiTheme="minorHAnsi" w:hAnsiTheme="minorHAnsi" w:cstheme="minorHAnsi"/>
        </w:rPr>
        <w:t>. This very much echoed Jean Jacques Rousseau’s firm belief that everybody could be educated, not just the nobility</w:t>
      </w:r>
      <w:r w:rsidRPr="006461AF">
        <w:rPr>
          <w:rStyle w:val="FootnoteReference"/>
          <w:rFonts w:asciiTheme="minorHAnsi" w:hAnsiTheme="minorHAnsi" w:cstheme="minorHAnsi"/>
        </w:rPr>
        <w:footnoteReference w:id="55"/>
      </w:r>
      <w:r w:rsidRPr="006461AF">
        <w:rPr>
          <w:rFonts w:asciiTheme="minorHAnsi" w:hAnsiTheme="minorHAnsi" w:cstheme="minorHAnsi"/>
        </w:rPr>
        <w:t xml:space="preserve">.  </w:t>
      </w:r>
    </w:p>
    <w:p w:rsidR="0032288C" w:rsidRPr="006461AF" w:rsidRDefault="00E66B5D">
      <w:pPr>
        <w:spacing w:before="240"/>
        <w:rPr>
          <w:rFonts w:asciiTheme="minorHAnsi" w:hAnsiTheme="minorHAnsi" w:cstheme="minorHAnsi"/>
        </w:rPr>
      </w:pPr>
      <w:r w:rsidRPr="006461AF">
        <w:rPr>
          <w:rFonts w:asciiTheme="minorHAnsi" w:hAnsiTheme="minorHAnsi" w:cstheme="minorHAnsi"/>
        </w:rPr>
        <w:t xml:space="preserve">Once educated either soldiers or officers were expected to perform well on the battlefield. Yet from accounts of the day, the rational education imparted to them may not necessarily have prepared them for reality, the desire for honour clouding their judgement. There is an account of Lieutenant </w:t>
      </w:r>
      <w:r w:rsidRPr="006461AF">
        <w:rPr>
          <w:rFonts w:asciiTheme="minorHAnsi" w:hAnsiTheme="minorHAnsi" w:cstheme="minorHAnsi"/>
        </w:rPr>
        <w:lastRenderedPageBreak/>
        <w:t>George Eid of the Coldstream Guards. He tells the story of how, during the War of American Independence, he volunteered to command the rear-guard and hold a bridge whilst his regiment withdrew</w:t>
      </w:r>
      <w:r w:rsidRPr="006461AF">
        <w:rPr>
          <w:rStyle w:val="FootnoteReference"/>
          <w:rFonts w:asciiTheme="minorHAnsi" w:hAnsiTheme="minorHAnsi" w:cstheme="minorHAnsi"/>
        </w:rPr>
        <w:footnoteReference w:id="56"/>
      </w:r>
      <w:r w:rsidRPr="006461AF">
        <w:rPr>
          <w:rFonts w:asciiTheme="minorHAnsi" w:hAnsiTheme="minorHAnsi" w:cstheme="minorHAnsi"/>
        </w:rPr>
        <w:t>. He freely admits that he volunteered to satisfy his vanity, his want for glory rather than any rational decision</w:t>
      </w:r>
      <w:r w:rsidRPr="006461AF">
        <w:rPr>
          <w:rStyle w:val="FootnoteReference"/>
          <w:rFonts w:asciiTheme="minorHAnsi" w:hAnsiTheme="minorHAnsi" w:cstheme="minorHAnsi"/>
        </w:rPr>
        <w:footnoteReference w:id="57"/>
      </w:r>
      <w:r w:rsidRPr="006461AF">
        <w:rPr>
          <w:rFonts w:asciiTheme="minorHAnsi" w:hAnsiTheme="minorHAnsi" w:cstheme="minorHAnsi"/>
        </w:rPr>
        <w:t>. This completely rejects the rationality of Enlightenment thought. Starkey informs us that due to Enlightenment thought two honour codes developed during the 17</w:t>
      </w:r>
      <w:r w:rsidRPr="006461AF">
        <w:rPr>
          <w:rFonts w:asciiTheme="minorHAnsi" w:hAnsiTheme="minorHAnsi" w:cstheme="minorHAnsi"/>
          <w:vertAlign w:val="superscript"/>
        </w:rPr>
        <w:t>th</w:t>
      </w:r>
      <w:r w:rsidRPr="006461AF">
        <w:rPr>
          <w:rFonts w:asciiTheme="minorHAnsi" w:hAnsiTheme="minorHAnsi" w:cstheme="minorHAnsi"/>
        </w:rPr>
        <w:t xml:space="preserve"> Century</w:t>
      </w:r>
      <w:r w:rsidRPr="006461AF">
        <w:rPr>
          <w:rStyle w:val="FootnoteReference"/>
          <w:rFonts w:asciiTheme="minorHAnsi" w:hAnsiTheme="minorHAnsi" w:cstheme="minorHAnsi"/>
        </w:rPr>
        <w:footnoteReference w:id="58"/>
      </w:r>
      <w:r w:rsidRPr="006461AF">
        <w:rPr>
          <w:rFonts w:asciiTheme="minorHAnsi" w:hAnsiTheme="minorHAnsi" w:cstheme="minorHAnsi"/>
        </w:rPr>
        <w:t>. True Honour was the concept that that a soldier or an officer lead careers in serving others and being self-reliant upon one’s own abilities</w:t>
      </w:r>
      <w:r w:rsidRPr="006461AF">
        <w:rPr>
          <w:rStyle w:val="FootnoteReference"/>
          <w:rFonts w:asciiTheme="minorHAnsi" w:hAnsiTheme="minorHAnsi" w:cstheme="minorHAnsi"/>
        </w:rPr>
        <w:footnoteReference w:id="59"/>
      </w:r>
      <w:r w:rsidRPr="006461AF">
        <w:rPr>
          <w:rFonts w:asciiTheme="minorHAnsi" w:hAnsiTheme="minorHAnsi" w:cstheme="minorHAnsi"/>
        </w:rPr>
        <w:t>. Those who follow the False Honour Code rely on brutish and hostile actions just for their bit of glory</w:t>
      </w:r>
      <w:r w:rsidRPr="006461AF">
        <w:rPr>
          <w:rStyle w:val="FootnoteReference"/>
          <w:rFonts w:asciiTheme="minorHAnsi" w:hAnsiTheme="minorHAnsi" w:cstheme="minorHAnsi"/>
        </w:rPr>
        <w:footnoteReference w:id="60"/>
      </w:r>
      <w:r w:rsidRPr="006461AF">
        <w:rPr>
          <w:rFonts w:asciiTheme="minorHAnsi" w:hAnsiTheme="minorHAnsi" w:cstheme="minorHAnsi"/>
        </w:rPr>
        <w:t>. On the other hand, maybe a complete fool like Lieutenant Eid who volunteered to satisfy his own vanity. Campbell Dalrymple asserts that true honour had to be attained through meritorious survive alone</w:t>
      </w:r>
      <w:r w:rsidRPr="006461AF">
        <w:rPr>
          <w:rStyle w:val="FootnoteReference"/>
          <w:rFonts w:asciiTheme="minorHAnsi" w:hAnsiTheme="minorHAnsi" w:cstheme="minorHAnsi"/>
        </w:rPr>
        <w:footnoteReference w:id="61"/>
      </w:r>
      <w:r w:rsidRPr="006461AF">
        <w:rPr>
          <w:rFonts w:asciiTheme="minorHAnsi" w:hAnsiTheme="minorHAnsi" w:cstheme="minorHAnsi"/>
        </w:rPr>
        <w:t xml:space="preserve">.   </w:t>
      </w:r>
    </w:p>
    <w:p w:rsidR="0032288C" w:rsidRPr="006461AF" w:rsidRDefault="00E66B5D">
      <w:pPr>
        <w:spacing w:before="240"/>
        <w:rPr>
          <w:rFonts w:asciiTheme="minorHAnsi" w:hAnsiTheme="minorHAnsi" w:cstheme="minorHAnsi"/>
        </w:rPr>
      </w:pPr>
      <w:r w:rsidRPr="006461AF">
        <w:rPr>
          <w:rFonts w:asciiTheme="minorHAnsi" w:hAnsiTheme="minorHAnsi" w:cstheme="minorHAnsi"/>
        </w:rPr>
        <w:t>There must be understanding of how the military within The Enlightenment perceived their own reasons to serve. Phillipe Auguste de Saint Foix, in his military treatise, advocated that in peacetime the elites promoted vice within the officer corps</w:t>
      </w:r>
      <w:r w:rsidRPr="006461AF">
        <w:rPr>
          <w:rStyle w:val="FootnoteReference"/>
          <w:rFonts w:asciiTheme="minorHAnsi" w:hAnsiTheme="minorHAnsi" w:cstheme="minorHAnsi"/>
        </w:rPr>
        <w:footnoteReference w:id="62"/>
      </w:r>
      <w:r w:rsidRPr="006461AF">
        <w:rPr>
          <w:rFonts w:asciiTheme="minorHAnsi" w:hAnsiTheme="minorHAnsi" w:cstheme="minorHAnsi"/>
        </w:rPr>
        <w:t>. As peace is prolonged the senior ranks become dominated by the wealthy and the social elite who saw their position as a status symbol</w:t>
      </w:r>
      <w:r w:rsidRPr="006461AF">
        <w:rPr>
          <w:rStyle w:val="FootnoteReference"/>
          <w:rFonts w:asciiTheme="minorHAnsi" w:hAnsiTheme="minorHAnsi" w:cstheme="minorHAnsi"/>
        </w:rPr>
        <w:footnoteReference w:id="63"/>
      </w:r>
      <w:r w:rsidRPr="006461AF">
        <w:rPr>
          <w:rFonts w:asciiTheme="minorHAnsi" w:hAnsiTheme="minorHAnsi" w:cstheme="minorHAnsi"/>
        </w:rPr>
        <w:t>. They spent more time pursuing the vices Saint Foix names such as gambling and women</w:t>
      </w:r>
      <w:r w:rsidRPr="006461AF">
        <w:rPr>
          <w:rStyle w:val="FootnoteReference"/>
          <w:rFonts w:asciiTheme="minorHAnsi" w:hAnsiTheme="minorHAnsi" w:cstheme="minorHAnsi"/>
        </w:rPr>
        <w:footnoteReference w:id="64"/>
      </w:r>
      <w:r w:rsidRPr="006461AF">
        <w:rPr>
          <w:rFonts w:asciiTheme="minorHAnsi" w:hAnsiTheme="minorHAnsi" w:cstheme="minorHAnsi"/>
        </w:rPr>
        <w:t>. Opposed to Hobbes and Montesquieu, he advocated a military without materialism, one where soldiers earned their laurels through long service and being competent on the battlefield; not because they had a title or had connections at the French Court</w:t>
      </w:r>
      <w:r w:rsidRPr="006461AF">
        <w:rPr>
          <w:rStyle w:val="FootnoteReference"/>
          <w:rFonts w:asciiTheme="minorHAnsi" w:hAnsiTheme="minorHAnsi" w:cstheme="minorHAnsi"/>
        </w:rPr>
        <w:footnoteReference w:id="65"/>
      </w:r>
      <w:r w:rsidRPr="006461AF">
        <w:rPr>
          <w:rFonts w:asciiTheme="minorHAnsi" w:hAnsiTheme="minorHAnsi" w:cstheme="minorHAnsi"/>
        </w:rPr>
        <w:t>. Although in built with corruption, Saint Foix recognised that the French Officer corps of the Ancien Regime did have potential</w:t>
      </w:r>
      <w:r w:rsidRPr="006461AF">
        <w:rPr>
          <w:rStyle w:val="FootnoteReference"/>
          <w:rFonts w:asciiTheme="minorHAnsi" w:hAnsiTheme="minorHAnsi" w:cstheme="minorHAnsi"/>
        </w:rPr>
        <w:footnoteReference w:id="66"/>
      </w:r>
      <w:r w:rsidRPr="006461AF">
        <w:rPr>
          <w:rFonts w:asciiTheme="minorHAnsi" w:hAnsiTheme="minorHAnsi" w:cstheme="minorHAnsi"/>
        </w:rPr>
        <w:t>. Those officers not members of Royal Court showed ability, the service just needed reform to hone that talent</w:t>
      </w:r>
      <w:r w:rsidRPr="006461AF">
        <w:rPr>
          <w:rStyle w:val="FootnoteReference"/>
          <w:rFonts w:asciiTheme="minorHAnsi" w:hAnsiTheme="minorHAnsi" w:cstheme="minorHAnsi"/>
        </w:rPr>
        <w:footnoteReference w:id="67"/>
      </w:r>
      <w:r w:rsidRPr="006461AF">
        <w:rPr>
          <w:rFonts w:asciiTheme="minorHAnsi" w:hAnsiTheme="minorHAnsi" w:cstheme="minorHAnsi"/>
        </w:rPr>
        <w:t xml:space="preserve">. </w:t>
      </w:r>
    </w:p>
    <w:p w:rsidR="0032288C" w:rsidRPr="006461AF" w:rsidRDefault="00E66B5D">
      <w:pPr>
        <w:spacing w:before="240"/>
        <w:rPr>
          <w:rFonts w:asciiTheme="minorHAnsi" w:hAnsiTheme="minorHAnsi" w:cstheme="minorHAnsi"/>
        </w:rPr>
      </w:pPr>
      <w:r w:rsidRPr="006461AF">
        <w:rPr>
          <w:rFonts w:asciiTheme="minorHAnsi" w:hAnsiTheme="minorHAnsi" w:cstheme="minorHAnsi"/>
        </w:rPr>
        <w:t>Chag</w:t>
      </w:r>
      <w:r w:rsidR="0052161D" w:rsidRPr="006461AF">
        <w:rPr>
          <w:rFonts w:asciiTheme="minorHAnsi" w:hAnsiTheme="minorHAnsi" w:cstheme="minorHAnsi"/>
        </w:rPr>
        <w:t>niot</w:t>
      </w:r>
      <w:r w:rsidRPr="006461AF">
        <w:rPr>
          <w:rFonts w:asciiTheme="minorHAnsi" w:hAnsiTheme="minorHAnsi" w:cstheme="minorHAnsi"/>
        </w:rPr>
        <w:t xml:space="preserve"> observed that those of a humbler background both in France and Britain where ignored by Military Society</w:t>
      </w:r>
      <w:r w:rsidRPr="006461AF">
        <w:rPr>
          <w:rStyle w:val="FootnoteReference"/>
          <w:rFonts w:asciiTheme="minorHAnsi" w:hAnsiTheme="minorHAnsi" w:cstheme="minorHAnsi"/>
        </w:rPr>
        <w:footnoteReference w:id="68"/>
      </w:r>
      <w:r w:rsidRPr="006461AF">
        <w:rPr>
          <w:rFonts w:asciiTheme="minorHAnsi" w:hAnsiTheme="minorHAnsi" w:cstheme="minorHAnsi"/>
        </w:rPr>
        <w:t xml:space="preserve">. The </w:t>
      </w:r>
      <w:r w:rsidR="0052161D" w:rsidRPr="006461AF">
        <w:rPr>
          <w:rFonts w:asciiTheme="minorHAnsi" w:hAnsiTheme="minorHAnsi" w:cstheme="minorHAnsi"/>
        </w:rPr>
        <w:t xml:space="preserve">historian </w:t>
      </w:r>
      <w:r w:rsidRPr="006461AF">
        <w:rPr>
          <w:rFonts w:asciiTheme="minorHAnsi" w:hAnsiTheme="minorHAnsi" w:cstheme="minorHAnsi"/>
        </w:rPr>
        <w:t>Bien builds on this calling the enlightened military establishment a façade</w:t>
      </w:r>
      <w:r w:rsidR="0052161D" w:rsidRPr="006461AF">
        <w:rPr>
          <w:rStyle w:val="FootnoteReference"/>
          <w:rFonts w:asciiTheme="minorHAnsi" w:hAnsiTheme="minorHAnsi" w:cstheme="minorHAnsi"/>
        </w:rPr>
        <w:footnoteReference w:id="69"/>
      </w:r>
      <w:r w:rsidRPr="006461AF">
        <w:rPr>
          <w:rFonts w:asciiTheme="minorHAnsi" w:hAnsiTheme="minorHAnsi" w:cstheme="minorHAnsi"/>
        </w:rPr>
        <w:t>. The elites holding high military offices espoused Enlightenment thoughts and ideals</w:t>
      </w:r>
      <w:r w:rsidR="0052161D" w:rsidRPr="006461AF">
        <w:rPr>
          <w:rStyle w:val="FootnoteReference"/>
          <w:rFonts w:asciiTheme="minorHAnsi" w:hAnsiTheme="minorHAnsi" w:cstheme="minorHAnsi"/>
        </w:rPr>
        <w:footnoteReference w:id="70"/>
      </w:r>
      <w:r w:rsidRPr="006461AF">
        <w:rPr>
          <w:rFonts w:asciiTheme="minorHAnsi" w:hAnsiTheme="minorHAnsi" w:cstheme="minorHAnsi"/>
        </w:rPr>
        <w:t>. He cites the greatest influences being Montesquieu and John Locke</w:t>
      </w:r>
      <w:r w:rsidR="0052161D" w:rsidRPr="006461AF">
        <w:rPr>
          <w:rStyle w:val="FootnoteReference"/>
          <w:rFonts w:asciiTheme="minorHAnsi" w:hAnsiTheme="minorHAnsi" w:cstheme="minorHAnsi"/>
        </w:rPr>
        <w:footnoteReference w:id="71"/>
      </w:r>
      <w:r w:rsidR="0052161D" w:rsidRPr="006461AF">
        <w:rPr>
          <w:rFonts w:asciiTheme="minorHAnsi" w:hAnsiTheme="minorHAnsi" w:cstheme="minorHAnsi"/>
        </w:rPr>
        <w:t>. H</w:t>
      </w:r>
      <w:r w:rsidRPr="006461AF">
        <w:rPr>
          <w:rFonts w:asciiTheme="minorHAnsi" w:hAnsiTheme="minorHAnsi" w:cstheme="minorHAnsi"/>
        </w:rPr>
        <w:t>owever as soon as an unworthy encroached on their territory they turned reactionary</w:t>
      </w:r>
      <w:r w:rsidR="0052161D" w:rsidRPr="006461AF">
        <w:rPr>
          <w:rStyle w:val="FootnoteReference"/>
          <w:rFonts w:asciiTheme="minorHAnsi" w:hAnsiTheme="minorHAnsi" w:cstheme="minorHAnsi"/>
        </w:rPr>
        <w:footnoteReference w:id="72"/>
      </w:r>
      <w:r w:rsidRPr="006461AF">
        <w:rPr>
          <w:rFonts w:asciiTheme="minorHAnsi" w:hAnsiTheme="minorHAnsi" w:cstheme="minorHAnsi"/>
        </w:rPr>
        <w:t xml:space="preserve">. Perhaps this is not Enlightened behaviour when the Elites turn to elitism as they are protecting their own, not promoting equality and liberty. But do not forget that Montesquieu and Hobbes to a lesser degree promoted hierarchy and patronage. It is in part this patronage that degrades the military establishment into one of vice as </w:t>
      </w:r>
      <w:r w:rsidRPr="006461AF">
        <w:rPr>
          <w:rFonts w:asciiTheme="minorHAnsi" w:hAnsiTheme="minorHAnsi" w:cstheme="minorHAnsi"/>
        </w:rPr>
        <w:lastRenderedPageBreak/>
        <w:t xml:space="preserve">pointed out by Saint Foix. It is in fact a paradox, reformers demanding change but falling back into their old habits opposed by the enlightened Philosophes albeit form a post 1789 point </w:t>
      </w:r>
      <w:r w:rsidR="0052161D" w:rsidRPr="006461AF">
        <w:rPr>
          <w:rFonts w:asciiTheme="minorHAnsi" w:hAnsiTheme="minorHAnsi" w:cstheme="minorHAnsi"/>
        </w:rPr>
        <w:t>o</w:t>
      </w:r>
      <w:r w:rsidRPr="006461AF">
        <w:rPr>
          <w:rFonts w:asciiTheme="minorHAnsi" w:hAnsiTheme="minorHAnsi" w:cstheme="minorHAnsi"/>
        </w:rPr>
        <w:t>f view</w:t>
      </w:r>
      <w:r w:rsidR="0052161D" w:rsidRPr="006461AF">
        <w:rPr>
          <w:rStyle w:val="FootnoteReference"/>
          <w:rFonts w:asciiTheme="minorHAnsi" w:hAnsiTheme="minorHAnsi" w:cstheme="minorHAnsi"/>
        </w:rPr>
        <w:footnoteReference w:id="73"/>
      </w:r>
      <w:r w:rsidRPr="006461AF">
        <w:rPr>
          <w:rFonts w:asciiTheme="minorHAnsi" w:hAnsiTheme="minorHAnsi" w:cstheme="minorHAnsi"/>
        </w:rPr>
        <w:t xml:space="preserve">. </w:t>
      </w:r>
    </w:p>
    <w:p w:rsidR="0032288C" w:rsidRPr="006461AF" w:rsidRDefault="00E66B5D">
      <w:pPr>
        <w:spacing w:before="240"/>
        <w:rPr>
          <w:rFonts w:asciiTheme="minorHAnsi" w:hAnsiTheme="minorHAnsi" w:cstheme="minorHAnsi"/>
        </w:rPr>
      </w:pPr>
      <w:r w:rsidRPr="006461AF">
        <w:rPr>
          <w:rFonts w:asciiTheme="minorHAnsi" w:hAnsiTheme="minorHAnsi" w:cstheme="minorHAnsi"/>
        </w:rPr>
        <w:t xml:space="preserve">Within this discussion it is evident that the culture of honour did indeed reflect the Enlightenment. It has been established that certainly from the perspective of Montesquieu, Hobbes, and Smith, Enlightenment themes such as, self-reliance, selflessness and rational thought are reflected in thoughts and ideals when it comes to honour. Yet you still see the self-serving nature of man surface in all their philosophies, the need to succeed at the expense of others, in greed and vice. As to duty and sacrifice perceived by Hobbes through the purview of virtue, they always pervade warfare, before and after The Enlightenment. Always challenged but in different times depending on the time and as stated can contribute to the said paradox. Whilst you see elements of The Enlightenment in the Culture of Honour it must be understood that it may espouse values, but it does not mean that they are integral. It may espouse but react in such a way that contradicts those very values.  </w:t>
      </w:r>
    </w:p>
    <w:p w:rsidR="005E4DEB" w:rsidRPr="006461AF" w:rsidRDefault="005E4DEB">
      <w:pPr>
        <w:spacing w:before="240"/>
        <w:rPr>
          <w:rFonts w:asciiTheme="minorHAnsi" w:hAnsiTheme="minorHAnsi" w:cstheme="minorHAnsi"/>
          <w:b/>
          <w:u w:val="single"/>
        </w:rPr>
      </w:pPr>
    </w:p>
    <w:p w:rsidR="006461AF" w:rsidRDefault="006461AF">
      <w:pPr>
        <w:spacing w:before="240"/>
        <w:rPr>
          <w:rFonts w:asciiTheme="minorHAnsi" w:hAnsiTheme="minorHAnsi" w:cstheme="minorHAnsi"/>
          <w:b/>
          <w:u w:val="single"/>
        </w:rPr>
      </w:pPr>
    </w:p>
    <w:p w:rsidR="006461AF" w:rsidRDefault="006461AF">
      <w:pPr>
        <w:spacing w:before="240"/>
        <w:rPr>
          <w:rFonts w:asciiTheme="minorHAnsi" w:hAnsiTheme="minorHAnsi" w:cstheme="minorHAnsi"/>
          <w:b/>
          <w:sz w:val="24"/>
          <w:szCs w:val="24"/>
          <w:u w:val="single"/>
        </w:rPr>
      </w:pPr>
    </w:p>
    <w:p w:rsidR="006461AF" w:rsidRDefault="006461AF">
      <w:pPr>
        <w:spacing w:before="240"/>
        <w:rPr>
          <w:rFonts w:asciiTheme="minorHAnsi" w:hAnsiTheme="minorHAnsi" w:cstheme="minorHAnsi"/>
          <w:b/>
          <w:sz w:val="24"/>
          <w:szCs w:val="24"/>
          <w:u w:val="single"/>
        </w:rPr>
      </w:pPr>
    </w:p>
    <w:p w:rsidR="006461AF" w:rsidRDefault="006461AF">
      <w:pPr>
        <w:spacing w:before="240"/>
        <w:rPr>
          <w:rFonts w:asciiTheme="minorHAnsi" w:hAnsiTheme="minorHAnsi" w:cstheme="minorHAnsi"/>
          <w:b/>
          <w:sz w:val="24"/>
          <w:szCs w:val="24"/>
          <w:u w:val="single"/>
        </w:rPr>
      </w:pPr>
    </w:p>
    <w:p w:rsidR="006461AF" w:rsidRDefault="006461AF">
      <w:pPr>
        <w:spacing w:before="240"/>
        <w:rPr>
          <w:rFonts w:asciiTheme="minorHAnsi" w:hAnsiTheme="minorHAnsi" w:cstheme="minorHAnsi"/>
          <w:b/>
          <w:sz w:val="24"/>
          <w:szCs w:val="24"/>
          <w:u w:val="single"/>
        </w:rPr>
      </w:pPr>
    </w:p>
    <w:p w:rsidR="006461AF" w:rsidRDefault="006461AF">
      <w:pPr>
        <w:spacing w:before="240"/>
        <w:rPr>
          <w:rFonts w:asciiTheme="minorHAnsi" w:hAnsiTheme="minorHAnsi" w:cstheme="minorHAnsi"/>
          <w:b/>
          <w:sz w:val="24"/>
          <w:szCs w:val="24"/>
          <w:u w:val="single"/>
        </w:rPr>
      </w:pPr>
    </w:p>
    <w:p w:rsidR="006461AF" w:rsidRDefault="006461AF">
      <w:pPr>
        <w:spacing w:before="240"/>
        <w:rPr>
          <w:rFonts w:asciiTheme="minorHAnsi" w:hAnsiTheme="minorHAnsi" w:cstheme="minorHAnsi"/>
          <w:b/>
          <w:sz w:val="24"/>
          <w:szCs w:val="24"/>
          <w:u w:val="single"/>
        </w:rPr>
      </w:pPr>
    </w:p>
    <w:p w:rsidR="006461AF" w:rsidRDefault="006461AF">
      <w:pPr>
        <w:spacing w:before="240"/>
        <w:rPr>
          <w:rFonts w:asciiTheme="minorHAnsi" w:hAnsiTheme="minorHAnsi" w:cstheme="minorHAnsi"/>
          <w:b/>
          <w:sz w:val="24"/>
          <w:szCs w:val="24"/>
          <w:u w:val="single"/>
        </w:rPr>
      </w:pPr>
    </w:p>
    <w:p w:rsidR="006461AF" w:rsidRDefault="006461AF">
      <w:pPr>
        <w:spacing w:before="240"/>
        <w:rPr>
          <w:rFonts w:asciiTheme="minorHAnsi" w:hAnsiTheme="minorHAnsi" w:cstheme="minorHAnsi"/>
          <w:b/>
          <w:sz w:val="24"/>
          <w:szCs w:val="24"/>
          <w:u w:val="single"/>
        </w:rPr>
      </w:pPr>
    </w:p>
    <w:p w:rsidR="006461AF" w:rsidRDefault="006461AF">
      <w:pPr>
        <w:spacing w:before="240"/>
        <w:rPr>
          <w:rFonts w:asciiTheme="minorHAnsi" w:hAnsiTheme="minorHAnsi" w:cstheme="minorHAnsi"/>
          <w:b/>
          <w:sz w:val="24"/>
          <w:szCs w:val="24"/>
          <w:u w:val="single"/>
        </w:rPr>
      </w:pPr>
    </w:p>
    <w:p w:rsidR="006461AF" w:rsidRDefault="006461AF">
      <w:pPr>
        <w:spacing w:before="240"/>
        <w:rPr>
          <w:rFonts w:asciiTheme="minorHAnsi" w:hAnsiTheme="minorHAnsi" w:cstheme="minorHAnsi"/>
          <w:b/>
          <w:sz w:val="24"/>
          <w:szCs w:val="24"/>
          <w:u w:val="single"/>
        </w:rPr>
      </w:pPr>
    </w:p>
    <w:p w:rsidR="006461AF" w:rsidRDefault="006461AF">
      <w:pPr>
        <w:spacing w:before="240"/>
        <w:rPr>
          <w:rFonts w:asciiTheme="minorHAnsi" w:hAnsiTheme="minorHAnsi" w:cstheme="minorHAnsi"/>
          <w:b/>
          <w:sz w:val="24"/>
          <w:szCs w:val="24"/>
          <w:u w:val="single"/>
        </w:rPr>
      </w:pPr>
    </w:p>
    <w:p w:rsidR="006461AF" w:rsidRDefault="006461AF">
      <w:pPr>
        <w:spacing w:before="240"/>
        <w:rPr>
          <w:rFonts w:asciiTheme="minorHAnsi" w:hAnsiTheme="minorHAnsi" w:cstheme="minorHAnsi"/>
          <w:b/>
          <w:sz w:val="24"/>
          <w:szCs w:val="24"/>
          <w:u w:val="single"/>
        </w:rPr>
      </w:pPr>
    </w:p>
    <w:p w:rsidR="006461AF" w:rsidRDefault="006461AF">
      <w:pPr>
        <w:spacing w:before="240"/>
        <w:rPr>
          <w:rFonts w:asciiTheme="minorHAnsi" w:hAnsiTheme="minorHAnsi" w:cstheme="minorHAnsi"/>
          <w:b/>
          <w:sz w:val="24"/>
          <w:szCs w:val="24"/>
          <w:u w:val="single"/>
        </w:rPr>
      </w:pPr>
    </w:p>
    <w:p w:rsidR="006461AF" w:rsidRDefault="006461AF">
      <w:pPr>
        <w:spacing w:before="240"/>
        <w:rPr>
          <w:rFonts w:asciiTheme="minorHAnsi" w:hAnsiTheme="minorHAnsi" w:cstheme="minorHAnsi"/>
          <w:b/>
          <w:sz w:val="24"/>
          <w:szCs w:val="24"/>
          <w:u w:val="single"/>
        </w:rPr>
      </w:pPr>
    </w:p>
    <w:p w:rsidR="006461AF" w:rsidRDefault="006461AF">
      <w:pPr>
        <w:spacing w:before="240"/>
        <w:rPr>
          <w:rFonts w:asciiTheme="minorHAnsi" w:hAnsiTheme="minorHAnsi" w:cstheme="minorHAnsi"/>
          <w:b/>
          <w:sz w:val="24"/>
          <w:szCs w:val="24"/>
          <w:u w:val="single"/>
        </w:rPr>
      </w:pPr>
    </w:p>
    <w:p w:rsidR="006461AF" w:rsidRDefault="006461AF">
      <w:pPr>
        <w:spacing w:before="240"/>
        <w:rPr>
          <w:rFonts w:asciiTheme="minorHAnsi" w:hAnsiTheme="minorHAnsi" w:cstheme="minorHAnsi"/>
          <w:b/>
          <w:sz w:val="24"/>
          <w:szCs w:val="24"/>
          <w:u w:val="single"/>
        </w:rPr>
      </w:pPr>
    </w:p>
    <w:p w:rsidR="0032288C" w:rsidRPr="006461AF" w:rsidRDefault="002C06A7">
      <w:pPr>
        <w:spacing w:before="240"/>
        <w:rPr>
          <w:rFonts w:asciiTheme="minorHAnsi" w:hAnsiTheme="minorHAnsi" w:cstheme="minorHAnsi"/>
          <w:b/>
          <w:sz w:val="24"/>
          <w:szCs w:val="24"/>
          <w:u w:val="single"/>
        </w:rPr>
      </w:pPr>
      <w:r w:rsidRPr="006461AF">
        <w:rPr>
          <w:rFonts w:asciiTheme="minorHAnsi" w:hAnsiTheme="minorHAnsi" w:cstheme="minorHAnsi"/>
          <w:b/>
          <w:sz w:val="24"/>
          <w:szCs w:val="24"/>
          <w:u w:val="single"/>
        </w:rPr>
        <w:t xml:space="preserve">Bibliography </w:t>
      </w:r>
    </w:p>
    <w:p w:rsidR="0032288C" w:rsidRPr="006461AF" w:rsidRDefault="002C06A7">
      <w:pPr>
        <w:spacing w:before="240"/>
        <w:rPr>
          <w:rFonts w:asciiTheme="minorHAnsi" w:hAnsiTheme="minorHAnsi" w:cstheme="minorHAnsi"/>
          <w:b/>
          <w:sz w:val="24"/>
          <w:szCs w:val="24"/>
        </w:rPr>
      </w:pPr>
      <w:r w:rsidRPr="006461AF">
        <w:rPr>
          <w:rFonts w:asciiTheme="minorHAnsi" w:hAnsiTheme="minorHAnsi" w:cstheme="minorHAnsi"/>
          <w:b/>
          <w:sz w:val="24"/>
          <w:szCs w:val="24"/>
        </w:rPr>
        <w:t xml:space="preserve">Primary Sources: </w:t>
      </w:r>
    </w:p>
    <w:p w:rsidR="00EB79DB" w:rsidRPr="006461AF" w:rsidRDefault="00EB79DB">
      <w:pPr>
        <w:spacing w:before="240"/>
        <w:rPr>
          <w:rFonts w:asciiTheme="minorHAnsi" w:hAnsiTheme="minorHAnsi" w:cstheme="minorHAnsi"/>
        </w:rPr>
      </w:pPr>
      <w:r w:rsidRPr="006461AF">
        <w:rPr>
          <w:rFonts w:asciiTheme="minorHAnsi" w:hAnsiTheme="minorHAnsi" w:cstheme="minorHAnsi"/>
        </w:rPr>
        <w:t>Dalrymple</w:t>
      </w:r>
      <w:r w:rsidR="00507163" w:rsidRPr="006461AF">
        <w:rPr>
          <w:rFonts w:asciiTheme="minorHAnsi" w:hAnsiTheme="minorHAnsi" w:cstheme="minorHAnsi"/>
        </w:rPr>
        <w:t>. C</w:t>
      </w:r>
      <w:r w:rsidR="006461AF">
        <w:rPr>
          <w:rFonts w:asciiTheme="minorHAnsi" w:hAnsiTheme="minorHAnsi" w:cstheme="minorHAnsi"/>
        </w:rPr>
        <w:t>.</w:t>
      </w:r>
      <w:r w:rsidR="00507163" w:rsidRPr="006461AF">
        <w:rPr>
          <w:rFonts w:asciiTheme="minorHAnsi" w:hAnsiTheme="minorHAnsi" w:cstheme="minorHAnsi"/>
        </w:rPr>
        <w:t xml:space="preserve">, </w:t>
      </w:r>
      <w:r w:rsidRPr="006461AF">
        <w:rPr>
          <w:rFonts w:asciiTheme="minorHAnsi" w:hAnsiTheme="minorHAnsi" w:cstheme="minorHAnsi"/>
          <w:i/>
        </w:rPr>
        <w:t>A Military Essay Containing Reflections on the Raising, Arming, Clothing, and Discipline of The British Infantry and Cavalry</w:t>
      </w:r>
      <w:r w:rsidRPr="006461AF">
        <w:rPr>
          <w:rFonts w:asciiTheme="minorHAnsi" w:hAnsiTheme="minorHAnsi" w:cstheme="minorHAnsi"/>
        </w:rPr>
        <w:t>, (London, 1761)</w:t>
      </w:r>
    </w:p>
    <w:p w:rsidR="00EB79DB" w:rsidRPr="006461AF" w:rsidRDefault="00EB79DB">
      <w:pPr>
        <w:spacing w:before="240"/>
        <w:rPr>
          <w:rFonts w:asciiTheme="minorHAnsi" w:hAnsiTheme="minorHAnsi" w:cstheme="minorHAnsi"/>
        </w:rPr>
      </w:pPr>
      <w:r w:rsidRPr="006461AF">
        <w:rPr>
          <w:rFonts w:asciiTheme="minorHAnsi" w:hAnsiTheme="minorHAnsi" w:cstheme="minorHAnsi"/>
        </w:rPr>
        <w:t>Eid</w:t>
      </w:r>
      <w:r w:rsidR="00507163" w:rsidRPr="006461AF">
        <w:rPr>
          <w:rFonts w:asciiTheme="minorHAnsi" w:hAnsiTheme="minorHAnsi" w:cstheme="minorHAnsi"/>
        </w:rPr>
        <w:t>. G</w:t>
      </w:r>
      <w:r w:rsidR="006461AF">
        <w:rPr>
          <w:rFonts w:asciiTheme="minorHAnsi" w:hAnsiTheme="minorHAnsi" w:cstheme="minorHAnsi"/>
        </w:rPr>
        <w:t>.</w:t>
      </w:r>
      <w:r w:rsidR="00507163" w:rsidRPr="006461AF">
        <w:rPr>
          <w:rFonts w:asciiTheme="minorHAnsi" w:hAnsiTheme="minorHAnsi" w:cstheme="minorHAnsi"/>
        </w:rPr>
        <w:t>,</w:t>
      </w:r>
      <w:r w:rsidRPr="006461AF">
        <w:rPr>
          <w:rFonts w:asciiTheme="minorHAnsi" w:hAnsiTheme="minorHAnsi" w:cstheme="minorHAnsi"/>
        </w:rPr>
        <w:t xml:space="preserve"> ‘Diary of Lieutenant George Eid’, </w:t>
      </w:r>
      <w:r w:rsidRPr="006461AF">
        <w:rPr>
          <w:rFonts w:asciiTheme="minorHAnsi" w:hAnsiTheme="minorHAnsi" w:cstheme="minorHAnsi"/>
          <w:i/>
        </w:rPr>
        <w:t>Proceedings of the Massachusetts Historical Society 18</w:t>
      </w:r>
      <w:r w:rsidRPr="006461AF">
        <w:rPr>
          <w:rFonts w:asciiTheme="minorHAnsi" w:hAnsiTheme="minorHAnsi" w:cstheme="minorHAnsi"/>
        </w:rPr>
        <w:t>, (1880)</w:t>
      </w:r>
    </w:p>
    <w:p w:rsidR="0032288C" w:rsidRPr="006461AF" w:rsidRDefault="002C06A7">
      <w:pPr>
        <w:spacing w:before="240"/>
        <w:rPr>
          <w:rFonts w:asciiTheme="minorHAnsi" w:hAnsiTheme="minorHAnsi" w:cstheme="minorHAnsi"/>
        </w:rPr>
      </w:pPr>
      <w:r w:rsidRPr="006461AF">
        <w:rPr>
          <w:rFonts w:asciiTheme="minorHAnsi" w:hAnsiTheme="minorHAnsi" w:cstheme="minorHAnsi"/>
        </w:rPr>
        <w:t>Hobbes</w:t>
      </w:r>
      <w:r w:rsidR="006461AF">
        <w:rPr>
          <w:rFonts w:asciiTheme="minorHAnsi" w:hAnsiTheme="minorHAnsi" w:cstheme="minorHAnsi"/>
        </w:rPr>
        <w:t>.</w:t>
      </w:r>
      <w:r w:rsidR="00507163" w:rsidRPr="006461AF">
        <w:rPr>
          <w:rFonts w:asciiTheme="minorHAnsi" w:hAnsiTheme="minorHAnsi" w:cstheme="minorHAnsi"/>
        </w:rPr>
        <w:t xml:space="preserve"> T.</w:t>
      </w:r>
      <w:r w:rsidR="006461AF">
        <w:rPr>
          <w:rFonts w:asciiTheme="minorHAnsi" w:hAnsiTheme="minorHAnsi" w:cstheme="minorHAnsi"/>
        </w:rPr>
        <w:t>,</w:t>
      </w:r>
      <w:r w:rsidRPr="006461AF">
        <w:rPr>
          <w:rFonts w:asciiTheme="minorHAnsi" w:hAnsiTheme="minorHAnsi" w:cstheme="minorHAnsi"/>
        </w:rPr>
        <w:t xml:space="preserve"> </w:t>
      </w:r>
      <w:r w:rsidRPr="006461AF">
        <w:rPr>
          <w:rFonts w:asciiTheme="minorHAnsi" w:hAnsiTheme="minorHAnsi" w:cstheme="minorHAnsi"/>
          <w:i/>
        </w:rPr>
        <w:t>Leviathan</w:t>
      </w:r>
      <w:r w:rsidRPr="006461AF">
        <w:rPr>
          <w:rFonts w:asciiTheme="minorHAnsi" w:hAnsiTheme="minorHAnsi" w:cstheme="minorHAnsi"/>
        </w:rPr>
        <w:t>, (Galloway: Anodos Books, 2017)</w:t>
      </w:r>
    </w:p>
    <w:p w:rsidR="0032288C" w:rsidRPr="006461AF" w:rsidRDefault="00D22C2B">
      <w:pPr>
        <w:spacing w:before="240"/>
        <w:rPr>
          <w:rFonts w:asciiTheme="minorHAnsi" w:hAnsiTheme="minorHAnsi" w:cstheme="minorHAnsi"/>
        </w:rPr>
      </w:pPr>
      <w:r w:rsidRPr="006461AF">
        <w:rPr>
          <w:rFonts w:asciiTheme="minorHAnsi" w:hAnsiTheme="minorHAnsi" w:cstheme="minorHAnsi"/>
        </w:rPr>
        <w:t>Montesquieu</w:t>
      </w:r>
      <w:r w:rsidR="00507163" w:rsidRPr="006461AF">
        <w:rPr>
          <w:rFonts w:asciiTheme="minorHAnsi" w:hAnsiTheme="minorHAnsi" w:cstheme="minorHAnsi"/>
        </w:rPr>
        <w:t>.</w:t>
      </w:r>
      <w:r w:rsidR="006461AF">
        <w:rPr>
          <w:rFonts w:asciiTheme="minorHAnsi" w:hAnsiTheme="minorHAnsi" w:cstheme="minorHAnsi"/>
        </w:rPr>
        <w:t>,</w:t>
      </w:r>
      <w:r w:rsidRPr="006461AF">
        <w:rPr>
          <w:rFonts w:asciiTheme="minorHAnsi" w:hAnsiTheme="minorHAnsi" w:cstheme="minorHAnsi"/>
        </w:rPr>
        <w:t xml:space="preserve"> </w:t>
      </w:r>
      <w:r w:rsidRPr="006461AF">
        <w:rPr>
          <w:rFonts w:asciiTheme="minorHAnsi" w:hAnsiTheme="minorHAnsi" w:cstheme="minorHAnsi"/>
          <w:i/>
        </w:rPr>
        <w:t>The Spirit of the Laws</w:t>
      </w:r>
      <w:r w:rsidRPr="006461AF">
        <w:rPr>
          <w:rFonts w:asciiTheme="minorHAnsi" w:hAnsiTheme="minorHAnsi" w:cstheme="minorHAnsi"/>
        </w:rPr>
        <w:t>, (Oxford: Oxford University Press, 1989)</w:t>
      </w:r>
    </w:p>
    <w:p w:rsidR="004E6E43" w:rsidRPr="006461AF" w:rsidRDefault="004E6E43">
      <w:pPr>
        <w:spacing w:before="240"/>
        <w:rPr>
          <w:rFonts w:asciiTheme="minorHAnsi" w:hAnsiTheme="minorHAnsi" w:cstheme="minorHAnsi"/>
        </w:rPr>
      </w:pPr>
      <w:r w:rsidRPr="006461AF">
        <w:rPr>
          <w:rFonts w:asciiTheme="minorHAnsi" w:hAnsiTheme="minorHAnsi" w:cstheme="minorHAnsi"/>
        </w:rPr>
        <w:t>Smith. A</w:t>
      </w:r>
      <w:r w:rsidR="006461AF">
        <w:rPr>
          <w:rFonts w:asciiTheme="minorHAnsi" w:hAnsiTheme="minorHAnsi" w:cstheme="minorHAnsi"/>
        </w:rPr>
        <w:t>.</w:t>
      </w:r>
      <w:r w:rsidRPr="006461AF">
        <w:rPr>
          <w:rFonts w:asciiTheme="minorHAnsi" w:hAnsiTheme="minorHAnsi" w:cstheme="minorHAnsi"/>
        </w:rPr>
        <w:t xml:space="preserve">, </w:t>
      </w:r>
      <w:r w:rsidRPr="006461AF">
        <w:rPr>
          <w:rFonts w:asciiTheme="minorHAnsi" w:hAnsiTheme="minorHAnsi" w:cstheme="minorHAnsi"/>
          <w:i/>
        </w:rPr>
        <w:t>Wealth of Nations</w:t>
      </w:r>
      <w:r w:rsidRPr="006461AF">
        <w:rPr>
          <w:rFonts w:asciiTheme="minorHAnsi" w:hAnsiTheme="minorHAnsi" w:cstheme="minorHAnsi"/>
        </w:rPr>
        <w:t>, (Cambridge: Heritage Books, 1997)</w:t>
      </w:r>
    </w:p>
    <w:p w:rsidR="00CB5DA7" w:rsidRPr="006461AF" w:rsidRDefault="00CB5DA7">
      <w:pPr>
        <w:spacing w:before="240"/>
        <w:rPr>
          <w:rFonts w:asciiTheme="minorHAnsi" w:hAnsiTheme="minorHAnsi" w:cstheme="minorHAnsi"/>
          <w:b/>
          <w:sz w:val="24"/>
          <w:szCs w:val="24"/>
        </w:rPr>
      </w:pPr>
      <w:r w:rsidRPr="006461AF">
        <w:rPr>
          <w:rFonts w:asciiTheme="minorHAnsi" w:hAnsiTheme="minorHAnsi" w:cstheme="minorHAnsi"/>
          <w:b/>
          <w:sz w:val="24"/>
          <w:szCs w:val="24"/>
        </w:rPr>
        <w:t xml:space="preserve">Secondary Sources: </w:t>
      </w:r>
    </w:p>
    <w:p w:rsidR="009A6827" w:rsidRPr="006461AF" w:rsidRDefault="009A6827">
      <w:pPr>
        <w:spacing w:before="240"/>
        <w:rPr>
          <w:rFonts w:asciiTheme="minorHAnsi" w:hAnsiTheme="minorHAnsi" w:cstheme="minorHAnsi"/>
        </w:rPr>
      </w:pPr>
      <w:r w:rsidRPr="006461AF">
        <w:rPr>
          <w:rFonts w:asciiTheme="minorHAnsi" w:hAnsiTheme="minorHAnsi" w:cstheme="minorHAnsi"/>
        </w:rPr>
        <w:t>Bien. D</w:t>
      </w:r>
      <w:r w:rsidR="006461AF">
        <w:rPr>
          <w:rFonts w:asciiTheme="minorHAnsi" w:hAnsiTheme="minorHAnsi" w:cstheme="minorHAnsi"/>
        </w:rPr>
        <w:t>.</w:t>
      </w:r>
      <w:r w:rsidRPr="006461AF">
        <w:rPr>
          <w:rFonts w:asciiTheme="minorHAnsi" w:hAnsiTheme="minorHAnsi" w:cstheme="minorHAnsi"/>
        </w:rPr>
        <w:t xml:space="preserve">, ‘The Army, in the French Enlightenment: Reform, Reaction and Revolution’, </w:t>
      </w:r>
      <w:r w:rsidRPr="006461AF">
        <w:rPr>
          <w:rFonts w:asciiTheme="minorHAnsi" w:hAnsiTheme="minorHAnsi" w:cstheme="minorHAnsi"/>
          <w:i/>
        </w:rPr>
        <w:t xml:space="preserve">Past and Present (1979), </w:t>
      </w:r>
      <w:r w:rsidRPr="006461AF">
        <w:rPr>
          <w:rFonts w:asciiTheme="minorHAnsi" w:hAnsiTheme="minorHAnsi" w:cstheme="minorHAnsi"/>
        </w:rPr>
        <w:t>pp. 65 – 78</w:t>
      </w:r>
      <w:r w:rsidR="006461AF">
        <w:rPr>
          <w:rFonts w:asciiTheme="minorHAnsi" w:hAnsiTheme="minorHAnsi" w:cstheme="minorHAnsi"/>
        </w:rPr>
        <w:t xml:space="preserve"> </w:t>
      </w:r>
    </w:p>
    <w:p w:rsidR="009A6827" w:rsidRPr="006461AF" w:rsidRDefault="009A6827">
      <w:pPr>
        <w:spacing w:before="240"/>
        <w:rPr>
          <w:rFonts w:asciiTheme="minorHAnsi" w:hAnsiTheme="minorHAnsi" w:cstheme="minorHAnsi"/>
        </w:rPr>
      </w:pPr>
      <w:r w:rsidRPr="006461AF">
        <w:rPr>
          <w:rFonts w:asciiTheme="minorHAnsi" w:hAnsiTheme="minorHAnsi" w:cstheme="minorHAnsi"/>
        </w:rPr>
        <w:t>Chagniot. J</w:t>
      </w:r>
      <w:r w:rsidR="006461AF">
        <w:rPr>
          <w:rFonts w:asciiTheme="minorHAnsi" w:hAnsiTheme="minorHAnsi" w:cstheme="minorHAnsi"/>
        </w:rPr>
        <w:t>.</w:t>
      </w:r>
      <w:r w:rsidRPr="006461AF">
        <w:rPr>
          <w:rFonts w:asciiTheme="minorHAnsi" w:hAnsiTheme="minorHAnsi" w:cstheme="minorHAnsi"/>
          <w:i/>
        </w:rPr>
        <w:t xml:space="preserve">, </w:t>
      </w:r>
      <w:proofErr w:type="spellStart"/>
      <w:r w:rsidRPr="006461AF">
        <w:rPr>
          <w:rFonts w:asciiTheme="minorHAnsi" w:hAnsiTheme="minorHAnsi" w:cstheme="minorHAnsi"/>
          <w:i/>
        </w:rPr>
        <w:t>Guere</w:t>
      </w:r>
      <w:proofErr w:type="spellEnd"/>
      <w:r w:rsidRPr="006461AF">
        <w:rPr>
          <w:rFonts w:asciiTheme="minorHAnsi" w:hAnsiTheme="minorHAnsi" w:cstheme="minorHAnsi"/>
          <w:i/>
        </w:rPr>
        <w:t xml:space="preserve"> et </w:t>
      </w:r>
      <w:proofErr w:type="spellStart"/>
      <w:r w:rsidRPr="006461AF">
        <w:rPr>
          <w:rFonts w:asciiTheme="minorHAnsi" w:hAnsiTheme="minorHAnsi" w:cstheme="minorHAnsi"/>
          <w:i/>
        </w:rPr>
        <w:t>Societe</w:t>
      </w:r>
      <w:proofErr w:type="spellEnd"/>
      <w:r w:rsidRPr="006461AF">
        <w:rPr>
          <w:rFonts w:asciiTheme="minorHAnsi" w:hAnsiTheme="minorHAnsi" w:cstheme="minorHAnsi"/>
          <w:i/>
        </w:rPr>
        <w:t xml:space="preserve"> a </w:t>
      </w:r>
      <w:proofErr w:type="spellStart"/>
      <w:r w:rsidRPr="006461AF">
        <w:rPr>
          <w:rFonts w:asciiTheme="minorHAnsi" w:hAnsiTheme="minorHAnsi" w:cstheme="minorHAnsi"/>
          <w:i/>
        </w:rPr>
        <w:t>l’poque</w:t>
      </w:r>
      <w:proofErr w:type="spellEnd"/>
      <w:r w:rsidRPr="006461AF">
        <w:rPr>
          <w:rFonts w:asciiTheme="minorHAnsi" w:hAnsiTheme="minorHAnsi" w:cstheme="minorHAnsi"/>
          <w:i/>
        </w:rPr>
        <w:t xml:space="preserve"> </w:t>
      </w:r>
      <w:proofErr w:type="spellStart"/>
      <w:r w:rsidRPr="006461AF">
        <w:rPr>
          <w:rFonts w:asciiTheme="minorHAnsi" w:hAnsiTheme="minorHAnsi" w:cstheme="minorHAnsi"/>
          <w:i/>
        </w:rPr>
        <w:t>moderne</w:t>
      </w:r>
      <w:proofErr w:type="spellEnd"/>
      <w:r w:rsidRPr="006461AF">
        <w:rPr>
          <w:rFonts w:asciiTheme="minorHAnsi" w:hAnsiTheme="minorHAnsi" w:cstheme="minorHAnsi"/>
        </w:rPr>
        <w:t xml:space="preserve"> (Paris: University of France Press, 2001) </w:t>
      </w:r>
    </w:p>
    <w:p w:rsidR="00E67A00" w:rsidRPr="006461AF" w:rsidRDefault="00E67A00">
      <w:pPr>
        <w:spacing w:before="240"/>
        <w:rPr>
          <w:rFonts w:asciiTheme="minorHAnsi" w:hAnsiTheme="minorHAnsi" w:cstheme="minorHAnsi"/>
        </w:rPr>
      </w:pPr>
      <w:r w:rsidRPr="006461AF">
        <w:rPr>
          <w:rFonts w:asciiTheme="minorHAnsi" w:hAnsiTheme="minorHAnsi" w:cstheme="minorHAnsi"/>
        </w:rPr>
        <w:t>Farwell. B</w:t>
      </w:r>
      <w:r w:rsidR="006461AF">
        <w:rPr>
          <w:rFonts w:asciiTheme="minorHAnsi" w:hAnsiTheme="minorHAnsi" w:cstheme="minorHAnsi"/>
        </w:rPr>
        <w:t>.</w:t>
      </w:r>
      <w:r w:rsidRPr="006461AF">
        <w:rPr>
          <w:rFonts w:asciiTheme="minorHAnsi" w:hAnsiTheme="minorHAnsi" w:cstheme="minorHAnsi"/>
        </w:rPr>
        <w:t xml:space="preserve">, </w:t>
      </w:r>
      <w:r w:rsidRPr="006461AF">
        <w:rPr>
          <w:rFonts w:asciiTheme="minorHAnsi" w:hAnsiTheme="minorHAnsi" w:cstheme="minorHAnsi"/>
          <w:i/>
        </w:rPr>
        <w:t>For Queen and Country: Social History of the Victorian and Edwardian Army</w:t>
      </w:r>
      <w:r w:rsidRPr="006461AF">
        <w:rPr>
          <w:rFonts w:asciiTheme="minorHAnsi" w:hAnsiTheme="minorHAnsi" w:cstheme="minorHAnsi"/>
        </w:rPr>
        <w:t>, (London: Viking Books)</w:t>
      </w:r>
    </w:p>
    <w:p w:rsidR="00E67A00" w:rsidRPr="006461AF" w:rsidRDefault="00E67A00">
      <w:pPr>
        <w:spacing w:before="240"/>
        <w:rPr>
          <w:rFonts w:asciiTheme="minorHAnsi" w:hAnsiTheme="minorHAnsi" w:cstheme="minorHAnsi"/>
        </w:rPr>
      </w:pPr>
      <w:r w:rsidRPr="006461AF">
        <w:rPr>
          <w:rFonts w:asciiTheme="minorHAnsi" w:hAnsiTheme="minorHAnsi" w:cstheme="minorHAnsi"/>
        </w:rPr>
        <w:t>G. Freemont Barnes</w:t>
      </w:r>
      <w:r w:rsidR="006461AF">
        <w:rPr>
          <w:rFonts w:asciiTheme="minorHAnsi" w:hAnsiTheme="minorHAnsi" w:cstheme="minorHAnsi"/>
        </w:rPr>
        <w:t>.</w:t>
      </w:r>
      <w:r w:rsidRPr="006461AF">
        <w:rPr>
          <w:rFonts w:asciiTheme="minorHAnsi" w:hAnsiTheme="minorHAnsi" w:cstheme="minorHAnsi"/>
          <w:i/>
        </w:rPr>
        <w:t>, Armies of the Napoleonic Wars</w:t>
      </w:r>
      <w:r w:rsidRPr="006461AF">
        <w:rPr>
          <w:rFonts w:asciiTheme="minorHAnsi" w:hAnsiTheme="minorHAnsi" w:cstheme="minorHAnsi"/>
        </w:rPr>
        <w:t>, (London: Pen and Sword Military Books, 2011)</w:t>
      </w:r>
    </w:p>
    <w:p w:rsidR="0032288C" w:rsidRPr="006461AF" w:rsidRDefault="00D77418">
      <w:pPr>
        <w:spacing w:before="240"/>
        <w:rPr>
          <w:rFonts w:asciiTheme="minorHAnsi" w:hAnsiTheme="minorHAnsi" w:cstheme="minorHAnsi"/>
        </w:rPr>
      </w:pPr>
      <w:r w:rsidRPr="006461AF">
        <w:rPr>
          <w:rFonts w:asciiTheme="minorHAnsi" w:hAnsiTheme="minorHAnsi" w:cstheme="minorHAnsi"/>
        </w:rPr>
        <w:t>Keegan</w:t>
      </w:r>
      <w:r w:rsidR="00796595" w:rsidRPr="006461AF">
        <w:rPr>
          <w:rFonts w:asciiTheme="minorHAnsi" w:hAnsiTheme="minorHAnsi" w:cstheme="minorHAnsi"/>
        </w:rPr>
        <w:t>. J</w:t>
      </w:r>
      <w:r w:rsidR="006461AF">
        <w:rPr>
          <w:rFonts w:asciiTheme="minorHAnsi" w:hAnsiTheme="minorHAnsi" w:cstheme="minorHAnsi"/>
        </w:rPr>
        <w:t>.</w:t>
      </w:r>
      <w:r w:rsidRPr="006461AF">
        <w:rPr>
          <w:rFonts w:asciiTheme="minorHAnsi" w:hAnsiTheme="minorHAnsi" w:cstheme="minorHAnsi"/>
        </w:rPr>
        <w:t xml:space="preserve">, </w:t>
      </w:r>
      <w:r w:rsidRPr="006461AF">
        <w:rPr>
          <w:rFonts w:asciiTheme="minorHAnsi" w:hAnsiTheme="minorHAnsi" w:cstheme="minorHAnsi"/>
          <w:i/>
        </w:rPr>
        <w:t>Mask of Command</w:t>
      </w:r>
      <w:r w:rsidRPr="006461AF">
        <w:rPr>
          <w:rFonts w:asciiTheme="minorHAnsi" w:hAnsiTheme="minorHAnsi" w:cstheme="minorHAnsi"/>
        </w:rPr>
        <w:t>, (London: Pimlico, 2004)</w:t>
      </w:r>
    </w:p>
    <w:p w:rsidR="005E4DEB" w:rsidRPr="006461AF" w:rsidRDefault="005E4DEB">
      <w:pPr>
        <w:spacing w:before="240"/>
        <w:rPr>
          <w:rFonts w:asciiTheme="minorHAnsi" w:hAnsiTheme="minorHAnsi" w:cstheme="minorHAnsi"/>
        </w:rPr>
      </w:pPr>
      <w:r w:rsidRPr="006461AF">
        <w:rPr>
          <w:rFonts w:asciiTheme="minorHAnsi" w:hAnsiTheme="minorHAnsi" w:cstheme="minorHAnsi"/>
        </w:rPr>
        <w:t>J. Keegan</w:t>
      </w:r>
      <w:r w:rsidR="006461AF">
        <w:rPr>
          <w:rFonts w:asciiTheme="minorHAnsi" w:hAnsiTheme="minorHAnsi" w:cstheme="minorHAnsi"/>
        </w:rPr>
        <w:t>.</w:t>
      </w:r>
      <w:r w:rsidRPr="006461AF">
        <w:rPr>
          <w:rFonts w:asciiTheme="minorHAnsi" w:hAnsiTheme="minorHAnsi" w:cstheme="minorHAnsi"/>
        </w:rPr>
        <w:t xml:space="preserve">, </w:t>
      </w:r>
      <w:r w:rsidRPr="006461AF">
        <w:rPr>
          <w:rFonts w:asciiTheme="minorHAnsi" w:hAnsiTheme="minorHAnsi" w:cstheme="minorHAnsi"/>
          <w:i/>
        </w:rPr>
        <w:t>A History of Warfare</w:t>
      </w:r>
      <w:r w:rsidRPr="006461AF">
        <w:rPr>
          <w:rFonts w:asciiTheme="minorHAnsi" w:hAnsiTheme="minorHAnsi" w:cstheme="minorHAnsi"/>
        </w:rPr>
        <w:t>, (London: Pimlico, 2004)</w:t>
      </w:r>
    </w:p>
    <w:p w:rsidR="00AC74A9" w:rsidRPr="006461AF" w:rsidRDefault="00AC74A9">
      <w:pPr>
        <w:spacing w:before="240"/>
        <w:rPr>
          <w:rFonts w:asciiTheme="minorHAnsi" w:hAnsiTheme="minorHAnsi" w:cstheme="minorHAnsi"/>
        </w:rPr>
      </w:pPr>
      <w:r w:rsidRPr="006461AF">
        <w:rPr>
          <w:rFonts w:asciiTheme="minorHAnsi" w:hAnsiTheme="minorHAnsi" w:cstheme="minorHAnsi"/>
        </w:rPr>
        <w:t>Knight. K</w:t>
      </w:r>
      <w:r w:rsidR="006461AF">
        <w:rPr>
          <w:rFonts w:asciiTheme="minorHAnsi" w:hAnsiTheme="minorHAnsi" w:cstheme="minorHAnsi"/>
        </w:rPr>
        <w:t>.</w:t>
      </w:r>
      <w:r w:rsidRPr="006461AF">
        <w:rPr>
          <w:rFonts w:asciiTheme="minorHAnsi" w:hAnsiTheme="minorHAnsi" w:cstheme="minorHAnsi"/>
        </w:rPr>
        <w:t xml:space="preserve">, </w:t>
      </w:r>
      <w:r w:rsidRPr="006461AF">
        <w:rPr>
          <w:rFonts w:asciiTheme="minorHAnsi" w:hAnsiTheme="minorHAnsi" w:cstheme="minorHAnsi"/>
          <w:i/>
        </w:rPr>
        <w:t>Britain Against Napoleon</w:t>
      </w:r>
      <w:r w:rsidRPr="006461AF">
        <w:rPr>
          <w:rFonts w:asciiTheme="minorHAnsi" w:hAnsiTheme="minorHAnsi" w:cstheme="minorHAnsi"/>
        </w:rPr>
        <w:t>, (London: Penguin Books: 2013)</w:t>
      </w:r>
    </w:p>
    <w:p w:rsidR="00796595" w:rsidRPr="006461AF" w:rsidRDefault="00796595">
      <w:pPr>
        <w:spacing w:before="240"/>
        <w:rPr>
          <w:rFonts w:asciiTheme="minorHAnsi" w:hAnsiTheme="minorHAnsi" w:cstheme="minorHAnsi"/>
        </w:rPr>
      </w:pPr>
      <w:proofErr w:type="spellStart"/>
      <w:r w:rsidRPr="006461AF">
        <w:rPr>
          <w:rFonts w:asciiTheme="minorHAnsi" w:hAnsiTheme="minorHAnsi" w:cstheme="minorHAnsi"/>
        </w:rPr>
        <w:t>LaVaque</w:t>
      </w:r>
      <w:proofErr w:type="spellEnd"/>
      <w:r w:rsidRPr="006461AF">
        <w:rPr>
          <w:rFonts w:asciiTheme="minorHAnsi" w:hAnsiTheme="minorHAnsi" w:cstheme="minorHAnsi"/>
        </w:rPr>
        <w:t>-Manty</w:t>
      </w:r>
      <w:r w:rsidR="00C65991" w:rsidRPr="006461AF">
        <w:rPr>
          <w:rFonts w:asciiTheme="minorHAnsi" w:hAnsiTheme="minorHAnsi" w:cstheme="minorHAnsi"/>
        </w:rPr>
        <w:t>. M</w:t>
      </w:r>
      <w:r w:rsidR="00481833">
        <w:rPr>
          <w:rFonts w:asciiTheme="minorHAnsi" w:hAnsiTheme="minorHAnsi" w:cstheme="minorHAnsi"/>
        </w:rPr>
        <w:t>.</w:t>
      </w:r>
      <w:r w:rsidR="00C65991" w:rsidRPr="006461AF">
        <w:rPr>
          <w:rFonts w:asciiTheme="minorHAnsi" w:hAnsiTheme="minorHAnsi" w:cstheme="minorHAnsi"/>
        </w:rPr>
        <w:t>,</w:t>
      </w:r>
      <w:r w:rsidRPr="006461AF">
        <w:rPr>
          <w:rFonts w:asciiTheme="minorHAnsi" w:hAnsiTheme="minorHAnsi" w:cstheme="minorHAnsi"/>
        </w:rPr>
        <w:t xml:space="preserve"> ‘Duelling for Equality: Masculine Honour and the Modern Politics of Dignity’, </w:t>
      </w:r>
      <w:r w:rsidRPr="006461AF">
        <w:rPr>
          <w:rFonts w:asciiTheme="minorHAnsi" w:hAnsiTheme="minorHAnsi" w:cstheme="minorHAnsi"/>
          <w:i/>
        </w:rPr>
        <w:t>Political Theory, Vol. 34, No. 6 (2006)</w:t>
      </w:r>
      <w:r w:rsidRPr="006461AF">
        <w:rPr>
          <w:rFonts w:asciiTheme="minorHAnsi" w:hAnsiTheme="minorHAnsi" w:cstheme="minorHAnsi"/>
        </w:rPr>
        <w:t>, pp. 715-740</w:t>
      </w:r>
    </w:p>
    <w:p w:rsidR="009A6827" w:rsidRPr="006461AF" w:rsidRDefault="009A6827">
      <w:pPr>
        <w:spacing w:before="240"/>
        <w:rPr>
          <w:rFonts w:asciiTheme="minorHAnsi" w:hAnsiTheme="minorHAnsi" w:cstheme="minorHAnsi"/>
        </w:rPr>
      </w:pPr>
      <w:r w:rsidRPr="006461AF">
        <w:rPr>
          <w:rFonts w:asciiTheme="minorHAnsi" w:hAnsiTheme="minorHAnsi" w:cstheme="minorHAnsi"/>
        </w:rPr>
        <w:t>Leonard</w:t>
      </w:r>
      <w:r w:rsidR="00481833">
        <w:rPr>
          <w:rFonts w:asciiTheme="minorHAnsi" w:hAnsiTheme="minorHAnsi" w:cstheme="minorHAnsi"/>
        </w:rPr>
        <w:t>.</w:t>
      </w:r>
      <w:r w:rsidRPr="006461AF">
        <w:rPr>
          <w:rFonts w:asciiTheme="minorHAnsi" w:hAnsiTheme="minorHAnsi" w:cstheme="minorHAnsi"/>
        </w:rPr>
        <w:t xml:space="preserve"> </w:t>
      </w:r>
      <w:r w:rsidR="00481833" w:rsidRPr="00481833">
        <w:rPr>
          <w:rFonts w:asciiTheme="minorHAnsi" w:hAnsiTheme="minorHAnsi" w:cstheme="minorHAnsi"/>
        </w:rPr>
        <w:t>E.</w:t>
      </w:r>
      <w:r w:rsidR="00481833">
        <w:rPr>
          <w:rFonts w:asciiTheme="minorHAnsi" w:hAnsiTheme="minorHAnsi" w:cstheme="minorHAnsi"/>
          <w:i/>
        </w:rPr>
        <w:t>,</w:t>
      </w:r>
      <w:r w:rsidRPr="006461AF">
        <w:rPr>
          <w:rFonts w:asciiTheme="minorHAnsi" w:hAnsiTheme="minorHAnsi" w:cstheme="minorHAnsi"/>
          <w:i/>
        </w:rPr>
        <w:t xml:space="preserve"> L’armee et ses</w:t>
      </w:r>
      <w:r w:rsidRPr="006461AF">
        <w:rPr>
          <w:rFonts w:asciiTheme="minorHAnsi" w:hAnsiTheme="minorHAnsi" w:cstheme="minorHAnsi"/>
          <w:i/>
          <w:lang w:val="fr-FR"/>
        </w:rPr>
        <w:t xml:space="preserve"> problèmes au XVIIIe siècle</w:t>
      </w:r>
      <w:r w:rsidRPr="006461AF">
        <w:rPr>
          <w:rFonts w:asciiTheme="minorHAnsi" w:hAnsiTheme="minorHAnsi" w:cstheme="minorHAnsi"/>
          <w:lang w:val="fr-FR"/>
        </w:rPr>
        <w:t xml:space="preserve"> (Paris: Libraire Plon, 1958)</w:t>
      </w:r>
    </w:p>
    <w:p w:rsidR="00C65991" w:rsidRPr="006461AF" w:rsidRDefault="00C65991">
      <w:pPr>
        <w:spacing w:before="240"/>
        <w:rPr>
          <w:rFonts w:asciiTheme="minorHAnsi" w:hAnsiTheme="minorHAnsi" w:cstheme="minorHAnsi"/>
        </w:rPr>
      </w:pPr>
      <w:r w:rsidRPr="006461AF">
        <w:rPr>
          <w:rFonts w:asciiTheme="minorHAnsi" w:hAnsiTheme="minorHAnsi" w:cstheme="minorHAnsi"/>
        </w:rPr>
        <w:t>Lynn. J. A</w:t>
      </w:r>
      <w:r w:rsidR="00481833">
        <w:rPr>
          <w:rFonts w:asciiTheme="minorHAnsi" w:hAnsiTheme="minorHAnsi" w:cstheme="minorHAnsi"/>
        </w:rPr>
        <w:t>.</w:t>
      </w:r>
      <w:r w:rsidRPr="006461AF">
        <w:rPr>
          <w:rFonts w:asciiTheme="minorHAnsi" w:hAnsiTheme="minorHAnsi" w:cstheme="minorHAnsi"/>
        </w:rPr>
        <w:t>, ‘Toward an Army of Honour: The Moral Evolution of the French Army, 1789-1815’</w:t>
      </w:r>
      <w:r w:rsidRPr="006461AF">
        <w:rPr>
          <w:rFonts w:asciiTheme="minorHAnsi" w:hAnsiTheme="minorHAnsi" w:cstheme="minorHAnsi"/>
          <w:i/>
        </w:rPr>
        <w:t>, French Historical Studies, Vol. 16, No. 1 (1989</w:t>
      </w:r>
      <w:r w:rsidRPr="006461AF">
        <w:rPr>
          <w:rFonts w:asciiTheme="minorHAnsi" w:hAnsiTheme="minorHAnsi" w:cstheme="minorHAnsi"/>
        </w:rPr>
        <w:t>)</w:t>
      </w:r>
    </w:p>
    <w:p w:rsidR="0032288C" w:rsidRPr="006461AF" w:rsidRDefault="00796595">
      <w:pPr>
        <w:rPr>
          <w:rFonts w:asciiTheme="minorHAnsi" w:hAnsiTheme="minorHAnsi" w:cstheme="minorHAnsi"/>
        </w:rPr>
      </w:pPr>
      <w:r w:rsidRPr="006461AF">
        <w:rPr>
          <w:rFonts w:asciiTheme="minorHAnsi" w:hAnsiTheme="minorHAnsi" w:cstheme="minorHAnsi"/>
        </w:rPr>
        <w:t>Maclure. C. S</w:t>
      </w:r>
      <w:r w:rsidR="00481833">
        <w:rPr>
          <w:rFonts w:asciiTheme="minorHAnsi" w:hAnsiTheme="minorHAnsi" w:cstheme="minorHAnsi"/>
        </w:rPr>
        <w:t>.</w:t>
      </w:r>
      <w:r w:rsidRPr="006461AF">
        <w:rPr>
          <w:rFonts w:asciiTheme="minorHAnsi" w:hAnsiTheme="minorHAnsi" w:cstheme="minorHAnsi"/>
        </w:rPr>
        <w:t xml:space="preserve">, ‘War, Madness, and Death: The Paradox of Honour in Hobbes’s Leviathan’, </w:t>
      </w:r>
      <w:r w:rsidRPr="006461AF">
        <w:rPr>
          <w:rFonts w:asciiTheme="minorHAnsi" w:hAnsiTheme="minorHAnsi" w:cstheme="minorHAnsi"/>
          <w:i/>
        </w:rPr>
        <w:t>The Journal of Politics, Vol. 76, No. 1 (2013</w:t>
      </w:r>
      <w:r w:rsidR="006461AF">
        <w:rPr>
          <w:rFonts w:asciiTheme="minorHAnsi" w:hAnsiTheme="minorHAnsi" w:cstheme="minorHAnsi"/>
          <w:i/>
        </w:rPr>
        <w:t>)</w:t>
      </w:r>
      <w:r w:rsidRPr="006461AF">
        <w:rPr>
          <w:rFonts w:asciiTheme="minorHAnsi" w:hAnsiTheme="minorHAnsi" w:cstheme="minorHAnsi"/>
          <w:i/>
        </w:rPr>
        <w:t>,</w:t>
      </w:r>
      <w:r w:rsidRPr="006461AF">
        <w:rPr>
          <w:rFonts w:asciiTheme="minorHAnsi" w:hAnsiTheme="minorHAnsi" w:cstheme="minorHAnsi"/>
        </w:rPr>
        <w:t xml:space="preserve"> pp. 114-125</w:t>
      </w:r>
    </w:p>
    <w:p w:rsidR="00AD5088" w:rsidRPr="006461AF" w:rsidRDefault="00AD5088">
      <w:pPr>
        <w:rPr>
          <w:rFonts w:asciiTheme="minorHAnsi" w:hAnsiTheme="minorHAnsi" w:cstheme="minorHAnsi"/>
        </w:rPr>
      </w:pPr>
      <w:r w:rsidRPr="006461AF">
        <w:rPr>
          <w:rFonts w:asciiTheme="minorHAnsi" w:hAnsiTheme="minorHAnsi" w:cstheme="minorHAnsi"/>
        </w:rPr>
        <w:t xml:space="preserve">A. Starkey, </w:t>
      </w:r>
      <w:r w:rsidRPr="006461AF">
        <w:rPr>
          <w:rFonts w:asciiTheme="minorHAnsi" w:hAnsiTheme="minorHAnsi" w:cstheme="minorHAnsi"/>
          <w:i/>
        </w:rPr>
        <w:t>War in the Age of Enlightenment</w:t>
      </w:r>
      <w:r w:rsidRPr="006461AF">
        <w:rPr>
          <w:rFonts w:asciiTheme="minorHAnsi" w:hAnsiTheme="minorHAnsi" w:cstheme="minorHAnsi"/>
        </w:rPr>
        <w:t xml:space="preserve">, (Connecticut: </w:t>
      </w:r>
      <w:proofErr w:type="spellStart"/>
      <w:r w:rsidRPr="006461AF">
        <w:rPr>
          <w:rFonts w:asciiTheme="minorHAnsi" w:hAnsiTheme="minorHAnsi" w:cstheme="minorHAnsi"/>
        </w:rPr>
        <w:t>Preager</w:t>
      </w:r>
      <w:proofErr w:type="spellEnd"/>
      <w:r w:rsidRPr="006461AF">
        <w:rPr>
          <w:rFonts w:asciiTheme="minorHAnsi" w:hAnsiTheme="minorHAnsi" w:cstheme="minorHAnsi"/>
        </w:rPr>
        <w:t>, 2003)</w:t>
      </w:r>
    </w:p>
    <w:p w:rsidR="008E506A" w:rsidRPr="006461AF" w:rsidRDefault="008E506A">
      <w:pPr>
        <w:rPr>
          <w:rFonts w:asciiTheme="minorHAnsi" w:hAnsiTheme="minorHAnsi" w:cstheme="minorHAnsi"/>
        </w:rPr>
      </w:pPr>
      <w:r w:rsidRPr="006461AF">
        <w:rPr>
          <w:rFonts w:asciiTheme="minorHAnsi" w:hAnsiTheme="minorHAnsi" w:cstheme="minorHAnsi"/>
        </w:rPr>
        <w:t>Stone. J</w:t>
      </w:r>
      <w:r w:rsidR="00481833">
        <w:rPr>
          <w:rFonts w:asciiTheme="minorHAnsi" w:hAnsiTheme="minorHAnsi" w:cstheme="minorHAnsi"/>
        </w:rPr>
        <w:t>.</w:t>
      </w:r>
      <w:r w:rsidRPr="006461AF">
        <w:rPr>
          <w:rFonts w:asciiTheme="minorHAnsi" w:hAnsiTheme="minorHAnsi" w:cstheme="minorHAnsi"/>
        </w:rPr>
        <w:t xml:space="preserve">, </w:t>
      </w:r>
      <w:r w:rsidRPr="006461AF">
        <w:rPr>
          <w:rFonts w:asciiTheme="minorHAnsi" w:hAnsiTheme="minorHAnsi" w:cstheme="minorHAnsi"/>
          <w:i/>
        </w:rPr>
        <w:t>Military Strategy: The Politics and Strategy of War</w:t>
      </w:r>
      <w:r w:rsidRPr="006461AF">
        <w:rPr>
          <w:rFonts w:asciiTheme="minorHAnsi" w:hAnsiTheme="minorHAnsi" w:cstheme="minorHAnsi"/>
        </w:rPr>
        <w:t xml:space="preserve">, (London: Bloomsbury, 2011) </w:t>
      </w:r>
    </w:p>
    <w:p w:rsidR="00796595" w:rsidRPr="006461AF" w:rsidRDefault="00796595">
      <w:pPr>
        <w:rPr>
          <w:rFonts w:asciiTheme="minorHAnsi" w:hAnsiTheme="minorHAnsi" w:cstheme="minorHAnsi"/>
        </w:rPr>
      </w:pPr>
    </w:p>
    <w:sectPr w:rsidR="00796595" w:rsidRPr="006461AF">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231BD" w:rsidRDefault="000231BD">
      <w:pPr>
        <w:spacing w:after="0" w:line="240" w:lineRule="auto"/>
      </w:pPr>
      <w:r>
        <w:separator/>
      </w:r>
    </w:p>
  </w:endnote>
  <w:endnote w:type="continuationSeparator" w:id="0">
    <w:p w:rsidR="000231BD" w:rsidRDefault="000231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parajita">
    <w:altName w:val="Aparajita"/>
    <w:charset w:val="00"/>
    <w:family w:val="roman"/>
    <w:pitch w:val="variable"/>
    <w:sig w:usb0="00008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231BD" w:rsidRDefault="000231BD">
      <w:pPr>
        <w:spacing w:after="0" w:line="240" w:lineRule="auto"/>
      </w:pPr>
      <w:r>
        <w:rPr>
          <w:color w:val="000000"/>
        </w:rPr>
        <w:separator/>
      </w:r>
    </w:p>
  </w:footnote>
  <w:footnote w:type="continuationSeparator" w:id="0">
    <w:p w:rsidR="000231BD" w:rsidRDefault="000231BD">
      <w:pPr>
        <w:spacing w:after="0" w:line="240" w:lineRule="auto"/>
      </w:pPr>
      <w:r>
        <w:continuationSeparator/>
      </w:r>
    </w:p>
  </w:footnote>
  <w:footnote w:id="1">
    <w:p w:rsidR="0032288C" w:rsidRDefault="00E66B5D">
      <w:pPr>
        <w:pStyle w:val="FootnoteText"/>
      </w:pPr>
      <w:r>
        <w:rPr>
          <w:rStyle w:val="FootnoteReference"/>
        </w:rPr>
        <w:footnoteRef/>
      </w:r>
      <w:r>
        <w:t xml:space="preserve"> </w:t>
      </w:r>
      <w:bookmarkStart w:id="0" w:name="_Hlk527036442"/>
      <w:r>
        <w:t xml:space="preserve">T. Hobbes, </w:t>
      </w:r>
      <w:r w:rsidRPr="004356CD">
        <w:rPr>
          <w:i/>
        </w:rPr>
        <w:t>Leviathan</w:t>
      </w:r>
      <w:r>
        <w:t>, (Galloway: Anodos Books, 2017)</w:t>
      </w:r>
      <w:r w:rsidR="004356CD">
        <w:t>,</w:t>
      </w:r>
      <w:r>
        <w:t xml:space="preserve"> p. 48.</w:t>
      </w:r>
      <w:bookmarkEnd w:id="0"/>
    </w:p>
  </w:footnote>
  <w:footnote w:id="2">
    <w:p w:rsidR="0032288C" w:rsidRDefault="00E66B5D">
      <w:pPr>
        <w:pStyle w:val="FootnoteText"/>
      </w:pPr>
      <w:r>
        <w:rPr>
          <w:rStyle w:val="FootnoteReference"/>
        </w:rPr>
        <w:footnoteRef/>
      </w:r>
      <w:r>
        <w:t xml:space="preserve"> Ibid., p. 48.</w:t>
      </w:r>
    </w:p>
  </w:footnote>
  <w:footnote w:id="3">
    <w:p w:rsidR="0032288C" w:rsidRDefault="00E66B5D">
      <w:pPr>
        <w:pStyle w:val="FootnoteText"/>
      </w:pPr>
      <w:r>
        <w:rPr>
          <w:rStyle w:val="FootnoteReference"/>
        </w:rPr>
        <w:footnoteRef/>
      </w:r>
      <w:r>
        <w:t xml:space="preserve"> Ibid., p. 49. </w:t>
      </w:r>
    </w:p>
  </w:footnote>
  <w:footnote w:id="4">
    <w:p w:rsidR="0032288C" w:rsidRDefault="00E66B5D">
      <w:pPr>
        <w:pStyle w:val="FootnoteText"/>
      </w:pPr>
      <w:r>
        <w:rPr>
          <w:rStyle w:val="FootnoteReference"/>
        </w:rPr>
        <w:footnoteRef/>
      </w:r>
      <w:r>
        <w:t xml:space="preserve"> J. Keegan, </w:t>
      </w:r>
      <w:r w:rsidRPr="004356CD">
        <w:rPr>
          <w:i/>
        </w:rPr>
        <w:t>Mask of Command</w:t>
      </w:r>
      <w:r>
        <w:t>, (London: Pimlico, 2004)</w:t>
      </w:r>
      <w:r w:rsidR="004356CD">
        <w:t>,</w:t>
      </w:r>
      <w:r>
        <w:t xml:space="preserve"> p. 99.  </w:t>
      </w:r>
    </w:p>
  </w:footnote>
  <w:footnote w:id="5">
    <w:p w:rsidR="0032288C" w:rsidRDefault="00E66B5D">
      <w:pPr>
        <w:pStyle w:val="FootnoteText"/>
      </w:pPr>
      <w:r>
        <w:rPr>
          <w:rStyle w:val="FootnoteReference"/>
        </w:rPr>
        <w:footnoteRef/>
      </w:r>
      <w:r>
        <w:t xml:space="preserve"> Hobbes, </w:t>
      </w:r>
      <w:r>
        <w:rPr>
          <w:i/>
        </w:rPr>
        <w:t xml:space="preserve">Leviathan, </w:t>
      </w:r>
      <w:r>
        <w:t xml:space="preserve">p. 49. </w:t>
      </w:r>
    </w:p>
  </w:footnote>
  <w:footnote w:id="6">
    <w:p w:rsidR="0032288C" w:rsidRDefault="00E66B5D">
      <w:pPr>
        <w:pStyle w:val="FootnoteText"/>
      </w:pPr>
      <w:r>
        <w:rPr>
          <w:rStyle w:val="FootnoteReference"/>
        </w:rPr>
        <w:footnoteRef/>
      </w:r>
      <w:r>
        <w:t xml:space="preserve"> Ibid., p. 49. </w:t>
      </w:r>
    </w:p>
  </w:footnote>
  <w:footnote w:id="7">
    <w:p w:rsidR="0032288C" w:rsidRDefault="00E66B5D">
      <w:pPr>
        <w:pStyle w:val="FootnoteText"/>
      </w:pPr>
      <w:r>
        <w:rPr>
          <w:rStyle w:val="FootnoteReference"/>
        </w:rPr>
        <w:footnoteRef/>
      </w:r>
      <w:r>
        <w:t xml:space="preserve"> </w:t>
      </w:r>
      <w:bookmarkStart w:id="1" w:name="_Hlk527037124"/>
      <w:r>
        <w:t xml:space="preserve">C. S. Maclure, ‘War, Madness, and Death: The Paradox of Honour in Hobbes’s Leviathan’, </w:t>
      </w:r>
      <w:r>
        <w:rPr>
          <w:i/>
        </w:rPr>
        <w:t>The Journal of Politics, Vol. 76, No. 1 (2013),</w:t>
      </w:r>
      <w:r>
        <w:t xml:space="preserve"> pp. 114-125. </w:t>
      </w:r>
      <w:bookmarkEnd w:id="1"/>
      <w:r>
        <w:t xml:space="preserve">p. 116. </w:t>
      </w:r>
    </w:p>
  </w:footnote>
  <w:footnote w:id="8">
    <w:p w:rsidR="0032288C" w:rsidRDefault="00E66B5D">
      <w:pPr>
        <w:pStyle w:val="FootnoteText"/>
      </w:pPr>
      <w:r>
        <w:rPr>
          <w:rStyle w:val="FootnoteReference"/>
        </w:rPr>
        <w:footnoteRef/>
      </w:r>
      <w:r>
        <w:t xml:space="preserve"> Ibid., p. 116. </w:t>
      </w:r>
    </w:p>
  </w:footnote>
  <w:footnote w:id="9">
    <w:p w:rsidR="0032288C" w:rsidRDefault="00E66B5D">
      <w:pPr>
        <w:pStyle w:val="FootnoteText"/>
      </w:pPr>
      <w:r>
        <w:rPr>
          <w:rStyle w:val="FootnoteReference"/>
        </w:rPr>
        <w:footnoteRef/>
      </w:r>
      <w:r>
        <w:t xml:space="preserve"> Ibid., p. 117. </w:t>
      </w:r>
    </w:p>
  </w:footnote>
  <w:footnote w:id="10">
    <w:p w:rsidR="0032288C" w:rsidRDefault="00E66B5D">
      <w:pPr>
        <w:pStyle w:val="FootnoteText"/>
      </w:pPr>
      <w:r>
        <w:rPr>
          <w:rStyle w:val="FootnoteReference"/>
        </w:rPr>
        <w:footnoteRef/>
      </w:r>
      <w:r>
        <w:t xml:space="preserve"> </w:t>
      </w:r>
      <w:bookmarkStart w:id="2" w:name="_Hlk527037206"/>
      <w:r>
        <w:t xml:space="preserve">M. </w:t>
      </w:r>
      <w:proofErr w:type="spellStart"/>
      <w:r>
        <w:t>LaVaque</w:t>
      </w:r>
      <w:proofErr w:type="spellEnd"/>
      <w:r>
        <w:t xml:space="preserve">-Manty, ‘Duelling for Equality: Masculine Honour and the Modern Politics of Dignity’, </w:t>
      </w:r>
      <w:r>
        <w:rPr>
          <w:i/>
        </w:rPr>
        <w:t>Political Theory, Vol. 34, No. 6 (2006</w:t>
      </w:r>
      <w:r>
        <w:t xml:space="preserve">), pp. 715-740. </w:t>
      </w:r>
      <w:bookmarkEnd w:id="2"/>
      <w:r>
        <w:t xml:space="preserve">p. 723. </w:t>
      </w:r>
    </w:p>
  </w:footnote>
  <w:footnote w:id="11">
    <w:p w:rsidR="0032288C" w:rsidRDefault="00E66B5D">
      <w:pPr>
        <w:pStyle w:val="FootnoteText"/>
      </w:pPr>
      <w:r>
        <w:rPr>
          <w:rStyle w:val="FootnoteReference"/>
        </w:rPr>
        <w:footnoteRef/>
      </w:r>
      <w:r>
        <w:t xml:space="preserve"> Maclure, </w:t>
      </w:r>
      <w:r>
        <w:rPr>
          <w:i/>
        </w:rPr>
        <w:t>Madness and Death</w:t>
      </w:r>
      <w:r>
        <w:t xml:space="preserve">, p. 120. </w:t>
      </w:r>
    </w:p>
  </w:footnote>
  <w:footnote w:id="12">
    <w:p w:rsidR="0032288C" w:rsidRDefault="00E66B5D">
      <w:pPr>
        <w:pStyle w:val="FootnoteText"/>
      </w:pPr>
      <w:r>
        <w:rPr>
          <w:rStyle w:val="FootnoteReference"/>
        </w:rPr>
        <w:footnoteRef/>
      </w:r>
      <w:r>
        <w:t xml:space="preserve"> Ibid., p. 121. </w:t>
      </w:r>
    </w:p>
  </w:footnote>
  <w:footnote w:id="13">
    <w:p w:rsidR="0032288C" w:rsidRDefault="00E66B5D">
      <w:pPr>
        <w:pStyle w:val="FootnoteText"/>
      </w:pPr>
      <w:r>
        <w:rPr>
          <w:rStyle w:val="FootnoteReference"/>
        </w:rPr>
        <w:footnoteRef/>
      </w:r>
      <w:r>
        <w:t xml:space="preserve"> Ibid., p. 121. </w:t>
      </w:r>
    </w:p>
  </w:footnote>
  <w:footnote w:id="14">
    <w:p w:rsidR="0032288C" w:rsidRDefault="00E66B5D">
      <w:pPr>
        <w:pStyle w:val="FootnoteText"/>
      </w:pPr>
      <w:r>
        <w:rPr>
          <w:rStyle w:val="FootnoteReference"/>
        </w:rPr>
        <w:footnoteRef/>
      </w:r>
      <w:r>
        <w:t xml:space="preserve"> Montesquieu, The Spirit of the Laws, (Oxford: Oxford University Press, 1989)</w:t>
      </w:r>
      <w:r w:rsidR="004356CD">
        <w:t>,</w:t>
      </w:r>
      <w:r>
        <w:t xml:space="preserve"> p. 45. </w:t>
      </w:r>
    </w:p>
  </w:footnote>
  <w:footnote w:id="15">
    <w:p w:rsidR="0032288C" w:rsidRDefault="00E66B5D">
      <w:pPr>
        <w:pStyle w:val="FootnoteText"/>
      </w:pPr>
      <w:r>
        <w:rPr>
          <w:rStyle w:val="FootnoteReference"/>
        </w:rPr>
        <w:footnoteRef/>
      </w:r>
      <w:r>
        <w:t xml:space="preserve"> Ibid., p. 46. </w:t>
      </w:r>
    </w:p>
  </w:footnote>
  <w:footnote w:id="16">
    <w:p w:rsidR="0032288C" w:rsidRDefault="00E66B5D">
      <w:pPr>
        <w:pStyle w:val="FootnoteText"/>
      </w:pPr>
      <w:r>
        <w:rPr>
          <w:rStyle w:val="FootnoteReference"/>
        </w:rPr>
        <w:footnoteRef/>
      </w:r>
      <w:r>
        <w:t xml:space="preserve"> Ibid., p. 44. </w:t>
      </w:r>
    </w:p>
  </w:footnote>
  <w:footnote w:id="17">
    <w:p w:rsidR="0032288C" w:rsidRDefault="00E66B5D">
      <w:pPr>
        <w:pStyle w:val="FootnoteText"/>
      </w:pPr>
      <w:bookmarkStart w:id="3" w:name="_Hlk527037342"/>
      <w:r>
        <w:rPr>
          <w:rStyle w:val="FootnoteReference"/>
        </w:rPr>
        <w:footnoteRef/>
      </w:r>
      <w:r>
        <w:t xml:space="preserve"> J. A. Lynn, ‘</w:t>
      </w:r>
      <w:r w:rsidRPr="003E4394">
        <w:t>Toward an Army of Honour: The Moral Evolution of the French Army, 1789-1815’</w:t>
      </w:r>
      <w:r>
        <w:rPr>
          <w:i/>
        </w:rPr>
        <w:t>, French Historical Studies, Vol. 16, No. 1 (1989</w:t>
      </w:r>
      <w:r>
        <w:t>)</w:t>
      </w:r>
      <w:bookmarkEnd w:id="3"/>
      <w:r>
        <w:t>, pp. 152-173. p. 155.</w:t>
      </w:r>
    </w:p>
  </w:footnote>
  <w:footnote w:id="18">
    <w:p w:rsidR="0032288C" w:rsidRDefault="00E66B5D">
      <w:pPr>
        <w:pStyle w:val="FootnoteText"/>
      </w:pPr>
      <w:r>
        <w:rPr>
          <w:rStyle w:val="FootnoteReference"/>
        </w:rPr>
        <w:footnoteRef/>
      </w:r>
      <w:r>
        <w:t xml:space="preserve"> Ibid., p. 156. </w:t>
      </w:r>
    </w:p>
  </w:footnote>
  <w:footnote w:id="19">
    <w:p w:rsidR="0032288C" w:rsidRDefault="00E66B5D">
      <w:pPr>
        <w:pStyle w:val="FootnoteText"/>
      </w:pPr>
      <w:r>
        <w:rPr>
          <w:rStyle w:val="FootnoteReference"/>
        </w:rPr>
        <w:footnoteRef/>
      </w:r>
      <w:r>
        <w:t xml:space="preserve"> Ibid., p. 156. </w:t>
      </w:r>
    </w:p>
  </w:footnote>
  <w:footnote w:id="20">
    <w:p w:rsidR="0032288C" w:rsidRDefault="00E66B5D">
      <w:pPr>
        <w:pStyle w:val="FootnoteText"/>
      </w:pPr>
      <w:r>
        <w:rPr>
          <w:rStyle w:val="FootnoteReference"/>
        </w:rPr>
        <w:footnoteRef/>
      </w:r>
      <w:r>
        <w:t xml:space="preserve"> Ibid., p. 157.  </w:t>
      </w:r>
    </w:p>
  </w:footnote>
  <w:footnote w:id="21">
    <w:p w:rsidR="0032288C" w:rsidRDefault="00E66B5D">
      <w:pPr>
        <w:pStyle w:val="FootnoteText"/>
      </w:pPr>
      <w:r>
        <w:rPr>
          <w:rStyle w:val="FootnoteReference"/>
        </w:rPr>
        <w:footnoteRef/>
      </w:r>
      <w:r>
        <w:t xml:space="preserve"> Montesquieu, </w:t>
      </w:r>
      <w:r>
        <w:rPr>
          <w:i/>
        </w:rPr>
        <w:t>The Spirit of the Laws</w:t>
      </w:r>
      <w:r>
        <w:t xml:space="preserve">, p. 25. </w:t>
      </w:r>
    </w:p>
  </w:footnote>
  <w:footnote w:id="22">
    <w:p w:rsidR="0032288C" w:rsidRDefault="00E66B5D">
      <w:pPr>
        <w:pStyle w:val="FootnoteText"/>
      </w:pPr>
      <w:r>
        <w:rPr>
          <w:rStyle w:val="FootnoteReference"/>
        </w:rPr>
        <w:footnoteRef/>
      </w:r>
      <w:r>
        <w:t xml:space="preserve"> Ibid., p. 25. </w:t>
      </w:r>
    </w:p>
  </w:footnote>
  <w:footnote w:id="23">
    <w:p w:rsidR="0032288C" w:rsidRDefault="00E66B5D">
      <w:pPr>
        <w:pStyle w:val="FootnoteText"/>
      </w:pPr>
      <w:r>
        <w:rPr>
          <w:rStyle w:val="FootnoteReference"/>
        </w:rPr>
        <w:footnoteRef/>
      </w:r>
      <w:r>
        <w:t xml:space="preserve"> Lynn, </w:t>
      </w:r>
      <w:r>
        <w:rPr>
          <w:i/>
        </w:rPr>
        <w:t xml:space="preserve">Army of Honour, </w:t>
      </w:r>
      <w:r>
        <w:t xml:space="preserve">p. 155. </w:t>
      </w:r>
    </w:p>
  </w:footnote>
  <w:footnote w:id="24">
    <w:p w:rsidR="0032288C" w:rsidRDefault="00E66B5D">
      <w:pPr>
        <w:pStyle w:val="FootnoteText"/>
      </w:pPr>
      <w:r>
        <w:rPr>
          <w:rStyle w:val="FootnoteReference"/>
        </w:rPr>
        <w:footnoteRef/>
      </w:r>
      <w:r>
        <w:t xml:space="preserve"> Ibid., p. 156. </w:t>
      </w:r>
    </w:p>
  </w:footnote>
  <w:footnote w:id="25">
    <w:p w:rsidR="0032288C" w:rsidRDefault="00E66B5D">
      <w:pPr>
        <w:pStyle w:val="FootnoteText"/>
      </w:pPr>
      <w:r>
        <w:rPr>
          <w:rStyle w:val="FootnoteReference"/>
        </w:rPr>
        <w:footnoteRef/>
      </w:r>
      <w:r>
        <w:t xml:space="preserve"> Montesquieu, </w:t>
      </w:r>
      <w:r>
        <w:rPr>
          <w:i/>
        </w:rPr>
        <w:t xml:space="preserve">Spirit of the Laws, </w:t>
      </w:r>
      <w:r>
        <w:t xml:space="preserve">p. 12. </w:t>
      </w:r>
    </w:p>
  </w:footnote>
  <w:footnote w:id="26">
    <w:p w:rsidR="0032288C" w:rsidRDefault="00E66B5D">
      <w:pPr>
        <w:pStyle w:val="FootnoteText"/>
      </w:pPr>
      <w:r>
        <w:rPr>
          <w:rStyle w:val="FootnoteReference"/>
        </w:rPr>
        <w:footnoteRef/>
      </w:r>
      <w:r>
        <w:t xml:space="preserve"> </w:t>
      </w:r>
      <w:bookmarkStart w:id="4" w:name="_Hlk527037418"/>
      <w:r>
        <w:t xml:space="preserve">J. Keegan, </w:t>
      </w:r>
      <w:r w:rsidRPr="004356CD">
        <w:rPr>
          <w:i/>
        </w:rPr>
        <w:t>A History of Warfare</w:t>
      </w:r>
      <w:r>
        <w:t>, (London: Pimlico, 2004)</w:t>
      </w:r>
      <w:bookmarkEnd w:id="4"/>
      <w:r w:rsidR="004356CD">
        <w:t>,</w:t>
      </w:r>
      <w:r>
        <w:t xml:space="preserve"> p. 15. </w:t>
      </w:r>
    </w:p>
  </w:footnote>
  <w:footnote w:id="27">
    <w:p w:rsidR="0032288C" w:rsidRDefault="00E66B5D">
      <w:pPr>
        <w:pStyle w:val="FootnoteText"/>
      </w:pPr>
      <w:r>
        <w:rPr>
          <w:rStyle w:val="FootnoteReference"/>
        </w:rPr>
        <w:footnoteRef/>
      </w:r>
      <w:r>
        <w:t xml:space="preserve"> Ibid., p. 16. </w:t>
      </w:r>
    </w:p>
  </w:footnote>
  <w:footnote w:id="28">
    <w:p w:rsidR="0032288C" w:rsidRDefault="00E66B5D">
      <w:pPr>
        <w:pStyle w:val="FootnoteText"/>
      </w:pPr>
      <w:r>
        <w:rPr>
          <w:rStyle w:val="FootnoteReference"/>
        </w:rPr>
        <w:footnoteRef/>
      </w:r>
      <w:r>
        <w:t xml:space="preserve"> Ibid., p. 16. </w:t>
      </w:r>
    </w:p>
  </w:footnote>
  <w:footnote w:id="29">
    <w:p w:rsidR="0032288C" w:rsidRDefault="00E66B5D">
      <w:pPr>
        <w:pStyle w:val="FootnoteText"/>
      </w:pPr>
      <w:r>
        <w:rPr>
          <w:rStyle w:val="FootnoteReference"/>
        </w:rPr>
        <w:footnoteRef/>
      </w:r>
      <w:r>
        <w:t xml:space="preserve"> Keegan, </w:t>
      </w:r>
      <w:r>
        <w:rPr>
          <w:i/>
        </w:rPr>
        <w:t xml:space="preserve">Mask of Command, </w:t>
      </w:r>
      <w:r>
        <w:t xml:space="preserve">p. 48.  </w:t>
      </w:r>
    </w:p>
  </w:footnote>
  <w:footnote w:id="30">
    <w:p w:rsidR="0032288C" w:rsidRDefault="00E66B5D">
      <w:pPr>
        <w:pStyle w:val="FootnoteText"/>
      </w:pPr>
      <w:r>
        <w:rPr>
          <w:rStyle w:val="FootnoteReference"/>
        </w:rPr>
        <w:footnoteRef/>
      </w:r>
      <w:r>
        <w:t xml:space="preserve"> Lynn, </w:t>
      </w:r>
      <w:r>
        <w:rPr>
          <w:i/>
        </w:rPr>
        <w:t xml:space="preserve">Army of Honour, </w:t>
      </w:r>
      <w:r>
        <w:t xml:space="preserve">p. 156. </w:t>
      </w:r>
    </w:p>
  </w:footnote>
  <w:footnote w:id="31">
    <w:p w:rsidR="0032288C" w:rsidRDefault="00E66B5D">
      <w:pPr>
        <w:pStyle w:val="FootnoteText"/>
      </w:pPr>
      <w:r>
        <w:rPr>
          <w:rStyle w:val="FootnoteReference"/>
        </w:rPr>
        <w:footnoteRef/>
      </w:r>
      <w:r>
        <w:t xml:space="preserve"> </w:t>
      </w:r>
      <w:bookmarkStart w:id="5" w:name="_Hlk527037547"/>
      <w:r>
        <w:t xml:space="preserve">J. Stone, </w:t>
      </w:r>
      <w:r w:rsidRPr="004356CD">
        <w:rPr>
          <w:i/>
        </w:rPr>
        <w:t>Military Strategy: The Politics and Strategy of War</w:t>
      </w:r>
      <w:r>
        <w:t>, (London: Bloomsbury, 2011)</w:t>
      </w:r>
      <w:r w:rsidR="004356CD">
        <w:t>,</w:t>
      </w:r>
      <w:r>
        <w:t xml:space="preserve"> </w:t>
      </w:r>
      <w:bookmarkEnd w:id="5"/>
      <w:r>
        <w:t xml:space="preserve">p.18. </w:t>
      </w:r>
    </w:p>
  </w:footnote>
  <w:footnote w:id="32">
    <w:p w:rsidR="0032288C" w:rsidRDefault="00E66B5D">
      <w:pPr>
        <w:pStyle w:val="FootnoteText"/>
      </w:pPr>
      <w:r>
        <w:rPr>
          <w:rStyle w:val="FootnoteReference"/>
        </w:rPr>
        <w:footnoteRef/>
      </w:r>
      <w:r>
        <w:t xml:space="preserve"> Ibid., p. 18. </w:t>
      </w:r>
    </w:p>
  </w:footnote>
  <w:footnote w:id="33">
    <w:p w:rsidR="0032288C" w:rsidRDefault="00E66B5D">
      <w:pPr>
        <w:pStyle w:val="FootnoteText"/>
      </w:pPr>
      <w:r>
        <w:rPr>
          <w:rStyle w:val="FootnoteReference"/>
        </w:rPr>
        <w:footnoteRef/>
      </w:r>
      <w:r>
        <w:t xml:space="preserve"> </w:t>
      </w:r>
      <w:bookmarkStart w:id="6" w:name="_Hlk527037638"/>
      <w:r>
        <w:t xml:space="preserve">R. Knight, </w:t>
      </w:r>
      <w:r w:rsidRPr="004356CD">
        <w:rPr>
          <w:i/>
        </w:rPr>
        <w:t>Britain Against Napoleon</w:t>
      </w:r>
      <w:r>
        <w:t>, (London: Penguin Books: 2013)</w:t>
      </w:r>
      <w:r w:rsidR="004356CD">
        <w:t>,</w:t>
      </w:r>
      <w:r>
        <w:t xml:space="preserve"> </w:t>
      </w:r>
      <w:bookmarkEnd w:id="6"/>
      <w:r>
        <w:t xml:space="preserve">p. 71. </w:t>
      </w:r>
    </w:p>
  </w:footnote>
  <w:footnote w:id="34">
    <w:p w:rsidR="0032288C" w:rsidRDefault="00E66B5D">
      <w:pPr>
        <w:pStyle w:val="FootnoteText"/>
      </w:pPr>
      <w:r>
        <w:rPr>
          <w:rStyle w:val="FootnoteReference"/>
        </w:rPr>
        <w:footnoteRef/>
      </w:r>
      <w:r>
        <w:t xml:space="preserve"> Ibid., p. 71. </w:t>
      </w:r>
    </w:p>
  </w:footnote>
  <w:footnote w:id="35">
    <w:p w:rsidR="0032288C" w:rsidRDefault="00E66B5D">
      <w:pPr>
        <w:pStyle w:val="FootnoteText"/>
      </w:pPr>
      <w:r>
        <w:rPr>
          <w:rStyle w:val="FootnoteReference"/>
        </w:rPr>
        <w:footnoteRef/>
      </w:r>
      <w:r>
        <w:t xml:space="preserve"> </w:t>
      </w:r>
      <w:bookmarkStart w:id="7" w:name="_Hlk527037701"/>
      <w:r>
        <w:t xml:space="preserve">A. Starkey, </w:t>
      </w:r>
      <w:r w:rsidRPr="004356CD">
        <w:rPr>
          <w:i/>
        </w:rPr>
        <w:t>War in the Age of Enlightenment</w:t>
      </w:r>
      <w:r>
        <w:t xml:space="preserve">, (Connecticut: </w:t>
      </w:r>
      <w:proofErr w:type="spellStart"/>
      <w:r>
        <w:t>Preager</w:t>
      </w:r>
      <w:proofErr w:type="spellEnd"/>
      <w:r>
        <w:t>, 2003)</w:t>
      </w:r>
      <w:bookmarkEnd w:id="7"/>
      <w:r w:rsidR="004356CD">
        <w:t>,</w:t>
      </w:r>
      <w:r>
        <w:t xml:space="preserve"> p. 45. </w:t>
      </w:r>
    </w:p>
  </w:footnote>
  <w:footnote w:id="36">
    <w:p w:rsidR="0032288C" w:rsidRDefault="00E66B5D">
      <w:pPr>
        <w:pStyle w:val="FootnoteText"/>
      </w:pPr>
      <w:r>
        <w:rPr>
          <w:rStyle w:val="FootnoteReference"/>
        </w:rPr>
        <w:footnoteRef/>
      </w:r>
      <w:r>
        <w:t xml:space="preserve"> Ibid., p. 45. </w:t>
      </w:r>
    </w:p>
  </w:footnote>
  <w:footnote w:id="37">
    <w:p w:rsidR="0032288C" w:rsidRDefault="00E66B5D">
      <w:pPr>
        <w:pStyle w:val="FootnoteText"/>
      </w:pPr>
      <w:r>
        <w:rPr>
          <w:rStyle w:val="FootnoteReference"/>
        </w:rPr>
        <w:footnoteRef/>
      </w:r>
      <w:r>
        <w:t xml:space="preserve"> </w:t>
      </w:r>
      <w:bookmarkStart w:id="8" w:name="_Hlk527037777"/>
      <w:r>
        <w:t xml:space="preserve">A. Smith, </w:t>
      </w:r>
      <w:r w:rsidRPr="004356CD">
        <w:rPr>
          <w:i/>
        </w:rPr>
        <w:t>Wealth of Nations</w:t>
      </w:r>
      <w:r>
        <w:t>, (Cambridge: Heritage Books, 1997)</w:t>
      </w:r>
      <w:bookmarkEnd w:id="8"/>
      <w:r w:rsidR="004356CD">
        <w:t>,</w:t>
      </w:r>
      <w:r>
        <w:t xml:space="preserve"> p. 12.  </w:t>
      </w:r>
    </w:p>
  </w:footnote>
  <w:footnote w:id="38">
    <w:p w:rsidR="0032288C" w:rsidRDefault="00E66B5D">
      <w:pPr>
        <w:pStyle w:val="FootnoteText"/>
      </w:pPr>
      <w:r>
        <w:rPr>
          <w:rStyle w:val="FootnoteReference"/>
        </w:rPr>
        <w:footnoteRef/>
      </w:r>
      <w:r>
        <w:t xml:space="preserve"> Ibid., p. 12. </w:t>
      </w:r>
    </w:p>
  </w:footnote>
  <w:footnote w:id="39">
    <w:p w:rsidR="0032288C" w:rsidRDefault="00E66B5D">
      <w:pPr>
        <w:pStyle w:val="FootnoteText"/>
      </w:pPr>
      <w:r>
        <w:rPr>
          <w:rStyle w:val="FootnoteReference"/>
        </w:rPr>
        <w:footnoteRef/>
      </w:r>
      <w:r>
        <w:t xml:space="preserve"> Ibid., p. 12. </w:t>
      </w:r>
    </w:p>
  </w:footnote>
  <w:footnote w:id="40">
    <w:p w:rsidR="0032288C" w:rsidRDefault="00E66B5D">
      <w:pPr>
        <w:pStyle w:val="FootnoteText"/>
      </w:pPr>
      <w:r>
        <w:rPr>
          <w:rStyle w:val="FootnoteReference"/>
        </w:rPr>
        <w:footnoteRef/>
      </w:r>
      <w:r>
        <w:t xml:space="preserve"> Knight, </w:t>
      </w:r>
      <w:r>
        <w:rPr>
          <w:i/>
        </w:rPr>
        <w:t>Britain Against Napoleon</w:t>
      </w:r>
      <w:r>
        <w:t xml:space="preserve">, p. 34. </w:t>
      </w:r>
    </w:p>
  </w:footnote>
  <w:footnote w:id="41">
    <w:p w:rsidR="0032288C" w:rsidRDefault="00E66B5D">
      <w:pPr>
        <w:pStyle w:val="FootnoteText"/>
      </w:pPr>
      <w:r>
        <w:rPr>
          <w:rStyle w:val="FootnoteReference"/>
        </w:rPr>
        <w:footnoteRef/>
      </w:r>
      <w:r>
        <w:t xml:space="preserve"> Smith, </w:t>
      </w:r>
      <w:r>
        <w:rPr>
          <w:i/>
        </w:rPr>
        <w:t xml:space="preserve">Nations, </w:t>
      </w:r>
      <w:r>
        <w:t xml:space="preserve">p. 15. </w:t>
      </w:r>
    </w:p>
  </w:footnote>
  <w:footnote w:id="42">
    <w:p w:rsidR="0032288C" w:rsidRDefault="00E66B5D">
      <w:pPr>
        <w:pStyle w:val="FootnoteText"/>
      </w:pPr>
      <w:r>
        <w:rPr>
          <w:rStyle w:val="FootnoteReference"/>
        </w:rPr>
        <w:footnoteRef/>
      </w:r>
      <w:r>
        <w:t xml:space="preserve"> </w:t>
      </w:r>
      <w:bookmarkStart w:id="9" w:name="_Hlk527037839"/>
      <w:r>
        <w:t xml:space="preserve">B. Farwell, </w:t>
      </w:r>
      <w:r w:rsidRPr="004356CD">
        <w:rPr>
          <w:i/>
        </w:rPr>
        <w:t>For Queen and Country: Social History of the Victorian and Edwardian Army</w:t>
      </w:r>
      <w:r>
        <w:t>, (London: Viking Books</w:t>
      </w:r>
      <w:bookmarkEnd w:id="9"/>
      <w:r>
        <w:t xml:space="preserve">), p. 44.; Knight, </w:t>
      </w:r>
      <w:r>
        <w:rPr>
          <w:i/>
        </w:rPr>
        <w:t>Britain Against Napoleon</w:t>
      </w:r>
      <w:r>
        <w:t xml:space="preserve">, p. 34.  </w:t>
      </w:r>
    </w:p>
  </w:footnote>
  <w:footnote w:id="43">
    <w:p w:rsidR="0032288C" w:rsidRDefault="00E66B5D">
      <w:pPr>
        <w:pStyle w:val="FootnoteText"/>
      </w:pPr>
      <w:r>
        <w:rPr>
          <w:rStyle w:val="FootnoteReference"/>
        </w:rPr>
        <w:footnoteRef/>
      </w:r>
      <w:r>
        <w:t xml:space="preserve"> G. Freemont Barnes</w:t>
      </w:r>
      <w:r w:rsidRPr="004356CD">
        <w:rPr>
          <w:i/>
        </w:rPr>
        <w:t>, Armies of the Napoleonic Wars</w:t>
      </w:r>
      <w:r>
        <w:t>, (London: Pen and Sword Military Books,</w:t>
      </w:r>
      <w:bookmarkStart w:id="10" w:name="_GoBack"/>
      <w:bookmarkEnd w:id="10"/>
      <w:r>
        <w:t xml:space="preserve"> 2011), p.100.  </w:t>
      </w:r>
    </w:p>
  </w:footnote>
  <w:footnote w:id="44">
    <w:p w:rsidR="0032288C" w:rsidRDefault="00E66B5D">
      <w:pPr>
        <w:pStyle w:val="FootnoteText"/>
      </w:pPr>
      <w:r>
        <w:rPr>
          <w:rStyle w:val="FootnoteReference"/>
        </w:rPr>
        <w:footnoteRef/>
      </w:r>
      <w:r>
        <w:t xml:space="preserve"> Ibid., p. 121. </w:t>
      </w:r>
    </w:p>
  </w:footnote>
  <w:footnote w:id="45">
    <w:p w:rsidR="0032288C" w:rsidRDefault="00E66B5D">
      <w:pPr>
        <w:pStyle w:val="FootnoteText"/>
      </w:pPr>
      <w:r>
        <w:rPr>
          <w:rStyle w:val="FootnoteReference"/>
        </w:rPr>
        <w:footnoteRef/>
      </w:r>
      <w:r>
        <w:t xml:space="preserve"> Ibid., p. 122. </w:t>
      </w:r>
    </w:p>
  </w:footnote>
  <w:footnote w:id="46">
    <w:p w:rsidR="0032288C" w:rsidRDefault="00E66B5D">
      <w:pPr>
        <w:pStyle w:val="FootnoteText"/>
      </w:pPr>
      <w:r>
        <w:rPr>
          <w:rStyle w:val="FootnoteReference"/>
        </w:rPr>
        <w:footnoteRef/>
      </w:r>
      <w:r>
        <w:t xml:space="preserve"> Ibid., p. 123.  </w:t>
      </w:r>
    </w:p>
  </w:footnote>
  <w:footnote w:id="47">
    <w:p w:rsidR="0032288C" w:rsidRDefault="00E66B5D">
      <w:pPr>
        <w:pStyle w:val="FootnoteText"/>
      </w:pPr>
      <w:r>
        <w:rPr>
          <w:rStyle w:val="FootnoteReference"/>
        </w:rPr>
        <w:footnoteRef/>
      </w:r>
      <w:r>
        <w:t xml:space="preserve"> Stone, </w:t>
      </w:r>
      <w:r>
        <w:rPr>
          <w:i/>
        </w:rPr>
        <w:t xml:space="preserve">Military Strategy, </w:t>
      </w:r>
      <w:r>
        <w:t xml:space="preserve">p. 24. </w:t>
      </w:r>
    </w:p>
  </w:footnote>
  <w:footnote w:id="48">
    <w:p w:rsidR="0032288C" w:rsidRDefault="00E66B5D">
      <w:pPr>
        <w:pStyle w:val="FootnoteText"/>
      </w:pPr>
      <w:r>
        <w:rPr>
          <w:rStyle w:val="FootnoteReference"/>
        </w:rPr>
        <w:footnoteRef/>
      </w:r>
      <w:r>
        <w:t xml:space="preserve"> Keegan, </w:t>
      </w:r>
      <w:r>
        <w:rPr>
          <w:i/>
        </w:rPr>
        <w:t>The Mask of Command</w:t>
      </w:r>
      <w:r>
        <w:t xml:space="preserve">, p. 145. </w:t>
      </w:r>
    </w:p>
  </w:footnote>
  <w:footnote w:id="49">
    <w:p w:rsidR="0032288C" w:rsidRDefault="00E66B5D">
      <w:pPr>
        <w:pStyle w:val="FootnoteText"/>
      </w:pPr>
      <w:r>
        <w:rPr>
          <w:rStyle w:val="FootnoteReference"/>
        </w:rPr>
        <w:footnoteRef/>
      </w:r>
      <w:r>
        <w:t xml:space="preserve"> Ibid., p. 145. </w:t>
      </w:r>
    </w:p>
  </w:footnote>
  <w:footnote w:id="50">
    <w:p w:rsidR="0032288C" w:rsidRDefault="00E66B5D">
      <w:pPr>
        <w:pStyle w:val="FootnoteText"/>
      </w:pPr>
      <w:r>
        <w:rPr>
          <w:rStyle w:val="FootnoteReference"/>
        </w:rPr>
        <w:footnoteRef/>
      </w:r>
      <w:r>
        <w:t xml:space="preserve"> Farwell, </w:t>
      </w:r>
      <w:r>
        <w:rPr>
          <w:i/>
        </w:rPr>
        <w:t>For King and Country,</w:t>
      </w:r>
      <w:r>
        <w:t xml:space="preserve"> p. 75. </w:t>
      </w:r>
    </w:p>
  </w:footnote>
  <w:footnote w:id="51">
    <w:p w:rsidR="0032288C" w:rsidRDefault="00E66B5D">
      <w:pPr>
        <w:pStyle w:val="FootnoteText"/>
      </w:pPr>
      <w:r>
        <w:rPr>
          <w:rStyle w:val="FootnoteReference"/>
        </w:rPr>
        <w:footnoteRef/>
      </w:r>
      <w:r>
        <w:t xml:space="preserve"> Lynn, </w:t>
      </w:r>
      <w:r>
        <w:rPr>
          <w:i/>
        </w:rPr>
        <w:t xml:space="preserve">Army of Honour, </w:t>
      </w:r>
      <w:r>
        <w:t xml:space="preserve">p. 156. </w:t>
      </w:r>
    </w:p>
  </w:footnote>
  <w:footnote w:id="52">
    <w:p w:rsidR="0032288C" w:rsidRDefault="00E66B5D">
      <w:pPr>
        <w:pStyle w:val="FootnoteText"/>
      </w:pPr>
      <w:r>
        <w:rPr>
          <w:rStyle w:val="FootnoteReference"/>
        </w:rPr>
        <w:footnoteRef/>
      </w:r>
      <w:r>
        <w:t xml:space="preserve"> Freemont – Barnes, </w:t>
      </w:r>
      <w:r>
        <w:rPr>
          <w:i/>
        </w:rPr>
        <w:t>Napoleonic Armies,</w:t>
      </w:r>
      <w:r>
        <w:t xml:space="preserve"> p. 89. </w:t>
      </w:r>
    </w:p>
  </w:footnote>
  <w:footnote w:id="53">
    <w:p w:rsidR="0032288C" w:rsidRDefault="00E66B5D">
      <w:pPr>
        <w:pStyle w:val="FootnoteText"/>
      </w:pPr>
      <w:r>
        <w:rPr>
          <w:rStyle w:val="FootnoteReference"/>
        </w:rPr>
        <w:footnoteRef/>
      </w:r>
      <w:r>
        <w:t xml:space="preserve"> Ibid., p. 90. </w:t>
      </w:r>
    </w:p>
  </w:footnote>
  <w:footnote w:id="54">
    <w:p w:rsidR="0032288C" w:rsidRDefault="00E66B5D">
      <w:pPr>
        <w:pStyle w:val="FootnoteText"/>
      </w:pPr>
      <w:r>
        <w:rPr>
          <w:rStyle w:val="FootnoteReference"/>
        </w:rPr>
        <w:footnoteRef/>
      </w:r>
      <w:r>
        <w:t xml:space="preserve"> Ibid., p. 91. </w:t>
      </w:r>
    </w:p>
  </w:footnote>
  <w:footnote w:id="55">
    <w:p w:rsidR="0032288C" w:rsidRDefault="00E66B5D">
      <w:pPr>
        <w:pStyle w:val="FootnoteText"/>
      </w:pPr>
      <w:r>
        <w:rPr>
          <w:rStyle w:val="FootnoteReference"/>
        </w:rPr>
        <w:footnoteRef/>
      </w:r>
      <w:r>
        <w:t xml:space="preserve"> Maclure, </w:t>
      </w:r>
      <w:r>
        <w:rPr>
          <w:i/>
        </w:rPr>
        <w:t xml:space="preserve">Madness, and Death, </w:t>
      </w:r>
      <w:r>
        <w:t xml:space="preserve">p. 120. </w:t>
      </w:r>
      <w:r>
        <w:rPr>
          <w:i/>
        </w:rPr>
        <w:t xml:space="preserve">  </w:t>
      </w:r>
    </w:p>
  </w:footnote>
  <w:footnote w:id="56">
    <w:p w:rsidR="0032288C" w:rsidRDefault="00E66B5D">
      <w:pPr>
        <w:pStyle w:val="FootnoteText"/>
      </w:pPr>
      <w:r>
        <w:rPr>
          <w:rStyle w:val="FootnoteReference"/>
        </w:rPr>
        <w:footnoteRef/>
      </w:r>
      <w:r>
        <w:t xml:space="preserve"> </w:t>
      </w:r>
      <w:bookmarkStart w:id="11" w:name="_Hlk527036603"/>
      <w:proofErr w:type="spellStart"/>
      <w:proofErr w:type="gramStart"/>
      <w:r>
        <w:t>G.E</w:t>
      </w:r>
      <w:r w:rsidR="00D22C2B">
        <w:t>id</w:t>
      </w:r>
      <w:proofErr w:type="spellEnd"/>
      <w:proofErr w:type="gramEnd"/>
      <w:r>
        <w:t xml:space="preserve">, ‘Diary of Lieutenant George Eid’, </w:t>
      </w:r>
      <w:r>
        <w:rPr>
          <w:i/>
        </w:rPr>
        <w:t>Proceedings of the Massachusetts Historical Society 18,</w:t>
      </w:r>
      <w:r>
        <w:t xml:space="preserve"> (1880</w:t>
      </w:r>
      <w:bookmarkEnd w:id="11"/>
      <w:r>
        <w:t>)</w:t>
      </w:r>
      <w:r w:rsidR="004356CD">
        <w:t>,</w:t>
      </w:r>
      <w:r>
        <w:t xml:space="preserve"> p. 78. </w:t>
      </w:r>
      <w:r>
        <w:rPr>
          <w:i/>
        </w:rPr>
        <w:t xml:space="preserve"> </w:t>
      </w:r>
      <w:r>
        <w:t xml:space="preserve"> </w:t>
      </w:r>
    </w:p>
  </w:footnote>
  <w:footnote w:id="57">
    <w:p w:rsidR="0032288C" w:rsidRDefault="00E66B5D">
      <w:pPr>
        <w:pStyle w:val="FootnoteText"/>
      </w:pPr>
      <w:r>
        <w:rPr>
          <w:rStyle w:val="FootnoteReference"/>
        </w:rPr>
        <w:footnoteRef/>
      </w:r>
      <w:r>
        <w:t xml:space="preserve"> Ibid., p. 78. </w:t>
      </w:r>
    </w:p>
  </w:footnote>
  <w:footnote w:id="58">
    <w:p w:rsidR="0032288C" w:rsidRDefault="00E66B5D">
      <w:pPr>
        <w:pStyle w:val="FootnoteText"/>
      </w:pPr>
      <w:r>
        <w:rPr>
          <w:rStyle w:val="FootnoteReference"/>
        </w:rPr>
        <w:footnoteRef/>
      </w:r>
      <w:r>
        <w:t xml:space="preserve"> </w:t>
      </w:r>
      <w:bookmarkStart w:id="12" w:name="_Hlk527035839"/>
      <w:r>
        <w:t>Starkey, War in the Age, p.71.</w:t>
      </w:r>
    </w:p>
    <w:bookmarkEnd w:id="12"/>
  </w:footnote>
  <w:footnote w:id="59">
    <w:p w:rsidR="0032288C" w:rsidRDefault="00E66B5D">
      <w:pPr>
        <w:pStyle w:val="FootnoteText"/>
      </w:pPr>
      <w:r>
        <w:rPr>
          <w:rStyle w:val="FootnoteReference"/>
        </w:rPr>
        <w:footnoteRef/>
      </w:r>
      <w:r>
        <w:t xml:space="preserve"> </w:t>
      </w:r>
      <w:bookmarkStart w:id="13" w:name="_Hlk526860973"/>
      <w:r>
        <w:t xml:space="preserve">Ibid., p. 71. </w:t>
      </w:r>
      <w:bookmarkEnd w:id="13"/>
    </w:p>
  </w:footnote>
  <w:footnote w:id="60">
    <w:p w:rsidR="0032288C" w:rsidRDefault="00E66B5D">
      <w:pPr>
        <w:pStyle w:val="FootnoteText"/>
      </w:pPr>
      <w:r>
        <w:rPr>
          <w:rStyle w:val="FootnoteReference"/>
        </w:rPr>
        <w:footnoteRef/>
      </w:r>
      <w:r>
        <w:t xml:space="preserve"> Ibid., p. 71.</w:t>
      </w:r>
    </w:p>
  </w:footnote>
  <w:footnote w:id="61">
    <w:p w:rsidR="0032288C" w:rsidRDefault="00E66B5D">
      <w:pPr>
        <w:pStyle w:val="FootnoteText"/>
      </w:pPr>
      <w:r>
        <w:rPr>
          <w:rStyle w:val="FootnoteReference"/>
        </w:rPr>
        <w:footnoteRef/>
      </w:r>
      <w:r>
        <w:t xml:space="preserve"> C. Dalrymple</w:t>
      </w:r>
      <w:r w:rsidRPr="00EB79DB">
        <w:rPr>
          <w:i/>
        </w:rPr>
        <w:t>, A Military Essay Containing Reflections on the Raising, Arming, Clothing, and Discipline of The British Infantry and Cavalry</w:t>
      </w:r>
      <w:r>
        <w:t>, (London</w:t>
      </w:r>
      <w:r w:rsidR="00B9385F">
        <w:t>:</w:t>
      </w:r>
      <w:r>
        <w:t xml:space="preserve"> 1761)</w:t>
      </w:r>
      <w:r w:rsidR="004356CD">
        <w:t>,</w:t>
      </w:r>
      <w:r w:rsidR="0052161D">
        <w:t xml:space="preserve"> p. 1. </w:t>
      </w:r>
    </w:p>
  </w:footnote>
  <w:footnote w:id="62">
    <w:p w:rsidR="0032288C" w:rsidRDefault="00E66B5D">
      <w:pPr>
        <w:pStyle w:val="FootnoteText"/>
      </w:pPr>
      <w:r>
        <w:rPr>
          <w:rStyle w:val="FootnoteReference"/>
        </w:rPr>
        <w:footnoteRef/>
      </w:r>
      <w:r>
        <w:t xml:space="preserve"> </w:t>
      </w:r>
      <w:bookmarkStart w:id="14" w:name="_Hlk527038067"/>
      <w:r>
        <w:t xml:space="preserve">E. Leonard, </w:t>
      </w:r>
      <w:r w:rsidRPr="00EB79DB">
        <w:rPr>
          <w:i/>
        </w:rPr>
        <w:t>E. L’armee et ses</w:t>
      </w:r>
      <w:r w:rsidRPr="00EB79DB">
        <w:rPr>
          <w:i/>
          <w:lang w:val="fr-FR"/>
        </w:rPr>
        <w:t xml:space="preserve"> problèmes au XVIIIe siècle</w:t>
      </w:r>
      <w:r>
        <w:rPr>
          <w:lang w:val="fr-FR"/>
        </w:rPr>
        <w:t xml:space="preserve"> (Paris: Libraire Plon, 1958), </w:t>
      </w:r>
      <w:bookmarkEnd w:id="14"/>
      <w:r>
        <w:rPr>
          <w:lang w:val="fr-FR"/>
        </w:rPr>
        <w:t xml:space="preserve">p. 176.   </w:t>
      </w:r>
      <w:r>
        <w:t xml:space="preserve">  </w:t>
      </w:r>
    </w:p>
  </w:footnote>
  <w:footnote w:id="63">
    <w:p w:rsidR="0032288C" w:rsidRDefault="00E66B5D">
      <w:pPr>
        <w:pStyle w:val="FootnoteText"/>
      </w:pPr>
      <w:r>
        <w:rPr>
          <w:rStyle w:val="FootnoteReference"/>
        </w:rPr>
        <w:footnoteRef/>
      </w:r>
      <w:r>
        <w:t xml:space="preserve"> Ibid., p. 178. </w:t>
      </w:r>
    </w:p>
  </w:footnote>
  <w:footnote w:id="64">
    <w:p w:rsidR="0032288C" w:rsidRDefault="00E66B5D">
      <w:pPr>
        <w:pStyle w:val="FootnoteText"/>
      </w:pPr>
      <w:r>
        <w:rPr>
          <w:rStyle w:val="FootnoteReference"/>
        </w:rPr>
        <w:footnoteRef/>
      </w:r>
      <w:r>
        <w:t xml:space="preserve"> Ibid., p. 178. </w:t>
      </w:r>
    </w:p>
  </w:footnote>
  <w:footnote w:id="65">
    <w:p w:rsidR="0032288C" w:rsidRDefault="00E66B5D">
      <w:pPr>
        <w:pStyle w:val="FootnoteText"/>
      </w:pPr>
      <w:r>
        <w:rPr>
          <w:rStyle w:val="FootnoteReference"/>
        </w:rPr>
        <w:footnoteRef/>
      </w:r>
      <w:r>
        <w:t xml:space="preserve"> Starkey, </w:t>
      </w:r>
      <w:r w:rsidRPr="009A6827">
        <w:rPr>
          <w:i/>
        </w:rPr>
        <w:t>War in the Age</w:t>
      </w:r>
      <w:r>
        <w:t xml:space="preserve">, p.79. </w:t>
      </w:r>
    </w:p>
  </w:footnote>
  <w:footnote w:id="66">
    <w:p w:rsidR="0032288C" w:rsidRDefault="00E66B5D">
      <w:pPr>
        <w:pStyle w:val="FootnoteText"/>
      </w:pPr>
      <w:r>
        <w:rPr>
          <w:rStyle w:val="FootnoteReference"/>
        </w:rPr>
        <w:footnoteRef/>
      </w:r>
      <w:r>
        <w:t xml:space="preserve"> Ibid., p. 79. </w:t>
      </w:r>
    </w:p>
  </w:footnote>
  <w:footnote w:id="67">
    <w:p w:rsidR="0032288C" w:rsidRDefault="00E66B5D">
      <w:pPr>
        <w:pStyle w:val="FootnoteText"/>
      </w:pPr>
      <w:r>
        <w:rPr>
          <w:rStyle w:val="FootnoteReference"/>
        </w:rPr>
        <w:footnoteRef/>
      </w:r>
      <w:r>
        <w:t xml:space="preserve"> </w:t>
      </w:r>
      <w:r>
        <w:rPr>
          <w:rFonts w:cs="Calibri"/>
          <w:color w:val="000000"/>
          <w:sz w:val="19"/>
          <w:szCs w:val="19"/>
        </w:rPr>
        <w:t xml:space="preserve">Ibid., p. 79. </w:t>
      </w:r>
    </w:p>
  </w:footnote>
  <w:footnote w:id="68">
    <w:p w:rsidR="0032288C" w:rsidRDefault="00E66B5D">
      <w:pPr>
        <w:pStyle w:val="FootnoteText"/>
      </w:pPr>
      <w:r>
        <w:rPr>
          <w:rStyle w:val="FootnoteReference"/>
        </w:rPr>
        <w:footnoteRef/>
      </w:r>
      <w:r>
        <w:t xml:space="preserve"> </w:t>
      </w:r>
      <w:bookmarkStart w:id="15" w:name="_Hlk527038154"/>
      <w:r>
        <w:t>J. Chagniot</w:t>
      </w:r>
      <w:r w:rsidRPr="00B8469F">
        <w:rPr>
          <w:i/>
        </w:rPr>
        <w:t xml:space="preserve">, </w:t>
      </w:r>
      <w:proofErr w:type="spellStart"/>
      <w:r w:rsidRPr="00B8469F">
        <w:rPr>
          <w:i/>
        </w:rPr>
        <w:t>Guere</w:t>
      </w:r>
      <w:proofErr w:type="spellEnd"/>
      <w:r w:rsidRPr="00B8469F">
        <w:rPr>
          <w:i/>
        </w:rPr>
        <w:t xml:space="preserve"> et </w:t>
      </w:r>
      <w:proofErr w:type="spellStart"/>
      <w:r w:rsidRPr="00B8469F">
        <w:rPr>
          <w:i/>
        </w:rPr>
        <w:t>Societe</w:t>
      </w:r>
      <w:proofErr w:type="spellEnd"/>
      <w:r w:rsidRPr="00B8469F">
        <w:rPr>
          <w:i/>
        </w:rPr>
        <w:t xml:space="preserve"> a </w:t>
      </w:r>
      <w:proofErr w:type="spellStart"/>
      <w:r w:rsidRPr="00B8469F">
        <w:rPr>
          <w:i/>
        </w:rPr>
        <w:t>l’poque</w:t>
      </w:r>
      <w:proofErr w:type="spellEnd"/>
      <w:r w:rsidRPr="00B8469F">
        <w:rPr>
          <w:i/>
        </w:rPr>
        <w:t xml:space="preserve"> </w:t>
      </w:r>
      <w:proofErr w:type="spellStart"/>
      <w:r w:rsidRPr="00B8469F">
        <w:rPr>
          <w:i/>
        </w:rPr>
        <w:t>moderne</w:t>
      </w:r>
      <w:proofErr w:type="spellEnd"/>
      <w:r>
        <w:t xml:space="preserve"> (Paris: University of France Press, 2001)</w:t>
      </w:r>
      <w:bookmarkEnd w:id="15"/>
      <w:r>
        <w:t xml:space="preserve">, p. 220. </w:t>
      </w:r>
    </w:p>
  </w:footnote>
  <w:footnote w:id="69">
    <w:p w:rsidR="0052161D" w:rsidRDefault="0052161D">
      <w:pPr>
        <w:pStyle w:val="FootnoteText"/>
      </w:pPr>
      <w:bookmarkStart w:id="16" w:name="_Hlk527038222"/>
      <w:r>
        <w:rPr>
          <w:rStyle w:val="FootnoteReference"/>
        </w:rPr>
        <w:footnoteRef/>
      </w:r>
      <w:r>
        <w:t xml:space="preserve"> D. Bien, ‘The Army, in the French Enlightenment: Reform, Reaction and Revolution’, </w:t>
      </w:r>
      <w:r>
        <w:rPr>
          <w:i/>
        </w:rPr>
        <w:t xml:space="preserve">Past and Present </w:t>
      </w:r>
      <w:r w:rsidRPr="0052161D">
        <w:t>(1979)</w:t>
      </w:r>
      <w:bookmarkEnd w:id="16"/>
      <w:r w:rsidRPr="0052161D">
        <w:t>, p. 68</w:t>
      </w:r>
      <w:r>
        <w:rPr>
          <w:i/>
        </w:rPr>
        <w:t xml:space="preserve">. </w:t>
      </w:r>
      <w:r>
        <w:t xml:space="preserve"> </w:t>
      </w:r>
    </w:p>
  </w:footnote>
  <w:footnote w:id="70">
    <w:p w:rsidR="0052161D" w:rsidRDefault="0052161D">
      <w:pPr>
        <w:pStyle w:val="FootnoteText"/>
      </w:pPr>
      <w:r>
        <w:rPr>
          <w:rStyle w:val="FootnoteReference"/>
        </w:rPr>
        <w:footnoteRef/>
      </w:r>
      <w:r>
        <w:t xml:space="preserve"> Ibid., p. 68. </w:t>
      </w:r>
    </w:p>
  </w:footnote>
  <w:footnote w:id="71">
    <w:p w:rsidR="0052161D" w:rsidRDefault="0052161D">
      <w:pPr>
        <w:pStyle w:val="FootnoteText"/>
      </w:pPr>
      <w:r>
        <w:rPr>
          <w:rStyle w:val="FootnoteReference"/>
        </w:rPr>
        <w:footnoteRef/>
      </w:r>
      <w:r>
        <w:t xml:space="preserve"> Ibid., p. 68. </w:t>
      </w:r>
    </w:p>
  </w:footnote>
  <w:footnote w:id="72">
    <w:p w:rsidR="0052161D" w:rsidRDefault="0052161D">
      <w:pPr>
        <w:pStyle w:val="FootnoteText"/>
      </w:pPr>
      <w:r>
        <w:rPr>
          <w:rStyle w:val="FootnoteReference"/>
        </w:rPr>
        <w:footnoteRef/>
      </w:r>
      <w:r>
        <w:t xml:space="preserve"> Ibid., p. 69. </w:t>
      </w:r>
    </w:p>
  </w:footnote>
  <w:footnote w:id="73">
    <w:p w:rsidR="0052161D" w:rsidRDefault="0052161D">
      <w:pPr>
        <w:pStyle w:val="FootnoteText"/>
      </w:pPr>
      <w:r>
        <w:rPr>
          <w:rStyle w:val="FootnoteReference"/>
        </w:rPr>
        <w:footnoteRef/>
      </w:r>
      <w:r>
        <w:t xml:space="preserve"> </w:t>
      </w:r>
      <w:r w:rsidRPr="0052161D">
        <w:t xml:space="preserve">Starkey, </w:t>
      </w:r>
      <w:r w:rsidRPr="003A2E38">
        <w:rPr>
          <w:i/>
        </w:rPr>
        <w:t>War in the Age</w:t>
      </w:r>
      <w:r w:rsidRPr="0052161D">
        <w:t>, p.7</w:t>
      </w:r>
      <w:r w:rsidR="004D3E3E">
        <w:t xml:space="preserve">2.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Y3MbQ0MjUwN7WwMDJS0lEKTi0uzszPAykwrgUAQwnQ/iwAAAA="/>
  </w:docVars>
  <w:rsids>
    <w:rsidRoot w:val="0032288C"/>
    <w:rsid w:val="000231BD"/>
    <w:rsid w:val="002C06A7"/>
    <w:rsid w:val="0032288C"/>
    <w:rsid w:val="003A2E38"/>
    <w:rsid w:val="003E4394"/>
    <w:rsid w:val="004356CD"/>
    <w:rsid w:val="00481833"/>
    <w:rsid w:val="004D3E3E"/>
    <w:rsid w:val="004E6E43"/>
    <w:rsid w:val="00507163"/>
    <w:rsid w:val="0052161D"/>
    <w:rsid w:val="005E4DEB"/>
    <w:rsid w:val="006461AF"/>
    <w:rsid w:val="007466E1"/>
    <w:rsid w:val="00796595"/>
    <w:rsid w:val="00802A4F"/>
    <w:rsid w:val="008E506A"/>
    <w:rsid w:val="00961D45"/>
    <w:rsid w:val="009A6827"/>
    <w:rsid w:val="00AC74A9"/>
    <w:rsid w:val="00AD5088"/>
    <w:rsid w:val="00B8469F"/>
    <w:rsid w:val="00B9385F"/>
    <w:rsid w:val="00C65991"/>
    <w:rsid w:val="00CB5DA7"/>
    <w:rsid w:val="00CE2C9F"/>
    <w:rsid w:val="00D22C2B"/>
    <w:rsid w:val="00D77418"/>
    <w:rsid w:val="00DD1F9B"/>
    <w:rsid w:val="00E66B5D"/>
    <w:rsid w:val="00E67A00"/>
    <w:rsid w:val="00EB79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EF166D7"/>
  <w15:docId w15:val="{D5C75F7F-4BA4-45E5-9F63-C1384244C8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Arial"/>
        <w:sz w:val="22"/>
        <w:szCs w:val="22"/>
        <w:lang w:val="en-GB" w:eastAsia="en-US" w:bidi="ar-SA"/>
      </w:rPr>
    </w:rPrDefault>
    <w:pPrDefault>
      <w:pPr>
        <w:autoSpaceDN w:val="0"/>
        <w:spacing w:after="160" w:line="256" w:lineRule="auto"/>
        <w:textAlignment w:val="baseline"/>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IntenseEmphasis">
    <w:name w:val="Intense Emphasis"/>
    <w:basedOn w:val="DefaultParagraphFont"/>
    <w:rPr>
      <w:i/>
      <w:iCs/>
      <w:color w:val="4472C4"/>
    </w:rPr>
  </w:style>
  <w:style w:type="character" w:styleId="CommentReference">
    <w:name w:val="annotation reference"/>
    <w:basedOn w:val="DefaultParagraphFont"/>
    <w:rPr>
      <w:sz w:val="16"/>
      <w:szCs w:val="16"/>
    </w:rPr>
  </w:style>
  <w:style w:type="paragraph" w:styleId="CommentText">
    <w:name w:val="annotation text"/>
    <w:basedOn w:val="Normal"/>
    <w:pPr>
      <w:spacing w:line="240" w:lineRule="auto"/>
    </w:pPr>
    <w:rPr>
      <w:sz w:val="20"/>
      <w:szCs w:val="20"/>
    </w:rPr>
  </w:style>
  <w:style w:type="character" w:customStyle="1" w:styleId="CommentTextChar">
    <w:name w:val="Comment Text Char"/>
    <w:basedOn w:val="DefaultParagraphFont"/>
    <w:rPr>
      <w:sz w:val="20"/>
      <w:szCs w:val="20"/>
    </w:rPr>
  </w:style>
  <w:style w:type="paragraph" w:styleId="CommentSubject">
    <w:name w:val="annotation subject"/>
    <w:basedOn w:val="CommentText"/>
    <w:next w:val="CommentText"/>
    <w:rPr>
      <w:b/>
      <w:bCs/>
    </w:rPr>
  </w:style>
  <w:style w:type="character" w:customStyle="1" w:styleId="CommentSubjectChar">
    <w:name w:val="Comment Subject Char"/>
    <w:basedOn w:val="CommentTextChar"/>
    <w:rPr>
      <w:b/>
      <w:bCs/>
      <w:sz w:val="20"/>
      <w:szCs w:val="20"/>
    </w:rPr>
  </w:style>
  <w:style w:type="paragraph" w:styleId="BalloonText">
    <w:name w:val="Balloon Text"/>
    <w:basedOn w:val="Normal"/>
    <w:pPr>
      <w:spacing w:after="0" w:line="240" w:lineRule="auto"/>
    </w:pPr>
    <w:rPr>
      <w:rFonts w:ascii="Segoe UI" w:hAnsi="Segoe UI" w:cs="Segoe UI"/>
      <w:sz w:val="18"/>
      <w:szCs w:val="18"/>
    </w:rPr>
  </w:style>
  <w:style w:type="character" w:customStyle="1" w:styleId="BalloonTextChar">
    <w:name w:val="Balloon Text Char"/>
    <w:basedOn w:val="DefaultParagraphFont"/>
    <w:rPr>
      <w:rFonts w:ascii="Segoe UI" w:hAnsi="Segoe UI" w:cs="Segoe UI"/>
      <w:sz w:val="18"/>
      <w:szCs w:val="18"/>
    </w:rPr>
  </w:style>
  <w:style w:type="paragraph" w:styleId="FootnoteText">
    <w:name w:val="footnote text"/>
    <w:basedOn w:val="Normal"/>
    <w:pPr>
      <w:spacing w:after="0" w:line="240" w:lineRule="auto"/>
    </w:pPr>
    <w:rPr>
      <w:sz w:val="20"/>
      <w:szCs w:val="20"/>
    </w:rPr>
  </w:style>
  <w:style w:type="character" w:customStyle="1" w:styleId="FootnoteTextChar">
    <w:name w:val="Footnote Text Char"/>
    <w:basedOn w:val="DefaultParagraphFont"/>
    <w:rPr>
      <w:sz w:val="20"/>
      <w:szCs w:val="20"/>
    </w:rPr>
  </w:style>
  <w:style w:type="character" w:styleId="FootnoteReference">
    <w:name w:val="footnote reference"/>
    <w:basedOn w:val="DefaultParagraphFont"/>
    <w:rPr>
      <w:position w:val="0"/>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6BC52C-340E-4653-B8A7-A6AD10CF08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2624</Words>
  <Characters>14957</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Henry Gillson-Gant</dc:creator>
  <dc:description/>
  <cp:lastModifiedBy>Henry Gillson-Gant</cp:lastModifiedBy>
  <cp:revision>5</cp:revision>
  <dcterms:created xsi:type="dcterms:W3CDTF">2018-10-11T15:38:00Z</dcterms:created>
  <dcterms:modified xsi:type="dcterms:W3CDTF">2018-10-11T15:52:00Z</dcterms:modified>
</cp:coreProperties>
</file>