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C44AF" w14:textId="4872804A" w:rsidR="00685402" w:rsidRPr="00685402" w:rsidRDefault="00685402" w:rsidP="00685402">
      <w:pPr>
        <w:spacing w:before="240" w:after="240"/>
        <w:rPr>
          <w:color w:val="000000"/>
        </w:rPr>
      </w:pPr>
      <w:r w:rsidRPr="00685402">
        <w:rPr>
          <w:rFonts w:ascii="Arial" w:hAnsi="Arial" w:cs="Arial"/>
          <w:color w:val="000000"/>
          <w:sz w:val="22"/>
          <w:szCs w:val="22"/>
        </w:rPr>
        <w:t xml:space="preserve">As a part of English tort law, compensation is paid for </w:t>
      </w:r>
      <w:r w:rsidR="00DD20D2" w:rsidRPr="00685402">
        <w:rPr>
          <w:rFonts w:ascii="Arial" w:hAnsi="Arial" w:cs="Arial"/>
          <w:color w:val="000000"/>
          <w:sz w:val="22"/>
          <w:szCs w:val="22"/>
        </w:rPr>
        <w:t>harm</w:t>
      </w:r>
      <w:r w:rsidRPr="00685402">
        <w:rPr>
          <w:rFonts w:ascii="Arial" w:hAnsi="Arial" w:cs="Arial"/>
          <w:color w:val="000000"/>
          <w:sz w:val="22"/>
          <w:szCs w:val="22"/>
        </w:rPr>
        <w:t xml:space="preserve"> to a person’s health and safety, their property, their economic interests, or their reputation. Unlike criminal law, tort law is governed by civil law and usually requires compensation for damages that have been caused. Torts along with contracts and unjust enrichment, constitute one of the three </w:t>
      </w:r>
      <w:r w:rsidR="00DD20D2" w:rsidRPr="00685402">
        <w:rPr>
          <w:rFonts w:ascii="Arial" w:hAnsi="Arial" w:cs="Arial"/>
          <w:color w:val="000000"/>
          <w:sz w:val="22"/>
          <w:szCs w:val="22"/>
        </w:rPr>
        <w:t>vital</w:t>
      </w:r>
      <w:r w:rsidRPr="00685402">
        <w:rPr>
          <w:rFonts w:ascii="Arial" w:hAnsi="Arial" w:cs="Arial"/>
          <w:color w:val="000000"/>
          <w:sz w:val="22"/>
          <w:szCs w:val="22"/>
        </w:rPr>
        <w:t xml:space="preserve"> pillars of the law of obligations. Deakin and Adams (2019). </w:t>
      </w:r>
    </w:p>
    <w:p w14:paraId="2493B0F0" w14:textId="77777777" w:rsidR="00685402" w:rsidRPr="00685402" w:rsidRDefault="00685402" w:rsidP="00685402">
      <w:pPr>
        <w:rPr>
          <w:color w:val="000000"/>
        </w:rPr>
      </w:pPr>
    </w:p>
    <w:p w14:paraId="50F7A5FA" w14:textId="189C71A9" w:rsidR="00685402" w:rsidRDefault="00685402" w:rsidP="00685402">
      <w:pPr>
        <w:spacing w:before="240" w:after="240"/>
        <w:rPr>
          <w:rFonts w:ascii="Arial" w:hAnsi="Arial" w:cs="Arial"/>
          <w:color w:val="000000"/>
          <w:sz w:val="22"/>
          <w:szCs w:val="22"/>
          <w:shd w:val="clear" w:color="auto" w:fill="FFFFFF"/>
        </w:rPr>
      </w:pPr>
      <w:r w:rsidRPr="00685402">
        <w:rPr>
          <w:rFonts w:ascii="Arial" w:hAnsi="Arial" w:cs="Arial"/>
          <w:color w:val="000000"/>
          <w:sz w:val="22"/>
          <w:szCs w:val="22"/>
        </w:rPr>
        <w:t xml:space="preserve">A tort case is usually resolved with an injunction or damages, which can be difficult to define. </w:t>
      </w:r>
      <w:r w:rsidRPr="00685402">
        <w:rPr>
          <w:rFonts w:ascii="Arial" w:hAnsi="Arial" w:cs="Arial"/>
          <w:color w:val="000000"/>
          <w:sz w:val="22"/>
          <w:szCs w:val="22"/>
          <w:shd w:val="clear" w:color="auto" w:fill="FFFFFF"/>
        </w:rPr>
        <w:t xml:space="preserve">According to John William Salmond, a tort is a civil wrong that is redressed by an action for unliquidated damages under the common law. There are other remedies besides breach of trust. Winfield described tort law as “tortious liability”. </w:t>
      </w:r>
      <w:r w:rsidR="00DD70A3">
        <w:rPr>
          <w:rFonts w:ascii="Arial" w:hAnsi="Arial" w:cs="Arial"/>
          <w:color w:val="000000"/>
          <w:sz w:val="22"/>
          <w:szCs w:val="22"/>
          <w:shd w:val="clear" w:color="auto" w:fill="FFFFFF"/>
        </w:rPr>
        <w:t xml:space="preserve">John W. Salmond (1907). </w:t>
      </w:r>
    </w:p>
    <w:p w14:paraId="44C12D7F" w14:textId="41FB3774" w:rsidR="00DD70A3" w:rsidRDefault="00DD70A3" w:rsidP="00685402">
      <w:pPr>
        <w:spacing w:before="240" w:after="240"/>
        <w:rPr>
          <w:rFonts w:ascii="Arial" w:hAnsi="Arial" w:cs="Arial"/>
          <w:color w:val="000000"/>
          <w:sz w:val="22"/>
          <w:szCs w:val="22"/>
          <w:shd w:val="clear" w:color="auto" w:fill="FFFFFF"/>
        </w:rPr>
      </w:pPr>
    </w:p>
    <w:p w14:paraId="6321BB37" w14:textId="2F6FA7F8" w:rsidR="00970584" w:rsidRPr="00DD20D2" w:rsidRDefault="00554E5B" w:rsidP="00970584">
      <w:pPr>
        <w:pStyle w:val="mb-25"/>
        <w:rPr>
          <w:color w:val="000000"/>
          <w:sz w:val="22"/>
          <w:szCs w:val="22"/>
        </w:rPr>
      </w:pPr>
      <w:r w:rsidRPr="00DD20D2">
        <w:rPr>
          <w:rFonts w:ascii="Arial" w:hAnsi="Arial" w:cs="Arial"/>
          <w:color w:val="000000"/>
          <w:sz w:val="22"/>
          <w:szCs w:val="22"/>
        </w:rPr>
        <w:t>Horsey and Rackley (2021) emphasise that d</w:t>
      </w:r>
      <w:r w:rsidR="00970584" w:rsidRPr="00DD20D2">
        <w:rPr>
          <w:rFonts w:ascii="Arial" w:hAnsi="Arial" w:cs="Arial"/>
          <w:color w:val="000000"/>
          <w:sz w:val="22"/>
          <w:szCs w:val="22"/>
        </w:rPr>
        <w:t xml:space="preserve">uty is fundamentally a relationship-based concept. </w:t>
      </w:r>
      <w:r w:rsidR="00DD20D2" w:rsidRPr="00DD20D2">
        <w:rPr>
          <w:rFonts w:ascii="Arial" w:hAnsi="Arial" w:cs="Arial"/>
          <w:color w:val="000000"/>
          <w:sz w:val="22"/>
          <w:szCs w:val="22"/>
        </w:rPr>
        <w:t>It must be established that there is a relationship between the defendant and the plaintiff before the court can establish a duty of care. </w:t>
      </w:r>
      <w:r w:rsidR="00970584" w:rsidRPr="00DD20D2">
        <w:rPr>
          <w:rFonts w:ascii="Arial" w:hAnsi="Arial" w:cs="Arial"/>
          <w:color w:val="000000"/>
          <w:sz w:val="22"/>
          <w:szCs w:val="22"/>
        </w:rPr>
        <w:t xml:space="preserve">The </w:t>
      </w:r>
      <w:r w:rsidR="00DD20D2" w:rsidRPr="00DD20D2">
        <w:rPr>
          <w:rFonts w:ascii="Arial" w:hAnsi="Arial" w:cs="Arial"/>
          <w:color w:val="000000"/>
          <w:sz w:val="22"/>
          <w:szCs w:val="22"/>
        </w:rPr>
        <w:t>respondent</w:t>
      </w:r>
      <w:r w:rsidR="00970584" w:rsidRPr="00DD20D2">
        <w:rPr>
          <w:rFonts w:ascii="Arial" w:hAnsi="Arial" w:cs="Arial"/>
          <w:color w:val="000000"/>
          <w:sz w:val="22"/>
          <w:szCs w:val="22"/>
        </w:rPr>
        <w:t xml:space="preserve"> will not be held </w:t>
      </w:r>
      <w:r w:rsidR="00DD20D2" w:rsidRPr="00DD20D2">
        <w:rPr>
          <w:rFonts w:ascii="Arial" w:hAnsi="Arial" w:cs="Arial"/>
          <w:color w:val="000000"/>
          <w:sz w:val="22"/>
          <w:szCs w:val="22"/>
        </w:rPr>
        <w:t>accountable</w:t>
      </w:r>
      <w:r w:rsidR="00970584" w:rsidRPr="00DD20D2">
        <w:rPr>
          <w:rFonts w:ascii="Arial" w:hAnsi="Arial" w:cs="Arial"/>
          <w:color w:val="000000"/>
          <w:sz w:val="22"/>
          <w:szCs w:val="22"/>
        </w:rPr>
        <w:t xml:space="preserve"> for any </w:t>
      </w:r>
      <w:r w:rsidR="00DD20D2" w:rsidRPr="00DD20D2">
        <w:rPr>
          <w:rFonts w:ascii="Arial" w:hAnsi="Arial" w:cs="Arial"/>
          <w:color w:val="000000"/>
          <w:sz w:val="22"/>
          <w:szCs w:val="22"/>
        </w:rPr>
        <w:t>damage</w:t>
      </w:r>
      <w:r w:rsidR="00970584" w:rsidRPr="00DD20D2">
        <w:rPr>
          <w:rFonts w:ascii="Arial" w:hAnsi="Arial" w:cs="Arial"/>
          <w:color w:val="000000"/>
          <w:sz w:val="22"/>
          <w:szCs w:val="22"/>
        </w:rPr>
        <w:t xml:space="preserve"> caused to the claimant if they do not owe a duty of care to the claimant. In addition, the </w:t>
      </w:r>
      <w:r w:rsidR="00DD20D2" w:rsidRPr="00DD20D2">
        <w:rPr>
          <w:rFonts w:ascii="Arial" w:hAnsi="Arial" w:cs="Arial"/>
          <w:color w:val="000000"/>
          <w:sz w:val="22"/>
          <w:szCs w:val="22"/>
        </w:rPr>
        <w:t>respondent</w:t>
      </w:r>
      <w:r w:rsidR="00970584" w:rsidRPr="00DD20D2">
        <w:rPr>
          <w:rFonts w:ascii="Arial" w:hAnsi="Arial" w:cs="Arial"/>
          <w:color w:val="000000"/>
          <w:sz w:val="22"/>
          <w:szCs w:val="22"/>
        </w:rPr>
        <w:t xml:space="preserve"> must </w:t>
      </w:r>
      <w:r w:rsidR="00DD20D2">
        <w:rPr>
          <w:rFonts w:ascii="Arial" w:hAnsi="Arial" w:cs="Arial"/>
          <w:color w:val="000000"/>
          <w:sz w:val="22"/>
          <w:szCs w:val="22"/>
        </w:rPr>
        <w:t>owe</w:t>
      </w:r>
      <w:r w:rsidR="00970584" w:rsidRPr="00DD20D2">
        <w:rPr>
          <w:rFonts w:ascii="Arial" w:hAnsi="Arial" w:cs="Arial"/>
          <w:color w:val="000000"/>
          <w:sz w:val="22"/>
          <w:szCs w:val="22"/>
        </w:rPr>
        <w:t xml:space="preserve"> the claimant </w:t>
      </w:r>
      <w:r w:rsidR="002D0EB9" w:rsidRPr="00DD20D2">
        <w:rPr>
          <w:rFonts w:ascii="Arial" w:hAnsi="Arial" w:cs="Arial"/>
          <w:color w:val="000000"/>
          <w:sz w:val="22"/>
          <w:szCs w:val="22"/>
        </w:rPr>
        <w:t>an</w:t>
      </w:r>
      <w:r w:rsidR="00970584" w:rsidRPr="00DD20D2">
        <w:rPr>
          <w:rFonts w:ascii="Arial" w:hAnsi="Arial" w:cs="Arial"/>
          <w:color w:val="000000"/>
          <w:sz w:val="22"/>
          <w:szCs w:val="22"/>
        </w:rPr>
        <w:t xml:space="preserve"> </w:t>
      </w:r>
      <w:r w:rsidR="00DD20D2" w:rsidRPr="00DD20D2">
        <w:rPr>
          <w:rFonts w:ascii="Arial" w:hAnsi="Arial" w:cs="Arial"/>
          <w:color w:val="000000"/>
          <w:sz w:val="22"/>
          <w:szCs w:val="22"/>
        </w:rPr>
        <w:t>obligation</w:t>
      </w:r>
      <w:r w:rsidR="00970584" w:rsidRPr="00DD20D2">
        <w:rPr>
          <w:rFonts w:ascii="Arial" w:hAnsi="Arial" w:cs="Arial"/>
          <w:color w:val="000000"/>
          <w:sz w:val="22"/>
          <w:szCs w:val="22"/>
        </w:rPr>
        <w:t xml:space="preserve"> of care for the specific type of harm (or injury) sustained - for example, one type of injury may be subject to a duty of care while another is not.</w:t>
      </w:r>
      <w:r w:rsidR="00970584" w:rsidRPr="00DD20D2">
        <w:rPr>
          <w:rStyle w:val="apple-converted-space"/>
          <w:rFonts w:ascii="Arial" w:hAnsi="Arial" w:cs="Arial"/>
          <w:color w:val="000000"/>
          <w:sz w:val="22"/>
          <w:szCs w:val="22"/>
        </w:rPr>
        <w:t xml:space="preserve">  </w:t>
      </w:r>
    </w:p>
    <w:p w14:paraId="16C00C70" w14:textId="60A9DDA2" w:rsidR="00DD70A3" w:rsidRDefault="00DD70A3" w:rsidP="00685402">
      <w:pPr>
        <w:spacing w:before="240" w:after="240"/>
        <w:rPr>
          <w:rFonts w:ascii="Arial" w:hAnsi="Arial" w:cs="Arial"/>
          <w:color w:val="000000"/>
          <w:sz w:val="22"/>
          <w:szCs w:val="22"/>
          <w:shd w:val="clear" w:color="auto" w:fill="FFFFFF"/>
        </w:rPr>
      </w:pPr>
    </w:p>
    <w:p w14:paraId="6FA86B7C" w14:textId="42F77DE5" w:rsidR="00DD70A3" w:rsidRPr="00464742" w:rsidRDefault="00464742" w:rsidP="00464742">
      <w:pPr>
        <w:pStyle w:val="mb-25"/>
        <w:rPr>
          <w:color w:val="000000"/>
        </w:rPr>
      </w:pPr>
      <w:r w:rsidRPr="00464742">
        <w:rPr>
          <w:rFonts w:ascii="Arial" w:hAnsi="Arial" w:cs="Arial"/>
          <w:color w:val="000000"/>
          <w:sz w:val="22"/>
          <w:szCs w:val="22"/>
          <w:shd w:val="clear" w:color="auto" w:fill="FFFFFF"/>
        </w:rPr>
        <w:t xml:space="preserve">Furthermore, </w:t>
      </w:r>
      <w:r w:rsidRPr="00464742">
        <w:rPr>
          <w:rFonts w:ascii="Arial" w:hAnsi="Arial" w:cs="Arial"/>
          <w:color w:val="000000"/>
          <w:sz w:val="22"/>
          <w:szCs w:val="22"/>
        </w:rPr>
        <w:t>there is a duty of care that must be observed in the tort of negligence, the most common tort.</w:t>
      </w:r>
      <w:r w:rsidRPr="00464742">
        <w:rPr>
          <w:rStyle w:val="apple-converted-space"/>
          <w:color w:val="000000"/>
          <w:sz w:val="22"/>
          <w:szCs w:val="22"/>
        </w:rPr>
        <w:t> </w:t>
      </w:r>
      <w:r>
        <w:rPr>
          <w:rFonts w:ascii="Arial" w:hAnsi="Arial" w:cs="Arial"/>
          <w:color w:val="000000"/>
          <w:sz w:val="22"/>
          <w:szCs w:val="22"/>
          <w:shd w:val="clear" w:color="auto" w:fill="FFFFFF"/>
        </w:rPr>
        <w:t xml:space="preserve">A </w:t>
      </w:r>
      <w:r w:rsidR="00DD70A3" w:rsidRPr="00464742">
        <w:rPr>
          <w:rFonts w:ascii="Arial" w:hAnsi="Arial" w:cs="Arial"/>
          <w:color w:val="000000"/>
          <w:sz w:val="22"/>
          <w:szCs w:val="22"/>
          <w:shd w:val="clear" w:color="auto" w:fill="FFFFFF"/>
        </w:rPr>
        <w:t>duty of care is a legal obligation that arises from circumstances and relationships recognised</w:t>
      </w:r>
      <w:r w:rsidR="00DD70A3">
        <w:rPr>
          <w:rFonts w:ascii="Arial" w:hAnsi="Arial" w:cs="Arial"/>
          <w:color w:val="000000"/>
          <w:sz w:val="22"/>
          <w:szCs w:val="22"/>
          <w:shd w:val="clear" w:color="auto" w:fill="FFFFFF"/>
        </w:rPr>
        <w:t xml:space="preserve"> by the law. </w:t>
      </w:r>
      <w:r w:rsidR="00DD20D2" w:rsidRPr="00DD20D2">
        <w:rPr>
          <w:rFonts w:ascii="Arial" w:hAnsi="Arial" w:cs="Arial"/>
          <w:color w:val="000000"/>
          <w:sz w:val="22"/>
          <w:szCs w:val="22"/>
        </w:rPr>
        <w:t>A failure to meet a legal obligation may result in legal liability for some emergency services, even if they were aiding a member of the public in immediate danger.</w:t>
      </w:r>
      <w:r w:rsidR="00DD20D2">
        <w:rPr>
          <w:color w:val="000000"/>
        </w:rPr>
        <w:t xml:space="preserve"> </w:t>
      </w:r>
      <w:r w:rsidR="00C90906">
        <w:rPr>
          <w:rFonts w:ascii="Arial" w:hAnsi="Arial" w:cs="Arial"/>
          <w:color w:val="000000"/>
          <w:sz w:val="22"/>
          <w:szCs w:val="22"/>
          <w:shd w:val="clear" w:color="auto" w:fill="FFFFFF"/>
        </w:rPr>
        <w:t>Those who suffer injury or loss due to an emergency service’s breach</w:t>
      </w:r>
      <w:r w:rsidR="00DA3BD4">
        <w:rPr>
          <w:rFonts w:ascii="Arial" w:hAnsi="Arial" w:cs="Arial"/>
          <w:color w:val="000000"/>
          <w:sz w:val="22"/>
          <w:szCs w:val="22"/>
          <w:shd w:val="clear" w:color="auto" w:fill="FFFFFF"/>
        </w:rPr>
        <w:t xml:space="preserve"> of </w:t>
      </w:r>
      <w:r w:rsidR="00C90906">
        <w:rPr>
          <w:rFonts w:ascii="Arial" w:hAnsi="Arial" w:cs="Arial"/>
          <w:color w:val="000000"/>
          <w:sz w:val="22"/>
          <w:szCs w:val="22"/>
          <w:shd w:val="clear" w:color="auto" w:fill="FFFFFF"/>
        </w:rPr>
        <w:t xml:space="preserve">duty of care may be entitled to compensation if those obligations are not fulfilled. </w:t>
      </w:r>
      <w:r>
        <w:rPr>
          <w:rFonts w:ascii="Arial" w:hAnsi="Arial" w:cs="Arial"/>
          <w:color w:val="000000"/>
          <w:sz w:val="22"/>
          <w:szCs w:val="22"/>
          <w:shd w:val="clear" w:color="auto" w:fill="FFFFFF"/>
        </w:rPr>
        <w:t>According to Mahmud and Rahman pg. 77 (2016).</w:t>
      </w:r>
      <w:r w:rsidR="00DD20D2">
        <w:rPr>
          <w:rFonts w:ascii="Arial" w:hAnsi="Arial" w:cs="Arial"/>
          <w:color w:val="000000"/>
          <w:sz w:val="22"/>
          <w:szCs w:val="22"/>
          <w:shd w:val="clear" w:color="auto" w:fill="FFFFFF"/>
        </w:rPr>
        <w:t xml:space="preserve"> </w:t>
      </w:r>
    </w:p>
    <w:p w14:paraId="09DC2506" w14:textId="5D850915" w:rsidR="004812B6" w:rsidRDefault="004812B6" w:rsidP="00685402">
      <w:pPr>
        <w:spacing w:before="240" w:after="240"/>
        <w:rPr>
          <w:rFonts w:ascii="Arial" w:hAnsi="Arial" w:cs="Arial"/>
          <w:color w:val="000000"/>
          <w:sz w:val="22"/>
          <w:szCs w:val="22"/>
          <w:shd w:val="clear" w:color="auto" w:fill="FFFFFF"/>
        </w:rPr>
      </w:pPr>
    </w:p>
    <w:p w14:paraId="53BA436B" w14:textId="28C49398" w:rsidR="004812B6" w:rsidRPr="00892850" w:rsidRDefault="00464742" w:rsidP="004812B6">
      <w:pPr>
        <w:pStyle w:val="mb-25"/>
        <w:rPr>
          <w:rStyle w:val="apple-converted-space"/>
          <w:rFonts w:ascii="Arial" w:hAnsi="Arial" w:cs="Arial"/>
          <w:color w:val="000000" w:themeColor="text1"/>
          <w:sz w:val="22"/>
          <w:szCs w:val="22"/>
        </w:rPr>
      </w:pPr>
      <w:r w:rsidRPr="00464742">
        <w:rPr>
          <w:rStyle w:val="issue-underline"/>
          <w:rFonts w:ascii="Arial" w:hAnsi="Arial" w:cs="Arial"/>
          <w:color w:val="000000" w:themeColor="text1"/>
          <w:sz w:val="22"/>
          <w:szCs w:val="22"/>
        </w:rPr>
        <w:t>The emergency</w:t>
      </w:r>
      <w:r w:rsidRPr="00464742">
        <w:rPr>
          <w:rStyle w:val="apple-converted-space"/>
          <w:rFonts w:ascii="Arial" w:hAnsi="Arial" w:cs="Arial"/>
          <w:color w:val="000000" w:themeColor="text1"/>
          <w:sz w:val="22"/>
          <w:szCs w:val="22"/>
        </w:rPr>
        <w:t> </w:t>
      </w:r>
      <w:r w:rsidRPr="00464742">
        <w:rPr>
          <w:rFonts w:ascii="Arial" w:hAnsi="Arial" w:cs="Arial"/>
          <w:color w:val="000000" w:themeColor="text1"/>
          <w:sz w:val="22"/>
          <w:szCs w:val="22"/>
        </w:rPr>
        <w:t xml:space="preserve">services, for example, owe a </w:t>
      </w:r>
      <w:r w:rsidR="00DD20D2" w:rsidRPr="00464742">
        <w:rPr>
          <w:rFonts w:ascii="Arial" w:hAnsi="Arial" w:cs="Arial"/>
          <w:color w:val="000000" w:themeColor="text1"/>
          <w:sz w:val="22"/>
          <w:szCs w:val="22"/>
        </w:rPr>
        <w:t>responsibility</w:t>
      </w:r>
      <w:r w:rsidRPr="00464742">
        <w:rPr>
          <w:rFonts w:ascii="Arial" w:hAnsi="Arial" w:cs="Arial"/>
          <w:color w:val="000000" w:themeColor="text1"/>
          <w:sz w:val="22"/>
          <w:szCs w:val="22"/>
        </w:rPr>
        <w:t xml:space="preserve"> of care to their patients.</w:t>
      </w:r>
      <w:r>
        <w:rPr>
          <w:rFonts w:ascii="Arial" w:hAnsi="Arial" w:cs="Arial"/>
          <w:color w:val="000000" w:themeColor="text1"/>
          <w:sz w:val="22"/>
          <w:szCs w:val="22"/>
        </w:rPr>
        <w:t xml:space="preserve"> </w:t>
      </w:r>
      <w:r w:rsidRPr="00464742">
        <w:rPr>
          <w:rFonts w:ascii="Arial" w:hAnsi="Arial" w:cs="Arial"/>
          <w:color w:val="000000" w:themeColor="text1"/>
          <w:sz w:val="22"/>
          <w:szCs w:val="22"/>
        </w:rPr>
        <w:t>These</w:t>
      </w:r>
      <w:r w:rsidRPr="00464742">
        <w:rPr>
          <w:rStyle w:val="apple-converted-space"/>
          <w:rFonts w:ascii="Arial" w:hAnsi="Arial" w:cs="Arial"/>
          <w:color w:val="000000" w:themeColor="text1"/>
          <w:sz w:val="22"/>
          <w:szCs w:val="22"/>
        </w:rPr>
        <w:t> </w:t>
      </w:r>
      <w:r w:rsidRPr="00464742">
        <w:rPr>
          <w:rStyle w:val="issue-underline"/>
          <w:rFonts w:ascii="Arial" w:hAnsi="Arial" w:cs="Arial"/>
          <w:color w:val="000000" w:themeColor="text1"/>
          <w:sz w:val="22"/>
          <w:szCs w:val="22"/>
        </w:rPr>
        <w:t>important</w:t>
      </w:r>
      <w:r w:rsidRPr="00464742">
        <w:rPr>
          <w:rStyle w:val="apple-converted-space"/>
          <w:rFonts w:ascii="Arial" w:hAnsi="Arial" w:cs="Arial"/>
          <w:color w:val="000000" w:themeColor="text1"/>
          <w:sz w:val="22"/>
          <w:szCs w:val="22"/>
        </w:rPr>
        <w:t> </w:t>
      </w:r>
      <w:r w:rsidRPr="00464742">
        <w:rPr>
          <w:rFonts w:ascii="Arial" w:hAnsi="Arial" w:cs="Arial"/>
          <w:color w:val="000000" w:themeColor="text1"/>
          <w:sz w:val="22"/>
          <w:szCs w:val="22"/>
        </w:rPr>
        <w:t>public institutions need to ensure public safety, security, and respond to emergency situations whenever they arise.</w:t>
      </w:r>
      <w:r>
        <w:rPr>
          <w:rFonts w:ascii="Arial" w:hAnsi="Arial" w:cs="Arial"/>
          <w:color w:val="000000" w:themeColor="text1"/>
          <w:sz w:val="22"/>
          <w:szCs w:val="22"/>
        </w:rPr>
        <w:t xml:space="preserve"> </w:t>
      </w:r>
      <w:r w:rsidR="004812B6" w:rsidRPr="004812B6">
        <w:rPr>
          <w:rFonts w:ascii="Arial" w:hAnsi="Arial" w:cs="Arial"/>
          <w:color w:val="000000"/>
          <w:sz w:val="22"/>
          <w:szCs w:val="22"/>
        </w:rPr>
        <w:t xml:space="preserve">In general, the emergency services are not liable for negligence in the event they respond in an inadequate manner. However, in specific </w:t>
      </w:r>
      <w:r w:rsidR="00DD20D2" w:rsidRPr="004812B6">
        <w:rPr>
          <w:rFonts w:ascii="Arial" w:hAnsi="Arial" w:cs="Arial"/>
          <w:color w:val="000000"/>
          <w:sz w:val="22"/>
          <w:szCs w:val="22"/>
        </w:rPr>
        <w:t>situations</w:t>
      </w:r>
      <w:r w:rsidR="004812B6" w:rsidRPr="004812B6">
        <w:rPr>
          <w:rFonts w:ascii="Arial" w:hAnsi="Arial" w:cs="Arial"/>
          <w:color w:val="000000"/>
          <w:sz w:val="22"/>
          <w:szCs w:val="22"/>
        </w:rPr>
        <w:t>, a duty of care may exist where an inadequate response makes the situation more problematic.</w:t>
      </w:r>
      <w:r w:rsidR="004812B6" w:rsidRPr="004812B6">
        <w:rPr>
          <w:rStyle w:val="apple-converted-space"/>
          <w:rFonts w:ascii="Arial" w:hAnsi="Arial" w:cs="Arial"/>
          <w:color w:val="000000"/>
          <w:sz w:val="22"/>
          <w:szCs w:val="22"/>
        </w:rPr>
        <w:t> </w:t>
      </w:r>
      <w:r w:rsidR="004812B6" w:rsidRPr="00255A11">
        <w:rPr>
          <w:rStyle w:val="Emphasis"/>
          <w:rFonts w:ascii="Arial" w:hAnsi="Arial" w:cs="Arial"/>
          <w:i w:val="0"/>
          <w:iCs w:val="0"/>
          <w:color w:val="000000"/>
          <w:sz w:val="22"/>
          <w:szCs w:val="22"/>
        </w:rPr>
        <w:t xml:space="preserve">In Kent v Griffiths [2000], the English Court of Appeal ruled that </w:t>
      </w:r>
      <w:r w:rsidR="00AA0566">
        <w:rPr>
          <w:rStyle w:val="Emphasis"/>
          <w:rFonts w:ascii="Arial" w:hAnsi="Arial" w:cs="Arial"/>
          <w:i w:val="0"/>
          <w:iCs w:val="0"/>
          <w:color w:val="000000"/>
          <w:sz w:val="22"/>
          <w:szCs w:val="22"/>
        </w:rPr>
        <w:t>the ambulance services</w:t>
      </w:r>
      <w:r w:rsidR="004812B6" w:rsidRPr="00255A11">
        <w:rPr>
          <w:rStyle w:val="Emphasis"/>
          <w:rFonts w:ascii="Arial" w:hAnsi="Arial" w:cs="Arial"/>
          <w:i w:val="0"/>
          <w:iCs w:val="0"/>
          <w:color w:val="000000"/>
          <w:sz w:val="22"/>
          <w:szCs w:val="22"/>
        </w:rPr>
        <w:t xml:space="preserve"> owed a duty of care to their patients.</w:t>
      </w:r>
      <w:r w:rsidR="004812B6" w:rsidRPr="00255A11">
        <w:rPr>
          <w:rStyle w:val="apple-converted-space"/>
          <w:rFonts w:ascii="Arial" w:hAnsi="Arial" w:cs="Arial"/>
          <w:i/>
          <w:iCs/>
          <w:color w:val="000000"/>
          <w:sz w:val="22"/>
          <w:szCs w:val="22"/>
        </w:rPr>
        <w:t> </w:t>
      </w:r>
      <w:r w:rsidR="004812B6" w:rsidRPr="00255A11">
        <w:rPr>
          <w:rFonts w:ascii="Arial" w:hAnsi="Arial" w:cs="Arial"/>
          <w:color w:val="000000"/>
          <w:sz w:val="22"/>
          <w:szCs w:val="22"/>
        </w:rPr>
        <w:t xml:space="preserve">A duty of care to the public can only be owed by the emergency services in certain </w:t>
      </w:r>
      <w:r w:rsidR="00DD20D2">
        <w:rPr>
          <w:rFonts w:ascii="Arial" w:hAnsi="Arial" w:cs="Arial"/>
          <w:color w:val="000000"/>
          <w:sz w:val="22"/>
          <w:szCs w:val="22"/>
        </w:rPr>
        <w:t>limited</w:t>
      </w:r>
      <w:r w:rsidR="004812B6" w:rsidRPr="00255A11">
        <w:rPr>
          <w:rFonts w:ascii="Arial" w:hAnsi="Arial" w:cs="Arial"/>
          <w:color w:val="000000"/>
          <w:sz w:val="22"/>
          <w:szCs w:val="22"/>
        </w:rPr>
        <w:t xml:space="preserve"> circumstances</w:t>
      </w:r>
      <w:r w:rsidR="00DA3BD4">
        <w:rPr>
          <w:rFonts w:ascii="Arial" w:hAnsi="Arial" w:cs="Arial"/>
          <w:color w:val="000000"/>
          <w:sz w:val="22"/>
          <w:szCs w:val="22"/>
        </w:rPr>
        <w:t xml:space="preserve">. </w:t>
      </w:r>
      <w:r w:rsidR="00892850">
        <w:rPr>
          <w:rStyle w:val="apple-converted-space"/>
          <w:rFonts w:ascii="Arial" w:hAnsi="Arial" w:cs="Arial"/>
          <w:color w:val="000000" w:themeColor="text1"/>
          <w:sz w:val="22"/>
          <w:szCs w:val="22"/>
        </w:rPr>
        <w:t xml:space="preserve">Cooke (2007). </w:t>
      </w:r>
    </w:p>
    <w:p w14:paraId="5E595F9E" w14:textId="25B625AA" w:rsidR="004812B6" w:rsidRDefault="004812B6" w:rsidP="004812B6">
      <w:pPr>
        <w:pStyle w:val="mb-25"/>
        <w:rPr>
          <w:rStyle w:val="apple-converted-space"/>
          <w:rFonts w:ascii="Arial" w:hAnsi="Arial" w:cs="Arial"/>
          <w:color w:val="000000"/>
          <w:sz w:val="22"/>
          <w:szCs w:val="22"/>
        </w:rPr>
      </w:pPr>
    </w:p>
    <w:p w14:paraId="053316AB" w14:textId="0D43BFFD" w:rsidR="004812B6" w:rsidRPr="00163085" w:rsidRDefault="002D0EB9" w:rsidP="004812B6">
      <w:pPr>
        <w:pStyle w:val="mb-25"/>
        <w:rPr>
          <w:color w:val="000000"/>
        </w:rPr>
      </w:pPr>
      <w:r>
        <w:rPr>
          <w:rStyle w:val="Emphasis"/>
          <w:rFonts w:ascii="Arial" w:hAnsi="Arial" w:cs="Arial"/>
          <w:i w:val="0"/>
          <w:iCs w:val="0"/>
          <w:color w:val="000000"/>
          <w:sz w:val="22"/>
          <w:szCs w:val="22"/>
        </w:rPr>
        <w:t xml:space="preserve">In relation to this, a </w:t>
      </w:r>
      <w:r w:rsidR="00AE3BE1">
        <w:rPr>
          <w:rStyle w:val="Emphasis"/>
          <w:rFonts w:ascii="Arial" w:hAnsi="Arial" w:cs="Arial"/>
          <w:i w:val="0"/>
          <w:iCs w:val="0"/>
          <w:color w:val="000000"/>
          <w:sz w:val="22"/>
          <w:szCs w:val="22"/>
        </w:rPr>
        <w:t>case which represents this is i</w:t>
      </w:r>
      <w:r w:rsidR="004812B6" w:rsidRPr="004812B6">
        <w:rPr>
          <w:rStyle w:val="Emphasis"/>
          <w:rFonts w:ascii="Arial" w:hAnsi="Arial" w:cs="Arial"/>
          <w:i w:val="0"/>
          <w:iCs w:val="0"/>
          <w:color w:val="000000"/>
          <w:sz w:val="22"/>
          <w:szCs w:val="22"/>
        </w:rPr>
        <w:t xml:space="preserve">n Hill v Chief Constable of West Yorkshire </w:t>
      </w:r>
      <w:r w:rsidR="00255A11">
        <w:rPr>
          <w:rStyle w:val="Emphasis"/>
          <w:rFonts w:ascii="Arial" w:hAnsi="Arial" w:cs="Arial"/>
          <w:i w:val="0"/>
          <w:iCs w:val="0"/>
          <w:color w:val="000000"/>
          <w:sz w:val="22"/>
          <w:szCs w:val="22"/>
        </w:rPr>
        <w:t>Police [</w:t>
      </w:r>
      <w:r w:rsidR="004812B6" w:rsidRPr="004812B6">
        <w:rPr>
          <w:rStyle w:val="Emphasis"/>
          <w:rFonts w:ascii="Arial" w:hAnsi="Arial" w:cs="Arial"/>
          <w:i w:val="0"/>
          <w:iCs w:val="0"/>
          <w:color w:val="000000"/>
          <w:sz w:val="22"/>
          <w:szCs w:val="22"/>
        </w:rPr>
        <w:t>198</w:t>
      </w:r>
      <w:r w:rsidR="00255A11">
        <w:rPr>
          <w:rStyle w:val="Emphasis"/>
          <w:rFonts w:ascii="Arial" w:hAnsi="Arial" w:cs="Arial"/>
          <w:i w:val="0"/>
          <w:iCs w:val="0"/>
          <w:color w:val="000000"/>
          <w:sz w:val="22"/>
          <w:szCs w:val="22"/>
        </w:rPr>
        <w:t>9]</w:t>
      </w:r>
      <w:r w:rsidR="00AE3BE1">
        <w:rPr>
          <w:rStyle w:val="Emphasis"/>
          <w:rFonts w:ascii="Arial" w:hAnsi="Arial" w:cs="Arial"/>
          <w:i w:val="0"/>
          <w:iCs w:val="0"/>
          <w:color w:val="000000"/>
          <w:sz w:val="22"/>
          <w:szCs w:val="22"/>
        </w:rPr>
        <w:t xml:space="preserve">. </w:t>
      </w:r>
      <w:r w:rsidR="00163085" w:rsidRPr="00163085">
        <w:rPr>
          <w:rStyle w:val="Emphasis"/>
          <w:rFonts w:ascii="Arial" w:hAnsi="Arial" w:cs="Arial"/>
          <w:i w:val="0"/>
          <w:iCs w:val="0"/>
          <w:color w:val="000000"/>
          <w:sz w:val="22"/>
          <w:szCs w:val="22"/>
        </w:rPr>
        <w:t>It has been ruled by the House of Lords that Peter Sutcliffe, known as the Yorkshire Ripper, is to blame for her daughter's death because of the negligence of the West Yorkshire Police in failing to apprehend him.</w:t>
      </w:r>
      <w:r w:rsidR="00163085">
        <w:rPr>
          <w:color w:val="000000"/>
        </w:rPr>
        <w:t xml:space="preserve"> </w:t>
      </w:r>
      <w:r w:rsidR="004812B6" w:rsidRPr="004812B6">
        <w:rPr>
          <w:rStyle w:val="Emphasis"/>
          <w:rFonts w:ascii="Arial" w:hAnsi="Arial" w:cs="Arial"/>
          <w:i w:val="0"/>
          <w:iCs w:val="0"/>
          <w:color w:val="000000"/>
          <w:sz w:val="22"/>
          <w:szCs w:val="22"/>
        </w:rPr>
        <w:t xml:space="preserve">Hill's mother claimed in the case that </w:t>
      </w:r>
      <w:r w:rsidR="00AD06BE">
        <w:rPr>
          <w:rStyle w:val="Emphasis"/>
          <w:rFonts w:ascii="Arial" w:hAnsi="Arial" w:cs="Arial"/>
          <w:i w:val="0"/>
          <w:iCs w:val="0"/>
          <w:color w:val="000000"/>
          <w:sz w:val="22"/>
          <w:szCs w:val="22"/>
        </w:rPr>
        <w:t>the pol</w:t>
      </w:r>
      <w:r w:rsidR="004812B6" w:rsidRPr="004812B6">
        <w:rPr>
          <w:rStyle w:val="Emphasis"/>
          <w:rFonts w:ascii="Arial" w:hAnsi="Arial" w:cs="Arial"/>
          <w:i w:val="0"/>
          <w:iCs w:val="0"/>
          <w:color w:val="000000"/>
          <w:sz w:val="22"/>
          <w:szCs w:val="22"/>
        </w:rPr>
        <w:t xml:space="preserve">ice failed to </w:t>
      </w:r>
      <w:r w:rsidR="00163085" w:rsidRPr="004812B6">
        <w:rPr>
          <w:rStyle w:val="Emphasis"/>
          <w:rFonts w:ascii="Arial" w:hAnsi="Arial" w:cs="Arial"/>
          <w:i w:val="0"/>
          <w:iCs w:val="0"/>
          <w:color w:val="000000"/>
          <w:sz w:val="22"/>
          <w:szCs w:val="22"/>
        </w:rPr>
        <w:t>detain</w:t>
      </w:r>
      <w:r w:rsidR="004812B6" w:rsidRPr="004812B6">
        <w:rPr>
          <w:rStyle w:val="Emphasis"/>
          <w:rFonts w:ascii="Arial" w:hAnsi="Arial" w:cs="Arial"/>
          <w:i w:val="0"/>
          <w:iCs w:val="0"/>
          <w:color w:val="000000"/>
          <w:sz w:val="22"/>
          <w:szCs w:val="22"/>
        </w:rPr>
        <w:t xml:space="preserve"> the killer</w:t>
      </w:r>
      <w:r w:rsidR="004812B6" w:rsidRPr="00255A11">
        <w:rPr>
          <w:rStyle w:val="Emphasis"/>
          <w:rFonts w:ascii="Arial" w:hAnsi="Arial" w:cs="Arial"/>
          <w:color w:val="000000"/>
          <w:sz w:val="22"/>
          <w:szCs w:val="22"/>
        </w:rPr>
        <w:t>.</w:t>
      </w:r>
      <w:r w:rsidR="004812B6" w:rsidRPr="00255A11">
        <w:rPr>
          <w:rStyle w:val="apple-converted-space"/>
          <w:rFonts w:ascii="Arial" w:hAnsi="Arial" w:cs="Arial"/>
          <w:color w:val="000000"/>
          <w:sz w:val="22"/>
          <w:szCs w:val="22"/>
        </w:rPr>
        <w:t> </w:t>
      </w:r>
      <w:r w:rsidR="004812B6" w:rsidRPr="00255A11">
        <w:rPr>
          <w:rFonts w:ascii="Arial" w:hAnsi="Arial" w:cs="Arial"/>
          <w:color w:val="000000"/>
          <w:sz w:val="22"/>
          <w:szCs w:val="22"/>
        </w:rPr>
        <w:t xml:space="preserve">It upheld the judges' and Court of Appeal's decisions that the claim lacked a justiciable cause of action, and as such was </w:t>
      </w:r>
      <w:r w:rsidR="00163085">
        <w:rPr>
          <w:rFonts w:ascii="Arial" w:hAnsi="Arial" w:cs="Arial"/>
          <w:color w:val="000000"/>
          <w:sz w:val="22"/>
          <w:szCs w:val="22"/>
        </w:rPr>
        <w:t>dismissed</w:t>
      </w:r>
      <w:r w:rsidR="004812B6" w:rsidRPr="00255A11">
        <w:rPr>
          <w:rFonts w:ascii="Arial" w:hAnsi="Arial" w:cs="Arial"/>
          <w:color w:val="000000"/>
          <w:sz w:val="22"/>
          <w:szCs w:val="22"/>
        </w:rPr>
        <w:t xml:space="preserve"> by the House of Lords. </w:t>
      </w:r>
      <w:r w:rsidR="004812B6" w:rsidRPr="00255A11">
        <w:rPr>
          <w:rFonts w:ascii="Arial" w:hAnsi="Arial" w:cs="Arial"/>
          <w:color w:val="000000"/>
          <w:sz w:val="22"/>
          <w:szCs w:val="22"/>
        </w:rPr>
        <w:lastRenderedPageBreak/>
        <w:t>Based on public policy considerations and the fact that the police did not owe a specific duty of care to the general public, the claim was dismissed.</w:t>
      </w:r>
      <w:r w:rsidR="00255A11">
        <w:rPr>
          <w:rFonts w:ascii="Arial" w:hAnsi="Arial" w:cs="Arial"/>
          <w:color w:val="000000"/>
          <w:sz w:val="22"/>
          <w:szCs w:val="22"/>
        </w:rPr>
        <w:t xml:space="preserve"> </w:t>
      </w:r>
      <w:r w:rsidR="00892850">
        <w:rPr>
          <w:rFonts w:ascii="Arial" w:hAnsi="Arial" w:cs="Arial"/>
          <w:color w:val="000000" w:themeColor="text1"/>
          <w:sz w:val="22"/>
          <w:szCs w:val="22"/>
        </w:rPr>
        <w:t xml:space="preserve">Giliker (2014). </w:t>
      </w:r>
    </w:p>
    <w:p w14:paraId="2ABDCBE1" w14:textId="4E43341B" w:rsidR="00985196" w:rsidRDefault="00985196" w:rsidP="004812B6">
      <w:pPr>
        <w:pStyle w:val="mb-25"/>
        <w:rPr>
          <w:rFonts w:ascii="Arial" w:hAnsi="Arial" w:cs="Arial"/>
          <w:color w:val="000000" w:themeColor="text1"/>
          <w:sz w:val="22"/>
          <w:szCs w:val="22"/>
        </w:rPr>
      </w:pPr>
    </w:p>
    <w:p w14:paraId="6DC932B6" w14:textId="11560610" w:rsidR="00985196" w:rsidRPr="00163085" w:rsidRDefault="00676B13" w:rsidP="00985196">
      <w:pPr>
        <w:pStyle w:val="mb-25"/>
        <w:rPr>
          <w:color w:val="000000"/>
        </w:rPr>
      </w:pPr>
      <w:r>
        <w:rPr>
          <w:rFonts w:ascii="Arial" w:hAnsi="Arial" w:cs="Arial"/>
          <w:color w:val="000000"/>
          <w:sz w:val="22"/>
          <w:szCs w:val="22"/>
        </w:rPr>
        <w:t xml:space="preserve">Nevertheless, it is shown that emergency services do not always owe a duty of care where </w:t>
      </w:r>
      <w:r w:rsidR="00985196" w:rsidRPr="00985196">
        <w:rPr>
          <w:rFonts w:ascii="Arial" w:hAnsi="Arial" w:cs="Arial"/>
          <w:color w:val="000000"/>
          <w:sz w:val="22"/>
          <w:szCs w:val="22"/>
        </w:rPr>
        <w:t xml:space="preserve">the courts have dismissed negligence claims against the </w:t>
      </w:r>
      <w:r w:rsidR="00AA0566">
        <w:rPr>
          <w:rFonts w:ascii="Arial" w:hAnsi="Arial" w:cs="Arial"/>
          <w:color w:val="000000"/>
          <w:sz w:val="22"/>
          <w:szCs w:val="22"/>
        </w:rPr>
        <w:t xml:space="preserve">emergency services </w:t>
      </w:r>
      <w:r w:rsidR="00953F85">
        <w:rPr>
          <w:rFonts w:ascii="Arial" w:hAnsi="Arial" w:cs="Arial"/>
          <w:color w:val="000000"/>
          <w:sz w:val="22"/>
          <w:szCs w:val="22"/>
        </w:rPr>
        <w:t>previously</w:t>
      </w:r>
      <w:r w:rsidR="00985196" w:rsidRPr="00985196">
        <w:rPr>
          <w:rFonts w:ascii="Arial" w:hAnsi="Arial" w:cs="Arial"/>
          <w:color w:val="000000"/>
          <w:sz w:val="22"/>
          <w:szCs w:val="22"/>
        </w:rPr>
        <w:t xml:space="preserve">. </w:t>
      </w:r>
      <w:r w:rsidR="00163085" w:rsidRPr="00163085">
        <w:rPr>
          <w:rFonts w:ascii="Arial" w:hAnsi="Arial" w:cs="Arial"/>
          <w:color w:val="000000"/>
          <w:sz w:val="22"/>
          <w:szCs w:val="22"/>
        </w:rPr>
        <w:t>Their actions or failure to act are the subjects of the claims. It is not the duty of the police and other emergency services to take care of the victims in this case</w:t>
      </w:r>
      <w:r w:rsidR="00163085">
        <w:rPr>
          <w:rFonts w:ascii="Arial" w:hAnsi="Arial" w:cs="Arial"/>
          <w:color w:val="000000"/>
          <w:sz w:val="22"/>
          <w:szCs w:val="22"/>
        </w:rPr>
        <w:t xml:space="preserve">. </w:t>
      </w:r>
      <w:r w:rsidR="00163085" w:rsidRPr="00163085">
        <w:rPr>
          <w:rFonts w:ascii="Arial" w:hAnsi="Arial" w:cs="Arial"/>
          <w:color w:val="000000"/>
          <w:sz w:val="22"/>
          <w:szCs w:val="22"/>
        </w:rPr>
        <w:t>These individuals' negligence claims against these public bodies are generally denied by the courts for a variety of reasons. Among these is the absence of proximity between a plaintiff and the authority in question, particularly when the plaintiff is a member of the public who has no connection to the authority.</w:t>
      </w:r>
      <w:r w:rsidR="00163085">
        <w:rPr>
          <w:color w:val="000000"/>
        </w:rPr>
        <w:t xml:space="preserve"> </w:t>
      </w:r>
      <w:r w:rsidR="00A60AE0" w:rsidRPr="00A60AE0">
        <w:rPr>
          <w:rFonts w:ascii="Arial" w:hAnsi="Arial" w:cs="Arial"/>
          <w:color w:val="000000" w:themeColor="text1"/>
          <w:sz w:val="22"/>
          <w:szCs w:val="22"/>
        </w:rPr>
        <w:t xml:space="preserve">Kidner (2008). </w:t>
      </w:r>
    </w:p>
    <w:p w14:paraId="59AD7903" w14:textId="77777777" w:rsidR="00092ABD" w:rsidRPr="00255A11" w:rsidRDefault="00092ABD" w:rsidP="004812B6">
      <w:pPr>
        <w:pStyle w:val="mb-25"/>
        <w:rPr>
          <w:rFonts w:ascii="Arial" w:hAnsi="Arial" w:cs="Arial"/>
          <w:color w:val="000000"/>
          <w:sz w:val="22"/>
          <w:szCs w:val="22"/>
        </w:rPr>
      </w:pPr>
    </w:p>
    <w:p w14:paraId="6EF4F217" w14:textId="4ED13E95" w:rsidR="00841D68" w:rsidRPr="000E601B" w:rsidRDefault="00975027" w:rsidP="00841D68">
      <w:pPr>
        <w:pStyle w:val="mb-25"/>
        <w:rPr>
          <w:rStyle w:val="apple-converted-space"/>
          <w:color w:val="000000"/>
        </w:rPr>
      </w:pPr>
      <w:r>
        <w:rPr>
          <w:rFonts w:ascii="Arial" w:hAnsi="Arial" w:cs="Arial"/>
          <w:color w:val="000000" w:themeColor="text1"/>
          <w:sz w:val="22"/>
          <w:szCs w:val="22"/>
        </w:rPr>
        <w:t>I</w:t>
      </w:r>
      <w:r w:rsidR="00092ABD" w:rsidRPr="00841D68">
        <w:rPr>
          <w:rFonts w:ascii="Arial" w:hAnsi="Arial" w:cs="Arial"/>
          <w:color w:val="000000" w:themeColor="text1"/>
          <w:sz w:val="22"/>
          <w:szCs w:val="22"/>
        </w:rPr>
        <w:t xml:space="preserve">t was agreed that </w:t>
      </w:r>
      <w:r w:rsidR="0014318F">
        <w:rPr>
          <w:rFonts w:ascii="Arial" w:hAnsi="Arial" w:cs="Arial"/>
          <w:color w:val="000000" w:themeColor="text1"/>
          <w:sz w:val="22"/>
          <w:szCs w:val="22"/>
        </w:rPr>
        <w:t>p</w:t>
      </w:r>
      <w:r w:rsidR="00092ABD" w:rsidRPr="00841D68">
        <w:rPr>
          <w:rFonts w:ascii="Arial" w:hAnsi="Arial" w:cs="Arial"/>
          <w:color w:val="000000" w:themeColor="text1"/>
          <w:sz w:val="22"/>
          <w:szCs w:val="22"/>
        </w:rPr>
        <w:t xml:space="preserve">olice </w:t>
      </w:r>
      <w:r w:rsidR="0014318F">
        <w:rPr>
          <w:rFonts w:ascii="Arial" w:hAnsi="Arial" w:cs="Arial"/>
          <w:color w:val="000000" w:themeColor="text1"/>
          <w:sz w:val="22"/>
          <w:szCs w:val="22"/>
        </w:rPr>
        <w:t>o</w:t>
      </w:r>
      <w:r w:rsidR="00092ABD" w:rsidRPr="00841D68">
        <w:rPr>
          <w:rFonts w:ascii="Arial" w:hAnsi="Arial" w:cs="Arial"/>
          <w:color w:val="000000" w:themeColor="text1"/>
          <w:sz w:val="22"/>
          <w:szCs w:val="22"/>
        </w:rPr>
        <w:t xml:space="preserve">fficers are immune from suit in the case of Robinson v West Yorkshire Police [2018] and therefore do not have the right to sue when performing their operational duties. </w:t>
      </w:r>
      <w:r w:rsidR="00841D68">
        <w:rPr>
          <w:rFonts w:ascii="Arial" w:hAnsi="Arial" w:cs="Arial"/>
          <w:color w:val="000000"/>
          <w:sz w:val="22"/>
          <w:szCs w:val="22"/>
        </w:rPr>
        <w:t>In this case,</w:t>
      </w:r>
      <w:r w:rsidR="00841D68" w:rsidRPr="00841D68">
        <w:rPr>
          <w:rFonts w:ascii="Arial" w:hAnsi="Arial" w:cs="Arial"/>
          <w:color w:val="000000"/>
          <w:sz w:val="22"/>
          <w:szCs w:val="22"/>
        </w:rPr>
        <w:t xml:space="preserve"> two police officers injured an elderly woman. She claims the police had a duty to keep her safe. </w:t>
      </w:r>
      <w:r w:rsidR="000E601B" w:rsidRPr="000E601B">
        <w:rPr>
          <w:rFonts w:ascii="Arial" w:hAnsi="Arial" w:cs="Arial"/>
          <w:color w:val="000000"/>
          <w:sz w:val="22"/>
          <w:szCs w:val="22"/>
        </w:rPr>
        <w:t>The Supreme Court was often misunderstood as to how police officers' duty of care was connected, and there was no clear law establishing it. A duty arising under ordinary negligence principles is generally liable for negligence, unless statute or common law provides otherwise, according to Lord Reid.</w:t>
      </w:r>
      <w:r w:rsidR="000E601B" w:rsidRPr="000E601B">
        <w:rPr>
          <w:rStyle w:val="apple-converted-space"/>
          <w:rFonts w:ascii="Arial" w:hAnsi="Arial" w:cs="Arial"/>
          <w:color w:val="000000"/>
          <w:sz w:val="22"/>
          <w:szCs w:val="22"/>
        </w:rPr>
        <w:t> </w:t>
      </w:r>
      <w:r w:rsidR="00B5785F" w:rsidRPr="00B5785F">
        <w:rPr>
          <w:rFonts w:ascii="Arial" w:hAnsi="Arial" w:cs="Arial"/>
          <w:color w:val="000000" w:themeColor="text1"/>
          <w:sz w:val="22"/>
          <w:szCs w:val="22"/>
        </w:rPr>
        <w:t>Using this principle, the</w:t>
      </w:r>
      <w:r w:rsidR="00B5785F" w:rsidRPr="00B5785F">
        <w:rPr>
          <w:rStyle w:val="apple-converted-space"/>
          <w:rFonts w:ascii="Arial" w:hAnsi="Arial" w:cs="Arial"/>
          <w:color w:val="000000" w:themeColor="text1"/>
          <w:sz w:val="22"/>
          <w:szCs w:val="22"/>
        </w:rPr>
        <w:t> </w:t>
      </w:r>
      <w:r w:rsidR="00B5785F">
        <w:rPr>
          <w:rStyle w:val="issue-underline"/>
          <w:rFonts w:ascii="Arial" w:hAnsi="Arial" w:cs="Arial"/>
          <w:color w:val="000000" w:themeColor="text1"/>
          <w:sz w:val="22"/>
          <w:szCs w:val="22"/>
        </w:rPr>
        <w:t>p</w:t>
      </w:r>
      <w:r w:rsidR="00B5785F" w:rsidRPr="00B5785F">
        <w:rPr>
          <w:rStyle w:val="issue-underline"/>
          <w:rFonts w:ascii="Arial" w:hAnsi="Arial" w:cs="Arial"/>
          <w:color w:val="000000" w:themeColor="text1"/>
          <w:sz w:val="22"/>
          <w:szCs w:val="22"/>
        </w:rPr>
        <w:t>olice</w:t>
      </w:r>
      <w:r w:rsidR="00B5785F" w:rsidRPr="00B5785F">
        <w:rPr>
          <w:rStyle w:val="apple-converted-space"/>
          <w:rFonts w:ascii="Arial" w:hAnsi="Arial" w:cs="Arial"/>
          <w:color w:val="000000" w:themeColor="text1"/>
          <w:sz w:val="22"/>
          <w:szCs w:val="22"/>
        </w:rPr>
        <w:t> </w:t>
      </w:r>
      <w:r w:rsidR="00B5785F" w:rsidRPr="00B5785F">
        <w:rPr>
          <w:rFonts w:ascii="Arial" w:hAnsi="Arial" w:cs="Arial"/>
          <w:color w:val="000000" w:themeColor="text1"/>
          <w:sz w:val="22"/>
          <w:szCs w:val="22"/>
        </w:rPr>
        <w:t>have the duty to protect individuals from dangers created by themselves.</w:t>
      </w:r>
      <w:r w:rsidR="00B5785F" w:rsidRPr="00B5785F">
        <w:rPr>
          <w:rStyle w:val="apple-converted-space"/>
          <w:color w:val="000000"/>
        </w:rPr>
        <w:t xml:space="preserve"> </w:t>
      </w:r>
      <w:r w:rsidR="00841D68">
        <w:rPr>
          <w:rStyle w:val="apple-converted-space"/>
          <w:rFonts w:ascii="Arial" w:hAnsi="Arial" w:cs="Arial"/>
          <w:color w:val="000000"/>
          <w:sz w:val="22"/>
          <w:szCs w:val="22"/>
        </w:rPr>
        <w:t xml:space="preserve">Knapp and Williams (2018). </w:t>
      </w:r>
    </w:p>
    <w:p w14:paraId="7AC921BE" w14:textId="1120775A" w:rsidR="00B22E0F" w:rsidRPr="00B22E0F" w:rsidRDefault="00B22E0F" w:rsidP="00841D68">
      <w:pPr>
        <w:pStyle w:val="mb-25"/>
        <w:rPr>
          <w:rStyle w:val="apple-converted-space"/>
          <w:rFonts w:ascii="Arial" w:hAnsi="Arial" w:cs="Arial"/>
          <w:color w:val="000000" w:themeColor="text1"/>
          <w:sz w:val="22"/>
          <w:szCs w:val="22"/>
        </w:rPr>
      </w:pPr>
    </w:p>
    <w:p w14:paraId="530A47B9" w14:textId="7EFF12BF" w:rsidR="009A16FB" w:rsidRDefault="00893F2D" w:rsidP="009A16FB">
      <w:pPr>
        <w:pStyle w:val="mb-25"/>
        <w:rPr>
          <w:color w:val="000000"/>
        </w:rPr>
      </w:pPr>
      <w:r>
        <w:rPr>
          <w:rFonts w:ascii="Arial" w:hAnsi="Arial" w:cs="Arial"/>
          <w:color w:val="000000" w:themeColor="text1"/>
          <w:sz w:val="22"/>
          <w:szCs w:val="22"/>
        </w:rPr>
        <w:t>Furthermore, c</w:t>
      </w:r>
      <w:r w:rsidR="00B22E0F" w:rsidRPr="00B22E0F">
        <w:rPr>
          <w:rFonts w:ascii="Arial" w:hAnsi="Arial" w:cs="Arial"/>
          <w:color w:val="000000" w:themeColor="text1"/>
          <w:sz w:val="22"/>
          <w:szCs w:val="22"/>
        </w:rPr>
        <w:t>itizens now have access to British courts to file human rights complaints under the Human Rights Act</w:t>
      </w:r>
      <w:r w:rsidR="004B0368">
        <w:rPr>
          <w:rFonts w:ascii="Arial" w:hAnsi="Arial" w:cs="Arial"/>
          <w:color w:val="000000" w:themeColor="text1"/>
          <w:sz w:val="22"/>
          <w:szCs w:val="22"/>
        </w:rPr>
        <w:t xml:space="preserve"> (1998)</w:t>
      </w:r>
      <w:r w:rsidR="00B22E0F" w:rsidRPr="00B22E0F">
        <w:rPr>
          <w:rFonts w:ascii="Arial" w:hAnsi="Arial" w:cs="Arial"/>
          <w:color w:val="000000" w:themeColor="text1"/>
          <w:sz w:val="22"/>
          <w:szCs w:val="22"/>
        </w:rPr>
        <w:t>, which represents a major step towards protecting human rights in Britain.</w:t>
      </w:r>
      <w:r w:rsidR="004B0368">
        <w:rPr>
          <w:rFonts w:ascii="Arial" w:hAnsi="Arial" w:cs="Arial"/>
          <w:color w:val="000000" w:themeColor="text1"/>
          <w:sz w:val="22"/>
          <w:szCs w:val="22"/>
        </w:rPr>
        <w:t xml:space="preserve"> </w:t>
      </w:r>
      <w:r w:rsidR="009A16FB" w:rsidRPr="009A16FB">
        <w:rPr>
          <w:rFonts w:ascii="Arial" w:hAnsi="Arial" w:cs="Arial"/>
          <w:color w:val="000000" w:themeColor="text1"/>
          <w:sz w:val="22"/>
          <w:szCs w:val="22"/>
        </w:rPr>
        <w:t xml:space="preserve">Individuals can obtain compensation from public authorities for violations of their constitutional rights under the HRA. The </w:t>
      </w:r>
      <w:r>
        <w:rPr>
          <w:rFonts w:ascii="Arial" w:hAnsi="Arial" w:cs="Arial"/>
          <w:color w:val="000000" w:themeColor="text1"/>
          <w:sz w:val="22"/>
          <w:szCs w:val="22"/>
        </w:rPr>
        <w:t>a</w:t>
      </w:r>
      <w:r w:rsidR="009A16FB" w:rsidRPr="009A16FB">
        <w:rPr>
          <w:rFonts w:ascii="Arial" w:hAnsi="Arial" w:cs="Arial"/>
          <w:color w:val="000000" w:themeColor="text1"/>
          <w:sz w:val="22"/>
          <w:szCs w:val="22"/>
        </w:rPr>
        <w:t xml:space="preserve">ct prohibits public authorities from </w:t>
      </w:r>
      <w:r w:rsidR="000E601B">
        <w:rPr>
          <w:rFonts w:ascii="Arial" w:hAnsi="Arial" w:cs="Arial"/>
          <w:color w:val="000000" w:themeColor="text1"/>
          <w:sz w:val="22"/>
          <w:szCs w:val="22"/>
        </w:rPr>
        <w:t xml:space="preserve">behaving </w:t>
      </w:r>
      <w:r w:rsidR="009A16FB" w:rsidRPr="009A16FB">
        <w:rPr>
          <w:rFonts w:ascii="Arial" w:hAnsi="Arial" w:cs="Arial"/>
          <w:color w:val="000000" w:themeColor="text1"/>
          <w:sz w:val="22"/>
          <w:szCs w:val="22"/>
        </w:rPr>
        <w:t xml:space="preserve">that </w:t>
      </w:r>
      <w:r w:rsidR="000E601B">
        <w:rPr>
          <w:rFonts w:ascii="Arial" w:hAnsi="Arial" w:cs="Arial"/>
          <w:color w:val="000000" w:themeColor="text1"/>
          <w:sz w:val="22"/>
          <w:szCs w:val="22"/>
        </w:rPr>
        <w:t xml:space="preserve">it </w:t>
      </w:r>
      <w:r w:rsidR="009A16FB" w:rsidRPr="009A16FB">
        <w:rPr>
          <w:rFonts w:ascii="Arial" w:hAnsi="Arial" w:cs="Arial"/>
          <w:color w:val="000000" w:themeColor="text1"/>
          <w:sz w:val="22"/>
          <w:szCs w:val="22"/>
        </w:rPr>
        <w:t xml:space="preserve">is inconsistent with the </w:t>
      </w:r>
      <w:r>
        <w:rPr>
          <w:rFonts w:ascii="Arial" w:hAnsi="Arial" w:cs="Arial"/>
          <w:color w:val="000000" w:themeColor="text1"/>
          <w:sz w:val="22"/>
          <w:szCs w:val="22"/>
        </w:rPr>
        <w:t>c</w:t>
      </w:r>
      <w:r w:rsidR="009A16FB" w:rsidRPr="009A16FB">
        <w:rPr>
          <w:rFonts w:ascii="Arial" w:hAnsi="Arial" w:cs="Arial"/>
          <w:color w:val="000000" w:themeColor="text1"/>
          <w:sz w:val="22"/>
          <w:szCs w:val="22"/>
        </w:rPr>
        <w:t xml:space="preserve">onvention rights of citizens. It provides that such conduct may be brought before a court. Courts may award damages under the </w:t>
      </w:r>
      <w:r>
        <w:rPr>
          <w:rFonts w:ascii="Arial" w:hAnsi="Arial" w:cs="Arial"/>
          <w:color w:val="000000" w:themeColor="text1"/>
          <w:sz w:val="22"/>
          <w:szCs w:val="22"/>
        </w:rPr>
        <w:t>a</w:t>
      </w:r>
      <w:r w:rsidR="009A16FB" w:rsidRPr="009A16FB">
        <w:rPr>
          <w:rFonts w:ascii="Arial" w:hAnsi="Arial" w:cs="Arial"/>
          <w:color w:val="000000" w:themeColor="text1"/>
          <w:sz w:val="22"/>
          <w:szCs w:val="22"/>
        </w:rPr>
        <w:t>ct when this is necessary to provide 'just satisfaction' to victims. However, the remedies are deemed 'just and appropriate' by the court.</w:t>
      </w:r>
      <w:r w:rsidR="009A16FB">
        <w:rPr>
          <w:rFonts w:ascii="Arial" w:hAnsi="Arial" w:cs="Arial"/>
          <w:color w:val="000000" w:themeColor="text1"/>
          <w:sz w:val="22"/>
          <w:szCs w:val="22"/>
        </w:rPr>
        <w:t xml:space="preserve"> </w:t>
      </w:r>
      <w:r w:rsidR="000E601B" w:rsidRPr="000E601B">
        <w:rPr>
          <w:rFonts w:ascii="Arial" w:hAnsi="Arial" w:cs="Arial"/>
          <w:color w:val="000000"/>
          <w:sz w:val="22"/>
          <w:szCs w:val="22"/>
        </w:rPr>
        <w:t>Protecting your rights in UK courts and ensuring equal treatment by public institutions such</w:t>
      </w:r>
      <w:r w:rsidR="000E601B" w:rsidRPr="000E601B">
        <w:rPr>
          <w:rStyle w:val="apple-converted-space"/>
          <w:rFonts w:ascii="Arial" w:hAnsi="Arial" w:cs="Arial"/>
          <w:color w:val="000000"/>
          <w:sz w:val="22"/>
          <w:szCs w:val="22"/>
        </w:rPr>
        <w:t> </w:t>
      </w:r>
      <w:r w:rsidR="000E601B" w:rsidRPr="000E601B">
        <w:rPr>
          <w:rStyle w:val="issue-underline"/>
          <w:rFonts w:ascii="Arial" w:hAnsi="Arial" w:cs="Arial"/>
          <w:color w:val="000000"/>
          <w:sz w:val="22"/>
          <w:szCs w:val="22"/>
        </w:rPr>
        <w:t>as police</w:t>
      </w:r>
      <w:r w:rsidR="000E601B" w:rsidRPr="000E601B">
        <w:rPr>
          <w:rStyle w:val="apple-converted-space"/>
          <w:rFonts w:ascii="Arial" w:hAnsi="Arial" w:cs="Arial"/>
          <w:color w:val="000000"/>
          <w:sz w:val="22"/>
          <w:szCs w:val="22"/>
        </w:rPr>
        <w:t> </w:t>
      </w:r>
      <w:r w:rsidR="000E601B" w:rsidRPr="000E601B">
        <w:rPr>
          <w:rFonts w:ascii="Arial" w:hAnsi="Arial" w:cs="Arial"/>
          <w:color w:val="000000"/>
          <w:sz w:val="22"/>
          <w:szCs w:val="22"/>
        </w:rPr>
        <w:t>and government.</w:t>
      </w:r>
    </w:p>
    <w:p w14:paraId="67986005" w14:textId="4C6E62B1" w:rsidR="009A16FB" w:rsidRDefault="009A16FB" w:rsidP="009A16FB">
      <w:pPr>
        <w:pStyle w:val="mb-25"/>
        <w:rPr>
          <w:color w:val="000000"/>
        </w:rPr>
      </w:pPr>
    </w:p>
    <w:p w14:paraId="258F7EF4" w14:textId="121CB608" w:rsidR="00B22E0F" w:rsidRPr="00554E5B" w:rsidRDefault="009A16FB" w:rsidP="00841D68">
      <w:pPr>
        <w:pStyle w:val="mb-25"/>
        <w:rPr>
          <w:rStyle w:val="apple-converted-space"/>
          <w:rFonts w:ascii="Arial" w:hAnsi="Arial" w:cs="Arial"/>
          <w:color w:val="000000" w:themeColor="text1"/>
          <w:sz w:val="22"/>
          <w:szCs w:val="22"/>
        </w:rPr>
      </w:pPr>
      <w:r w:rsidRPr="00914F25">
        <w:rPr>
          <w:rFonts w:ascii="Arial" w:hAnsi="Arial" w:cs="Arial"/>
          <w:color w:val="000000" w:themeColor="text1"/>
          <w:sz w:val="22"/>
          <w:szCs w:val="22"/>
        </w:rPr>
        <w:t xml:space="preserve">The case of </w:t>
      </w:r>
      <w:r w:rsidR="00914F25" w:rsidRPr="00914F25">
        <w:rPr>
          <w:rFonts w:ascii="Arial" w:hAnsi="Arial" w:cs="Arial"/>
          <w:color w:val="000000" w:themeColor="text1"/>
          <w:sz w:val="22"/>
          <w:szCs w:val="22"/>
        </w:rPr>
        <w:t xml:space="preserve">Swinney v Chief Constable of Northumbria [1997] </w:t>
      </w:r>
      <w:r w:rsidRPr="00914F25">
        <w:rPr>
          <w:rFonts w:ascii="Arial" w:hAnsi="Arial" w:cs="Arial"/>
          <w:color w:val="000000" w:themeColor="text1"/>
          <w:sz w:val="22"/>
          <w:szCs w:val="22"/>
        </w:rPr>
        <w:t>gives insight into how the Human Rights Act (1998) played a part in t</w:t>
      </w:r>
      <w:r w:rsidR="006D4B9B">
        <w:rPr>
          <w:rFonts w:ascii="Arial" w:hAnsi="Arial" w:cs="Arial"/>
          <w:color w:val="000000" w:themeColor="text1"/>
          <w:sz w:val="22"/>
          <w:szCs w:val="22"/>
        </w:rPr>
        <w:t xml:space="preserve">he </w:t>
      </w:r>
      <w:r w:rsidR="00E71856">
        <w:rPr>
          <w:rFonts w:ascii="Arial" w:hAnsi="Arial" w:cs="Arial"/>
          <w:color w:val="000000" w:themeColor="text1"/>
          <w:sz w:val="22"/>
          <w:szCs w:val="22"/>
        </w:rPr>
        <w:t>act’s</w:t>
      </w:r>
      <w:r w:rsidR="006D4B9B">
        <w:rPr>
          <w:rFonts w:ascii="Arial" w:hAnsi="Arial" w:cs="Arial"/>
          <w:color w:val="000000" w:themeColor="text1"/>
          <w:sz w:val="22"/>
          <w:szCs w:val="22"/>
        </w:rPr>
        <w:t xml:space="preserve"> </w:t>
      </w:r>
      <w:r w:rsidR="008A64E2">
        <w:rPr>
          <w:rFonts w:ascii="Arial" w:hAnsi="Arial" w:cs="Arial"/>
          <w:color w:val="000000" w:themeColor="text1"/>
          <w:sz w:val="22"/>
          <w:szCs w:val="22"/>
        </w:rPr>
        <w:t>implications</w:t>
      </w:r>
      <w:r w:rsidR="006D4B9B">
        <w:rPr>
          <w:rFonts w:ascii="Arial" w:hAnsi="Arial" w:cs="Arial"/>
          <w:color w:val="000000" w:themeColor="text1"/>
          <w:sz w:val="22"/>
          <w:szCs w:val="22"/>
        </w:rPr>
        <w:t>.</w:t>
      </w:r>
      <w:r w:rsidRPr="00914F25">
        <w:rPr>
          <w:rFonts w:ascii="Arial" w:hAnsi="Arial" w:cs="Arial"/>
          <w:color w:val="000000" w:themeColor="text1"/>
          <w:sz w:val="22"/>
          <w:szCs w:val="22"/>
        </w:rPr>
        <w:t xml:space="preserve"> </w:t>
      </w:r>
      <w:r w:rsidR="00914F25" w:rsidRPr="00914F25">
        <w:rPr>
          <w:rFonts w:ascii="Arial" w:hAnsi="Arial" w:cs="Arial"/>
          <w:color w:val="000000" w:themeColor="text1"/>
          <w:sz w:val="22"/>
          <w:szCs w:val="22"/>
        </w:rPr>
        <w:t>Due to the psychiatric</w:t>
      </w:r>
      <w:r w:rsidR="00914F25" w:rsidRPr="00914F25">
        <w:rPr>
          <w:rStyle w:val="apple-converted-space"/>
          <w:rFonts w:ascii="Arial" w:hAnsi="Arial" w:cs="Arial"/>
          <w:color w:val="000000" w:themeColor="text1"/>
          <w:sz w:val="22"/>
          <w:szCs w:val="22"/>
        </w:rPr>
        <w:t> </w:t>
      </w:r>
      <w:r w:rsidR="00914F25" w:rsidRPr="00914F25">
        <w:rPr>
          <w:rStyle w:val="issue-underline"/>
          <w:rFonts w:ascii="Arial" w:hAnsi="Arial" w:cs="Arial"/>
          <w:color w:val="000000" w:themeColor="text1"/>
          <w:sz w:val="22"/>
          <w:szCs w:val="22"/>
        </w:rPr>
        <w:t>injuri</w:t>
      </w:r>
      <w:r w:rsidR="00914F25" w:rsidRPr="00914F25">
        <w:rPr>
          <w:rFonts w:ascii="Arial" w:hAnsi="Arial" w:cs="Arial"/>
          <w:color w:val="000000" w:themeColor="text1"/>
          <w:sz w:val="22"/>
          <w:szCs w:val="22"/>
        </w:rPr>
        <w:t xml:space="preserve">es suffered, they filed a negligence claim </w:t>
      </w:r>
      <w:r w:rsidR="000E601B" w:rsidRPr="00914F25">
        <w:rPr>
          <w:rFonts w:ascii="Arial" w:hAnsi="Arial" w:cs="Arial"/>
          <w:color w:val="000000" w:themeColor="text1"/>
          <w:sz w:val="22"/>
          <w:szCs w:val="22"/>
        </w:rPr>
        <w:t>in contradiction of</w:t>
      </w:r>
      <w:r w:rsidR="00914F25" w:rsidRPr="00914F25">
        <w:rPr>
          <w:rFonts w:ascii="Arial" w:hAnsi="Arial" w:cs="Arial"/>
          <w:color w:val="000000" w:themeColor="text1"/>
          <w:sz w:val="22"/>
          <w:szCs w:val="22"/>
        </w:rPr>
        <w:t xml:space="preserve"> the police. The district judge dismissed the claim. It was argued by the police that the facts arose no duty of care, and the case was referred to the Court of Appeal</w:t>
      </w:r>
      <w:r w:rsidR="00914F25" w:rsidRPr="00914F25">
        <w:rPr>
          <w:rStyle w:val="issue-underline"/>
          <w:rFonts w:ascii="Arial" w:hAnsi="Arial" w:cs="Arial"/>
          <w:color w:val="000000" w:themeColor="text1"/>
          <w:sz w:val="22"/>
          <w:szCs w:val="22"/>
        </w:rPr>
        <w:t>, altho</w:t>
      </w:r>
      <w:r w:rsidR="00914F25" w:rsidRPr="00914F25">
        <w:rPr>
          <w:rFonts w:ascii="Arial" w:hAnsi="Arial" w:cs="Arial"/>
          <w:color w:val="000000" w:themeColor="text1"/>
          <w:sz w:val="22"/>
          <w:szCs w:val="22"/>
        </w:rPr>
        <w:t xml:space="preserve">ugh the appeal was </w:t>
      </w:r>
      <w:r w:rsidR="000E601B" w:rsidRPr="00914F25">
        <w:rPr>
          <w:rFonts w:ascii="Arial" w:hAnsi="Arial" w:cs="Arial"/>
          <w:color w:val="000000" w:themeColor="text1"/>
          <w:sz w:val="22"/>
          <w:szCs w:val="22"/>
        </w:rPr>
        <w:t>disdained</w:t>
      </w:r>
      <w:r w:rsidR="00914F25" w:rsidRPr="00914F25">
        <w:rPr>
          <w:rFonts w:ascii="Arial" w:hAnsi="Arial" w:cs="Arial"/>
          <w:color w:val="000000" w:themeColor="text1"/>
          <w:sz w:val="22"/>
          <w:szCs w:val="22"/>
        </w:rPr>
        <w:t xml:space="preserve">. Since the police accepted the information, and knew its confidential and sensitive nature, they were obligated to treat it appropriately. The </w:t>
      </w:r>
      <w:r w:rsidR="000E601B">
        <w:rPr>
          <w:rFonts w:ascii="Arial" w:hAnsi="Arial" w:cs="Arial"/>
          <w:color w:val="000000" w:themeColor="text1"/>
          <w:sz w:val="22"/>
          <w:szCs w:val="22"/>
        </w:rPr>
        <w:t xml:space="preserve">purpose </w:t>
      </w:r>
      <w:r w:rsidR="00914F25" w:rsidRPr="00914F25">
        <w:rPr>
          <w:rFonts w:ascii="Arial" w:hAnsi="Arial" w:cs="Arial"/>
          <w:color w:val="000000" w:themeColor="text1"/>
          <w:sz w:val="22"/>
          <w:szCs w:val="22"/>
        </w:rPr>
        <w:t>of a duty of ca</w:t>
      </w:r>
      <w:r w:rsidR="00914F25" w:rsidRPr="00914F25">
        <w:rPr>
          <w:rStyle w:val="issue-underline"/>
          <w:rFonts w:ascii="Arial" w:hAnsi="Arial" w:cs="Arial"/>
          <w:color w:val="000000" w:themeColor="text1"/>
          <w:sz w:val="22"/>
          <w:szCs w:val="22"/>
        </w:rPr>
        <w:t>re could</w:t>
      </w:r>
      <w:r w:rsidR="00914F25" w:rsidRPr="00914F25">
        <w:rPr>
          <w:rStyle w:val="apple-converted-space"/>
          <w:rFonts w:ascii="Arial" w:hAnsi="Arial" w:cs="Arial"/>
          <w:color w:val="000000" w:themeColor="text1"/>
          <w:sz w:val="22"/>
          <w:szCs w:val="22"/>
        </w:rPr>
        <w:t> </w:t>
      </w:r>
      <w:r w:rsidR="00914F25" w:rsidRPr="00914F25">
        <w:rPr>
          <w:rFonts w:ascii="Arial" w:hAnsi="Arial" w:cs="Arial"/>
          <w:color w:val="000000" w:themeColor="text1"/>
          <w:sz w:val="22"/>
          <w:szCs w:val="22"/>
        </w:rPr>
        <w:t>not be denied for policy reasons. Informers and sources of information need to be preserved, protected a</w:t>
      </w:r>
      <w:r w:rsidR="00914F25" w:rsidRPr="00914F25">
        <w:rPr>
          <w:rStyle w:val="issue-underline"/>
          <w:rFonts w:ascii="Arial" w:hAnsi="Arial" w:cs="Arial"/>
          <w:color w:val="000000" w:themeColor="text1"/>
          <w:sz w:val="22"/>
          <w:szCs w:val="22"/>
        </w:rPr>
        <w:t>nd encourag</w:t>
      </w:r>
      <w:r w:rsidR="00914F25" w:rsidRPr="00914F25">
        <w:rPr>
          <w:rFonts w:ascii="Arial" w:hAnsi="Arial" w:cs="Arial"/>
          <w:color w:val="000000" w:themeColor="text1"/>
          <w:sz w:val="22"/>
          <w:szCs w:val="22"/>
        </w:rPr>
        <w:t xml:space="preserve">ed to come forward without undue </w:t>
      </w:r>
      <w:r w:rsidR="000E601B" w:rsidRPr="00914F25">
        <w:rPr>
          <w:rFonts w:ascii="Arial" w:hAnsi="Arial" w:cs="Arial"/>
          <w:color w:val="000000" w:themeColor="text1"/>
          <w:sz w:val="22"/>
          <w:szCs w:val="22"/>
        </w:rPr>
        <w:t>apprehension</w:t>
      </w:r>
      <w:r w:rsidR="00914F25" w:rsidRPr="00914F25">
        <w:rPr>
          <w:rStyle w:val="apple-converted-space"/>
          <w:rFonts w:ascii="Arial" w:hAnsi="Arial" w:cs="Arial"/>
          <w:color w:val="000000" w:themeColor="text1"/>
          <w:sz w:val="22"/>
          <w:szCs w:val="22"/>
        </w:rPr>
        <w:t> </w:t>
      </w:r>
      <w:r w:rsidR="00914F25" w:rsidRPr="00914F25">
        <w:rPr>
          <w:rStyle w:val="issue-underline"/>
          <w:rFonts w:ascii="Arial" w:hAnsi="Arial" w:cs="Arial"/>
          <w:color w:val="000000" w:themeColor="text1"/>
          <w:sz w:val="22"/>
          <w:szCs w:val="22"/>
        </w:rPr>
        <w:t>of th</w:t>
      </w:r>
      <w:r w:rsidR="00914F25" w:rsidRPr="00914F25">
        <w:rPr>
          <w:rFonts w:ascii="Arial" w:hAnsi="Arial" w:cs="Arial"/>
          <w:color w:val="000000" w:themeColor="text1"/>
          <w:sz w:val="22"/>
          <w:szCs w:val="22"/>
        </w:rPr>
        <w:t xml:space="preserve">eir identifying themselves to the suspect and his </w:t>
      </w:r>
      <w:r w:rsidR="000E601B" w:rsidRPr="00914F25">
        <w:rPr>
          <w:rFonts w:ascii="Arial" w:hAnsi="Arial" w:cs="Arial"/>
          <w:color w:val="000000" w:themeColor="text1"/>
          <w:sz w:val="22"/>
          <w:szCs w:val="22"/>
        </w:rPr>
        <w:t>acquaintances</w:t>
      </w:r>
      <w:r w:rsidR="00914F25" w:rsidRPr="00914F25">
        <w:rPr>
          <w:rFonts w:ascii="Arial" w:hAnsi="Arial" w:cs="Arial"/>
          <w:color w:val="000000" w:themeColor="text1"/>
          <w:sz w:val="22"/>
          <w:szCs w:val="22"/>
        </w:rPr>
        <w:t xml:space="preserve"> due to policy factors.</w:t>
      </w:r>
    </w:p>
    <w:p w14:paraId="0207C23F" w14:textId="7EB39D89" w:rsidR="00C82643" w:rsidRDefault="00C82643" w:rsidP="00685402">
      <w:pPr>
        <w:spacing w:before="240" w:after="240"/>
        <w:rPr>
          <w:rFonts w:ascii="Arial" w:hAnsi="Arial" w:cs="Arial"/>
          <w:color w:val="000000"/>
          <w:sz w:val="22"/>
          <w:szCs w:val="22"/>
          <w:shd w:val="clear" w:color="auto" w:fill="FFFFFF"/>
        </w:rPr>
      </w:pPr>
    </w:p>
    <w:p w14:paraId="4F08C6E8" w14:textId="4C104D84" w:rsidR="00D50DD3" w:rsidRPr="000E601B" w:rsidRDefault="00C82643" w:rsidP="00460E4B">
      <w:pPr>
        <w:pStyle w:val="mb-25"/>
        <w:rPr>
          <w:color w:val="000000"/>
        </w:rPr>
      </w:pPr>
      <w:r w:rsidRPr="00D50DD3">
        <w:rPr>
          <w:rFonts w:ascii="Arial" w:hAnsi="Arial" w:cs="Arial"/>
          <w:color w:val="000000"/>
          <w:sz w:val="22"/>
          <w:szCs w:val="22"/>
          <w:shd w:val="clear" w:color="auto" w:fill="FFFFFF"/>
        </w:rPr>
        <w:lastRenderedPageBreak/>
        <w:t>A case which exemplifies the law of tort</w:t>
      </w:r>
      <w:r w:rsidR="003924F5" w:rsidRPr="00D50DD3">
        <w:rPr>
          <w:rFonts w:ascii="Arial" w:hAnsi="Arial" w:cs="Arial"/>
          <w:color w:val="000000"/>
          <w:sz w:val="22"/>
          <w:szCs w:val="22"/>
          <w:shd w:val="clear" w:color="auto" w:fill="FFFFFF"/>
        </w:rPr>
        <w:t xml:space="preserve"> regarding the emergency services is Kent v Griffiths [2000]. </w:t>
      </w:r>
      <w:r w:rsidR="00B87F3A" w:rsidRPr="00D50DD3">
        <w:rPr>
          <w:rFonts w:ascii="Arial" w:hAnsi="Arial" w:cs="Arial"/>
          <w:color w:val="000000"/>
          <w:sz w:val="22"/>
          <w:szCs w:val="22"/>
        </w:rPr>
        <w:t>In this appeal, it is argued whether an ambulance service is liable for failure to arrive within a reasonable</w:t>
      </w:r>
      <w:r w:rsidR="00B87F3A" w:rsidRPr="00D50DD3">
        <w:rPr>
          <w:rStyle w:val="apple-converted-space"/>
          <w:rFonts w:ascii="Arial" w:hAnsi="Arial" w:cs="Arial"/>
          <w:color w:val="000000"/>
          <w:sz w:val="22"/>
          <w:szCs w:val="22"/>
        </w:rPr>
        <w:t> </w:t>
      </w:r>
      <w:r w:rsidR="00B87F3A" w:rsidRPr="00D50DD3">
        <w:rPr>
          <w:rStyle w:val="issue-underline"/>
          <w:rFonts w:ascii="Arial" w:hAnsi="Arial" w:cs="Arial"/>
          <w:color w:val="000000"/>
          <w:sz w:val="22"/>
          <w:szCs w:val="22"/>
        </w:rPr>
        <w:t>time for a</w:t>
      </w:r>
      <w:r w:rsidR="0019030C" w:rsidRPr="00D50DD3">
        <w:rPr>
          <w:rStyle w:val="issue-underline"/>
          <w:rFonts w:ascii="Arial" w:hAnsi="Arial" w:cs="Arial"/>
          <w:color w:val="000000"/>
          <w:sz w:val="22"/>
          <w:szCs w:val="22"/>
        </w:rPr>
        <w:t xml:space="preserve"> </w:t>
      </w:r>
      <w:r w:rsidR="00B87F3A" w:rsidRPr="00D50DD3">
        <w:rPr>
          <w:rFonts w:ascii="Arial" w:hAnsi="Arial" w:cs="Arial"/>
          <w:color w:val="000000"/>
          <w:sz w:val="22"/>
          <w:szCs w:val="22"/>
        </w:rPr>
        <w:t>member of the public whose '999' call has been made.</w:t>
      </w:r>
      <w:r w:rsidR="00E2068B" w:rsidRPr="00D50DD3">
        <w:rPr>
          <w:rFonts w:ascii="Arial" w:hAnsi="Arial" w:cs="Arial"/>
          <w:color w:val="000000" w:themeColor="text1"/>
          <w:sz w:val="22"/>
          <w:szCs w:val="22"/>
        </w:rPr>
        <w:t xml:space="preserve"> </w:t>
      </w:r>
      <w:r w:rsidR="00460E4B" w:rsidRPr="00D50DD3">
        <w:rPr>
          <w:rFonts w:ascii="Arial" w:hAnsi="Arial" w:cs="Arial"/>
          <w:color w:val="000000" w:themeColor="text1"/>
          <w:sz w:val="22"/>
          <w:szCs w:val="22"/>
        </w:rPr>
        <w:t xml:space="preserve">An injury claimant seeking damages for negligence must prove that the defendant </w:t>
      </w:r>
      <w:r w:rsidR="000E601B" w:rsidRPr="00D50DD3">
        <w:rPr>
          <w:rFonts w:ascii="Arial" w:hAnsi="Arial" w:cs="Arial"/>
          <w:color w:val="000000" w:themeColor="text1"/>
          <w:sz w:val="22"/>
          <w:szCs w:val="22"/>
        </w:rPr>
        <w:t>violated</w:t>
      </w:r>
      <w:r w:rsidR="00460E4B" w:rsidRPr="00D50DD3">
        <w:rPr>
          <w:rFonts w:ascii="Arial" w:hAnsi="Arial" w:cs="Arial"/>
          <w:color w:val="000000" w:themeColor="text1"/>
          <w:sz w:val="22"/>
          <w:szCs w:val="22"/>
        </w:rPr>
        <w:t xml:space="preserve"> their duty of care, and that the injuries were the result of that breach. </w:t>
      </w:r>
      <w:r w:rsidR="000E601B" w:rsidRPr="000E601B">
        <w:rPr>
          <w:rFonts w:ascii="Arial" w:hAnsi="Arial" w:cs="Arial"/>
          <w:color w:val="000000"/>
          <w:sz w:val="22"/>
          <w:szCs w:val="22"/>
        </w:rPr>
        <w:t>The Court of Appeal stated that the claimant would have suffered further damage if an ambulance had not been sent within a reasonable timeframe.</w:t>
      </w:r>
      <w:r w:rsidR="000E601B">
        <w:rPr>
          <w:color w:val="000000"/>
        </w:rPr>
        <w:t xml:space="preserve"> </w:t>
      </w:r>
      <w:r w:rsidR="00460E4B" w:rsidRPr="00D50DD3">
        <w:rPr>
          <w:rFonts w:ascii="Arial" w:hAnsi="Arial" w:cs="Arial"/>
          <w:color w:val="000000" w:themeColor="text1"/>
          <w:sz w:val="22"/>
          <w:szCs w:val="22"/>
        </w:rPr>
        <w:t xml:space="preserve">There was no reasonable explanation for an ambulance not arriving within that time period; therefore, this duty was breached. </w:t>
      </w:r>
    </w:p>
    <w:p w14:paraId="4FBDC91B" w14:textId="77777777" w:rsidR="00D50DD3" w:rsidRDefault="00D50DD3" w:rsidP="00460E4B">
      <w:pPr>
        <w:pStyle w:val="mb-25"/>
        <w:rPr>
          <w:rFonts w:ascii="Arial" w:hAnsi="Arial" w:cs="Arial"/>
          <w:color w:val="000000" w:themeColor="text1"/>
          <w:sz w:val="22"/>
          <w:szCs w:val="22"/>
        </w:rPr>
      </w:pPr>
    </w:p>
    <w:p w14:paraId="01251A84" w14:textId="000BAC5A" w:rsidR="00D50DD3" w:rsidRDefault="00460E4B" w:rsidP="00D50DD3">
      <w:pPr>
        <w:pStyle w:val="NormalWeb"/>
        <w:rPr>
          <w:rFonts w:ascii="Arial" w:hAnsi="Arial" w:cs="Arial"/>
          <w:sz w:val="22"/>
          <w:szCs w:val="22"/>
        </w:rPr>
      </w:pPr>
      <w:r w:rsidRPr="00D50DD3">
        <w:rPr>
          <w:rFonts w:ascii="Arial" w:hAnsi="Arial" w:cs="Arial"/>
          <w:color w:val="000000" w:themeColor="text1"/>
          <w:sz w:val="22"/>
          <w:szCs w:val="22"/>
        </w:rPr>
        <w:t xml:space="preserve">Once the LAS accepted the call and dispatched an ambulance, a specific duty of care was established; there was no good reason for the ambulance not arriving within that time period. Whenever there is no good reason for delaying the pickup </w:t>
      </w:r>
      <w:r w:rsidR="00AA0566">
        <w:rPr>
          <w:rFonts w:ascii="Arial" w:hAnsi="Arial" w:cs="Arial"/>
          <w:color w:val="000000" w:themeColor="text1"/>
          <w:sz w:val="22"/>
          <w:szCs w:val="22"/>
        </w:rPr>
        <w:t xml:space="preserve">from </w:t>
      </w:r>
      <w:r w:rsidRPr="00D50DD3">
        <w:rPr>
          <w:rFonts w:ascii="Arial" w:hAnsi="Arial" w:cs="Arial"/>
          <w:color w:val="000000" w:themeColor="text1"/>
          <w:sz w:val="22"/>
          <w:szCs w:val="22"/>
        </w:rPr>
        <w:t>an ambulance service, it is fair, just, and</w:t>
      </w:r>
      <w:r w:rsidRPr="00D50DD3">
        <w:rPr>
          <w:rStyle w:val="apple-converted-space"/>
          <w:rFonts w:ascii="Arial" w:hAnsi="Arial" w:cs="Arial"/>
          <w:color w:val="000000" w:themeColor="text1"/>
          <w:sz w:val="22"/>
          <w:szCs w:val="22"/>
        </w:rPr>
        <w:t> </w:t>
      </w:r>
      <w:r w:rsidRPr="00D50DD3">
        <w:rPr>
          <w:rStyle w:val="issue-underline"/>
          <w:rFonts w:ascii="Arial" w:hAnsi="Arial" w:cs="Arial"/>
          <w:color w:val="000000" w:themeColor="text1"/>
          <w:sz w:val="22"/>
          <w:szCs w:val="22"/>
        </w:rPr>
        <w:t>reasonable</w:t>
      </w:r>
      <w:r w:rsidRPr="00D50DD3">
        <w:rPr>
          <w:rStyle w:val="apple-converted-space"/>
          <w:rFonts w:ascii="Arial" w:hAnsi="Arial" w:cs="Arial"/>
          <w:color w:val="000000" w:themeColor="text1"/>
          <w:sz w:val="22"/>
          <w:szCs w:val="22"/>
        </w:rPr>
        <w:t> </w:t>
      </w:r>
      <w:r w:rsidRPr="00D50DD3">
        <w:rPr>
          <w:rFonts w:ascii="Arial" w:hAnsi="Arial" w:cs="Arial"/>
          <w:color w:val="000000" w:themeColor="text1"/>
          <w:sz w:val="22"/>
          <w:szCs w:val="22"/>
        </w:rPr>
        <w:t>to allow a duty of care to exist. It is still the case that emergency services are not liable for negligence for inadequate response. However, in this case, certain specific circumstances might allow a duty of care to exist where that inadequate response worsened the situation.</w:t>
      </w:r>
      <w:r w:rsidRPr="00D50DD3">
        <w:rPr>
          <w:rStyle w:val="apple-converted-space"/>
          <w:rFonts w:ascii="Arial" w:hAnsi="Arial" w:cs="Arial"/>
          <w:color w:val="000000" w:themeColor="text1"/>
          <w:sz w:val="22"/>
          <w:szCs w:val="22"/>
        </w:rPr>
        <w:t> </w:t>
      </w:r>
      <w:r w:rsidR="00D50DD3" w:rsidRPr="00EF243A">
        <w:rPr>
          <w:rFonts w:ascii="Arial" w:hAnsi="Arial" w:cs="Arial"/>
          <w:sz w:val="22"/>
          <w:szCs w:val="22"/>
        </w:rPr>
        <w:t>W</w:t>
      </w:r>
      <w:r w:rsidR="00EF243A">
        <w:rPr>
          <w:rFonts w:ascii="Arial" w:hAnsi="Arial" w:cs="Arial"/>
          <w:sz w:val="22"/>
          <w:szCs w:val="22"/>
        </w:rPr>
        <w:t xml:space="preserve">illiams. </w:t>
      </w:r>
      <w:r w:rsidR="00193011">
        <w:rPr>
          <w:rFonts w:ascii="Arial" w:hAnsi="Arial" w:cs="Arial"/>
          <w:sz w:val="22"/>
          <w:szCs w:val="22"/>
        </w:rPr>
        <w:t xml:space="preserve">K </w:t>
      </w:r>
      <w:r w:rsidR="00193011" w:rsidRPr="00EF243A">
        <w:rPr>
          <w:rFonts w:ascii="Arial" w:hAnsi="Arial" w:cs="Arial"/>
          <w:sz w:val="22"/>
          <w:szCs w:val="22"/>
        </w:rPr>
        <w:t>(</w:t>
      </w:r>
      <w:r w:rsidR="00D50DD3" w:rsidRPr="00EF243A">
        <w:rPr>
          <w:rFonts w:ascii="Arial" w:hAnsi="Arial" w:cs="Arial"/>
          <w:sz w:val="22"/>
          <w:szCs w:val="22"/>
        </w:rPr>
        <w:t xml:space="preserve">2007). </w:t>
      </w:r>
    </w:p>
    <w:p w14:paraId="0346CC0D" w14:textId="4E0EB4B6" w:rsidR="007209FB" w:rsidRDefault="007209FB" w:rsidP="00D50DD3">
      <w:pPr>
        <w:pStyle w:val="NormalWeb"/>
        <w:rPr>
          <w:rFonts w:ascii="Arial" w:hAnsi="Arial" w:cs="Arial"/>
          <w:sz w:val="22"/>
          <w:szCs w:val="22"/>
        </w:rPr>
      </w:pPr>
    </w:p>
    <w:p w14:paraId="4D9C5995" w14:textId="3FD3DF8C" w:rsidR="007209FB" w:rsidRDefault="008A7DB5" w:rsidP="007209FB">
      <w:pPr>
        <w:pStyle w:val="mb-25"/>
        <w:rPr>
          <w:rStyle w:val="apple-converted-space"/>
          <w:rFonts w:ascii="Arial" w:hAnsi="Arial" w:cs="Arial"/>
          <w:color w:val="000000"/>
          <w:sz w:val="22"/>
          <w:szCs w:val="22"/>
        </w:rPr>
      </w:pPr>
      <w:r>
        <w:rPr>
          <w:rStyle w:val="Strong"/>
          <w:rFonts w:ascii="Arial" w:hAnsi="Arial" w:cs="Arial"/>
          <w:b w:val="0"/>
          <w:bCs w:val="0"/>
          <w:color w:val="000000"/>
          <w:sz w:val="22"/>
          <w:szCs w:val="22"/>
        </w:rPr>
        <w:t>It has also been established that the fire brigade can be liable of a</w:t>
      </w:r>
      <w:r w:rsidR="007209FB" w:rsidRPr="007209FB">
        <w:rPr>
          <w:rStyle w:val="Strong"/>
          <w:rFonts w:ascii="Arial" w:hAnsi="Arial" w:cs="Arial"/>
          <w:b w:val="0"/>
          <w:bCs w:val="0"/>
          <w:color w:val="000000"/>
          <w:sz w:val="22"/>
          <w:szCs w:val="22"/>
        </w:rPr>
        <w:t xml:space="preserve"> </w:t>
      </w:r>
      <w:r>
        <w:rPr>
          <w:rStyle w:val="Strong"/>
          <w:rFonts w:ascii="Arial" w:hAnsi="Arial" w:cs="Arial"/>
          <w:b w:val="0"/>
          <w:bCs w:val="0"/>
          <w:color w:val="000000"/>
          <w:sz w:val="22"/>
          <w:szCs w:val="22"/>
        </w:rPr>
        <w:t xml:space="preserve">breach in </w:t>
      </w:r>
      <w:r w:rsidR="007209FB" w:rsidRPr="007209FB">
        <w:rPr>
          <w:rStyle w:val="Strong"/>
          <w:rFonts w:ascii="Arial" w:hAnsi="Arial" w:cs="Arial"/>
          <w:b w:val="0"/>
          <w:bCs w:val="0"/>
          <w:color w:val="000000"/>
          <w:sz w:val="22"/>
          <w:szCs w:val="22"/>
        </w:rPr>
        <w:t xml:space="preserve">duty of </w:t>
      </w:r>
      <w:r w:rsidRPr="007209FB">
        <w:rPr>
          <w:rStyle w:val="Strong"/>
          <w:rFonts w:ascii="Arial" w:hAnsi="Arial" w:cs="Arial"/>
          <w:b w:val="0"/>
          <w:bCs w:val="0"/>
          <w:color w:val="000000"/>
          <w:sz w:val="22"/>
          <w:szCs w:val="22"/>
        </w:rPr>
        <w:t>care and</w:t>
      </w:r>
      <w:r>
        <w:rPr>
          <w:rStyle w:val="Strong"/>
          <w:rFonts w:ascii="Arial" w:hAnsi="Arial" w:cs="Arial"/>
          <w:b w:val="0"/>
          <w:bCs w:val="0"/>
          <w:color w:val="000000"/>
          <w:sz w:val="22"/>
          <w:szCs w:val="22"/>
        </w:rPr>
        <w:t xml:space="preserve"> are </w:t>
      </w:r>
      <w:r w:rsidR="007209FB" w:rsidRPr="007209FB">
        <w:rPr>
          <w:rStyle w:val="Strong"/>
          <w:rFonts w:ascii="Arial" w:hAnsi="Arial" w:cs="Arial"/>
          <w:b w:val="0"/>
          <w:bCs w:val="0"/>
          <w:color w:val="000000"/>
          <w:sz w:val="22"/>
          <w:szCs w:val="22"/>
        </w:rPr>
        <w:t>liable for damages to a party who has been injured or has lost property due to the failure to fulfil the</w:t>
      </w:r>
      <w:r w:rsidR="000E60C1">
        <w:rPr>
          <w:rStyle w:val="Strong"/>
          <w:rFonts w:ascii="Arial" w:hAnsi="Arial" w:cs="Arial"/>
          <w:b w:val="0"/>
          <w:bCs w:val="0"/>
          <w:color w:val="000000"/>
          <w:sz w:val="22"/>
          <w:szCs w:val="22"/>
        </w:rPr>
        <w:t>ir</w:t>
      </w:r>
      <w:r w:rsidR="007209FB" w:rsidRPr="007209FB">
        <w:rPr>
          <w:rStyle w:val="Strong"/>
          <w:rFonts w:ascii="Arial" w:hAnsi="Arial" w:cs="Arial"/>
          <w:b w:val="0"/>
          <w:bCs w:val="0"/>
          <w:color w:val="000000"/>
          <w:sz w:val="22"/>
          <w:szCs w:val="22"/>
        </w:rPr>
        <w:t xml:space="preserve"> obligations.</w:t>
      </w:r>
      <w:r w:rsidR="007209FB" w:rsidRPr="007209FB">
        <w:rPr>
          <w:rFonts w:ascii="Arial" w:hAnsi="Arial" w:cs="Arial"/>
          <w:color w:val="000000"/>
          <w:sz w:val="22"/>
          <w:szCs w:val="22"/>
        </w:rPr>
        <w:t xml:space="preserve"> During an incident at Capital and Counties (CC) premises, Hampshire County Council</w:t>
      </w:r>
      <w:r w:rsidR="007209FB">
        <w:rPr>
          <w:rFonts w:ascii="Arial" w:hAnsi="Arial" w:cs="Arial"/>
          <w:color w:val="000000"/>
          <w:sz w:val="22"/>
          <w:szCs w:val="22"/>
        </w:rPr>
        <w:t xml:space="preserve"> </w:t>
      </w:r>
      <w:r w:rsidR="007209FB" w:rsidRPr="007209FB">
        <w:rPr>
          <w:rFonts w:ascii="Arial" w:hAnsi="Arial" w:cs="Arial"/>
          <w:color w:val="000000"/>
          <w:sz w:val="22"/>
          <w:szCs w:val="22"/>
        </w:rPr>
        <w:t xml:space="preserve">appealed a </w:t>
      </w:r>
      <w:r w:rsidR="00AF3B13" w:rsidRPr="007209FB">
        <w:rPr>
          <w:rFonts w:ascii="Arial" w:hAnsi="Arial" w:cs="Arial"/>
          <w:color w:val="000000"/>
          <w:sz w:val="22"/>
          <w:szCs w:val="22"/>
        </w:rPr>
        <w:t>verdict</w:t>
      </w:r>
      <w:r w:rsidR="007209FB" w:rsidRPr="007209FB">
        <w:rPr>
          <w:rFonts w:ascii="Arial" w:hAnsi="Arial" w:cs="Arial"/>
          <w:color w:val="000000"/>
          <w:sz w:val="22"/>
          <w:szCs w:val="22"/>
        </w:rPr>
        <w:t xml:space="preserve"> that the fire brigade was negligent for turning off a sprinkler system, </w:t>
      </w:r>
      <w:r w:rsidR="00AF3B13" w:rsidRPr="007209FB">
        <w:rPr>
          <w:rFonts w:ascii="Arial" w:hAnsi="Arial" w:cs="Arial"/>
          <w:color w:val="000000"/>
          <w:sz w:val="22"/>
          <w:szCs w:val="22"/>
        </w:rPr>
        <w:t>triggering</w:t>
      </w:r>
      <w:r w:rsidR="007209FB" w:rsidRPr="007209FB">
        <w:rPr>
          <w:rFonts w:ascii="Arial" w:hAnsi="Arial" w:cs="Arial"/>
          <w:color w:val="000000"/>
          <w:sz w:val="22"/>
          <w:szCs w:val="22"/>
        </w:rPr>
        <w:t xml:space="preserve"> the fire to get </w:t>
      </w:r>
      <w:r w:rsidR="001C618E">
        <w:rPr>
          <w:rFonts w:ascii="Arial" w:hAnsi="Arial" w:cs="Arial"/>
          <w:color w:val="000000"/>
          <w:sz w:val="22"/>
          <w:szCs w:val="22"/>
        </w:rPr>
        <w:t xml:space="preserve">uncontrollable </w:t>
      </w:r>
      <w:r w:rsidR="007209FB" w:rsidRPr="007209FB">
        <w:rPr>
          <w:rFonts w:ascii="Arial" w:hAnsi="Arial" w:cs="Arial"/>
          <w:color w:val="000000"/>
          <w:sz w:val="22"/>
          <w:szCs w:val="22"/>
        </w:rPr>
        <w:t xml:space="preserve">and cause substantial </w:t>
      </w:r>
      <w:r w:rsidR="001C618E" w:rsidRPr="007209FB">
        <w:rPr>
          <w:rFonts w:ascii="Arial" w:hAnsi="Arial" w:cs="Arial"/>
          <w:color w:val="000000"/>
          <w:sz w:val="22"/>
          <w:szCs w:val="22"/>
        </w:rPr>
        <w:t>destruction</w:t>
      </w:r>
      <w:r w:rsidR="007209FB" w:rsidRPr="007209FB">
        <w:rPr>
          <w:rFonts w:ascii="Arial" w:hAnsi="Arial" w:cs="Arial"/>
          <w:color w:val="000000"/>
          <w:sz w:val="22"/>
          <w:szCs w:val="22"/>
        </w:rPr>
        <w:t xml:space="preserve"> to CC's premises.</w:t>
      </w:r>
      <w:r w:rsidR="007209FB" w:rsidRPr="007209FB">
        <w:rPr>
          <w:rStyle w:val="apple-converted-space"/>
          <w:rFonts w:ascii="Arial" w:hAnsi="Arial" w:cs="Arial"/>
          <w:color w:val="000000"/>
          <w:sz w:val="22"/>
          <w:szCs w:val="22"/>
        </w:rPr>
        <w:t> </w:t>
      </w:r>
      <w:r w:rsidR="007209FB">
        <w:rPr>
          <w:rStyle w:val="apple-converted-space"/>
          <w:rFonts w:ascii="Arial" w:hAnsi="Arial" w:cs="Arial"/>
          <w:color w:val="000000"/>
          <w:sz w:val="22"/>
          <w:szCs w:val="22"/>
        </w:rPr>
        <w:t xml:space="preserve">The fire brigade, however, cannot obtain immunity from suit if they are negligently </w:t>
      </w:r>
      <w:r w:rsidR="00AF3B13">
        <w:rPr>
          <w:rStyle w:val="apple-converted-space"/>
          <w:rFonts w:ascii="Arial" w:hAnsi="Arial" w:cs="Arial"/>
          <w:color w:val="000000"/>
          <w:sz w:val="22"/>
          <w:szCs w:val="22"/>
        </w:rPr>
        <w:t xml:space="preserve">responsible for the plaintiff’s </w:t>
      </w:r>
      <w:r w:rsidR="001C618E">
        <w:rPr>
          <w:rStyle w:val="apple-converted-space"/>
          <w:rFonts w:ascii="Arial" w:hAnsi="Arial" w:cs="Arial"/>
          <w:color w:val="000000"/>
          <w:sz w:val="22"/>
          <w:szCs w:val="22"/>
        </w:rPr>
        <w:t>damages</w:t>
      </w:r>
      <w:r w:rsidR="00AF3B13">
        <w:rPr>
          <w:rStyle w:val="apple-converted-space"/>
          <w:rFonts w:ascii="Arial" w:hAnsi="Arial" w:cs="Arial"/>
          <w:color w:val="000000"/>
          <w:sz w:val="22"/>
          <w:szCs w:val="22"/>
        </w:rPr>
        <w:t xml:space="preserve">, and it does not come under a duty of care because it does not have sufficient </w:t>
      </w:r>
      <w:r w:rsidR="001C618E">
        <w:rPr>
          <w:rStyle w:val="apple-converted-space"/>
          <w:rFonts w:ascii="Arial" w:hAnsi="Arial" w:cs="Arial"/>
          <w:color w:val="000000"/>
          <w:sz w:val="22"/>
          <w:szCs w:val="22"/>
        </w:rPr>
        <w:t>proximity</w:t>
      </w:r>
      <w:r w:rsidR="00AF3B13">
        <w:rPr>
          <w:rStyle w:val="apple-converted-space"/>
          <w:rFonts w:ascii="Arial" w:hAnsi="Arial" w:cs="Arial"/>
          <w:color w:val="000000"/>
          <w:sz w:val="22"/>
          <w:szCs w:val="22"/>
        </w:rPr>
        <w:t xml:space="preserve"> with the premises owners. Considering this, the first appeal was disdained. Steele (2021). </w:t>
      </w:r>
    </w:p>
    <w:p w14:paraId="5CBD4EC9" w14:textId="65845F57" w:rsidR="0076618C" w:rsidRPr="0076618C" w:rsidRDefault="0076618C" w:rsidP="007209FB">
      <w:pPr>
        <w:pStyle w:val="mb-25"/>
        <w:rPr>
          <w:rStyle w:val="apple-converted-space"/>
          <w:rFonts w:ascii="Arial" w:hAnsi="Arial" w:cs="Arial"/>
          <w:color w:val="000000" w:themeColor="text1"/>
          <w:sz w:val="22"/>
          <w:szCs w:val="22"/>
        </w:rPr>
      </w:pPr>
    </w:p>
    <w:p w14:paraId="2D992489" w14:textId="62F07308" w:rsidR="0076618C" w:rsidRPr="00892850" w:rsidRDefault="008A7DB5" w:rsidP="002E34C2">
      <w:pPr>
        <w:spacing w:before="240" w:after="240"/>
        <w:rPr>
          <w:rFonts w:ascii="Arial" w:hAnsi="Arial" w:cs="Arial"/>
          <w:color w:val="000000" w:themeColor="text1"/>
          <w:sz w:val="22"/>
          <w:szCs w:val="22"/>
        </w:rPr>
      </w:pPr>
      <w:r>
        <w:rPr>
          <w:rFonts w:ascii="Arial" w:hAnsi="Arial" w:cs="Arial"/>
          <w:color w:val="000000" w:themeColor="text1"/>
          <w:sz w:val="22"/>
          <w:szCs w:val="22"/>
        </w:rPr>
        <w:t>In addition, t</w:t>
      </w:r>
      <w:r w:rsidR="0076618C">
        <w:rPr>
          <w:rFonts w:ascii="Arial" w:hAnsi="Arial" w:cs="Arial"/>
          <w:color w:val="000000" w:themeColor="text1"/>
          <w:sz w:val="22"/>
          <w:szCs w:val="22"/>
        </w:rPr>
        <w:t xml:space="preserve">he case of </w:t>
      </w:r>
      <w:r w:rsidR="0076618C" w:rsidRPr="00685402">
        <w:rPr>
          <w:rFonts w:ascii="Arial" w:hAnsi="Arial" w:cs="Arial"/>
          <w:color w:val="000000"/>
          <w:sz w:val="22"/>
          <w:szCs w:val="22"/>
        </w:rPr>
        <w:t>Pape v Cumbria CC [1992]</w:t>
      </w:r>
      <w:r w:rsidR="002E34C2">
        <w:rPr>
          <w:rFonts w:ascii="Arial" w:hAnsi="Arial" w:cs="Arial"/>
          <w:color w:val="000000"/>
          <w:sz w:val="22"/>
          <w:szCs w:val="22"/>
        </w:rPr>
        <w:t xml:space="preserve"> exemplifies how a workplace owed their employees a duty of care for their health and safety. </w:t>
      </w:r>
      <w:r w:rsidR="0076618C" w:rsidRPr="0076618C">
        <w:rPr>
          <w:rFonts w:ascii="Arial" w:hAnsi="Arial" w:cs="Arial"/>
          <w:color w:val="000000" w:themeColor="text1"/>
          <w:sz w:val="22"/>
          <w:szCs w:val="22"/>
        </w:rPr>
        <w:t>In her claim, Ms Pape asserted that even though her employer provided gloves, the council had not instructed or actively encouraged her to use</w:t>
      </w:r>
      <w:r w:rsidR="0076618C" w:rsidRPr="0076618C">
        <w:rPr>
          <w:rStyle w:val="apple-converted-space"/>
          <w:rFonts w:ascii="Arial" w:hAnsi="Arial" w:cs="Arial"/>
          <w:color w:val="000000" w:themeColor="text1"/>
          <w:sz w:val="22"/>
          <w:szCs w:val="22"/>
        </w:rPr>
        <w:t> </w:t>
      </w:r>
      <w:r w:rsidR="0076618C" w:rsidRPr="0076618C">
        <w:rPr>
          <w:rStyle w:val="issue-underline"/>
          <w:rFonts w:ascii="Arial" w:hAnsi="Arial" w:cs="Arial"/>
          <w:color w:val="000000" w:themeColor="text1"/>
          <w:sz w:val="22"/>
          <w:szCs w:val="22"/>
        </w:rPr>
        <w:t>them, and</w:t>
      </w:r>
      <w:r w:rsidR="0076618C" w:rsidRPr="0076618C">
        <w:rPr>
          <w:rStyle w:val="apple-converted-space"/>
          <w:rFonts w:ascii="Arial" w:hAnsi="Arial" w:cs="Arial"/>
          <w:color w:val="000000" w:themeColor="text1"/>
          <w:sz w:val="22"/>
          <w:szCs w:val="22"/>
        </w:rPr>
        <w:t> </w:t>
      </w:r>
      <w:r w:rsidR="0076618C" w:rsidRPr="0076618C">
        <w:rPr>
          <w:rFonts w:ascii="Arial" w:hAnsi="Arial" w:cs="Arial"/>
          <w:color w:val="000000" w:themeColor="text1"/>
          <w:sz w:val="22"/>
          <w:szCs w:val="22"/>
        </w:rPr>
        <w:t xml:space="preserve">that chemical cleaning agents could cause skin conditions if they were frequently used. Employees were responsible for wearing rubber gloves provided by the council, and it was the council's duty of care to </w:t>
      </w:r>
      <w:r w:rsidR="001C618E">
        <w:rPr>
          <w:rFonts w:ascii="Arial" w:hAnsi="Arial" w:cs="Arial"/>
          <w:color w:val="000000" w:themeColor="text1"/>
          <w:sz w:val="22"/>
          <w:szCs w:val="22"/>
        </w:rPr>
        <w:t xml:space="preserve">deliver </w:t>
      </w:r>
      <w:r w:rsidR="0076618C" w:rsidRPr="0076618C">
        <w:rPr>
          <w:rFonts w:ascii="Arial" w:hAnsi="Arial" w:cs="Arial"/>
          <w:color w:val="000000" w:themeColor="text1"/>
          <w:sz w:val="22"/>
          <w:szCs w:val="22"/>
        </w:rPr>
        <w:t xml:space="preserve">a safe work environment. It was determined that Ms Pape was entitled to damages and her claim was admitted. Rubber gloves alone were not sufficient to </w:t>
      </w:r>
      <w:r w:rsidR="001C618E" w:rsidRPr="0076618C">
        <w:rPr>
          <w:rFonts w:ascii="Arial" w:hAnsi="Arial" w:cs="Arial"/>
          <w:color w:val="000000" w:themeColor="text1"/>
          <w:sz w:val="22"/>
          <w:szCs w:val="22"/>
        </w:rPr>
        <w:t>achieve</w:t>
      </w:r>
      <w:r w:rsidR="0076618C" w:rsidRPr="0076618C">
        <w:rPr>
          <w:rFonts w:ascii="Arial" w:hAnsi="Arial" w:cs="Arial"/>
          <w:color w:val="000000" w:themeColor="text1"/>
          <w:sz w:val="22"/>
          <w:szCs w:val="22"/>
        </w:rPr>
        <w:t xml:space="preserve"> their duty of care to ensure a safe working environment. Safety equipment should have been clearly explained to the employee, as well as the risks associated with handling chemical cleaning products without gloves.</w:t>
      </w:r>
      <w:r w:rsidR="002E34C2">
        <w:rPr>
          <w:rFonts w:ascii="Arial" w:hAnsi="Arial" w:cs="Arial"/>
          <w:color w:val="000000" w:themeColor="text1"/>
          <w:sz w:val="22"/>
          <w:szCs w:val="22"/>
        </w:rPr>
        <w:t xml:space="preserve"> </w:t>
      </w:r>
      <w:r w:rsidR="00892850">
        <w:rPr>
          <w:rFonts w:ascii="Arial" w:hAnsi="Arial" w:cs="Arial"/>
          <w:color w:val="000000" w:themeColor="text1"/>
          <w:sz w:val="22"/>
          <w:szCs w:val="22"/>
        </w:rPr>
        <w:t xml:space="preserve">Lunney et al (2017). </w:t>
      </w:r>
    </w:p>
    <w:p w14:paraId="2948DA47" w14:textId="6AEAA271" w:rsidR="00D56C86" w:rsidRDefault="00D56C86" w:rsidP="002E34C2">
      <w:pPr>
        <w:spacing w:before="240" w:after="240"/>
        <w:rPr>
          <w:rFonts w:ascii="Arial" w:hAnsi="Arial" w:cs="Arial"/>
          <w:color w:val="FF0000"/>
          <w:sz w:val="22"/>
          <w:szCs w:val="22"/>
        </w:rPr>
      </w:pPr>
    </w:p>
    <w:p w14:paraId="4B01D786" w14:textId="5DE2CE13" w:rsidR="00D56C86" w:rsidRPr="00350F8B" w:rsidRDefault="000E60C1" w:rsidP="001C618E">
      <w:pPr>
        <w:pStyle w:val="mb-25"/>
        <w:rPr>
          <w:rFonts w:ascii="Arial" w:hAnsi="Arial" w:cs="Arial"/>
          <w:color w:val="000000"/>
          <w:sz w:val="22"/>
          <w:szCs w:val="22"/>
        </w:rPr>
      </w:pPr>
      <w:r>
        <w:rPr>
          <w:rFonts w:ascii="Arial" w:hAnsi="Arial" w:cs="Arial"/>
          <w:color w:val="000000"/>
          <w:sz w:val="22"/>
          <w:szCs w:val="22"/>
        </w:rPr>
        <w:t xml:space="preserve">In the case of </w:t>
      </w:r>
      <w:proofErr w:type="gramStart"/>
      <w:r>
        <w:rPr>
          <w:rFonts w:ascii="Arial" w:hAnsi="Arial" w:cs="Arial"/>
          <w:color w:val="000000"/>
          <w:sz w:val="22"/>
          <w:szCs w:val="22"/>
        </w:rPr>
        <w:t>An</w:t>
      </w:r>
      <w:proofErr w:type="gramEnd"/>
      <w:r w:rsidR="008E09EA" w:rsidRPr="00685402">
        <w:rPr>
          <w:rFonts w:ascii="Arial" w:hAnsi="Arial" w:cs="Arial"/>
          <w:color w:val="000000"/>
          <w:sz w:val="22"/>
          <w:szCs w:val="22"/>
        </w:rPr>
        <w:t xml:space="preserve"> informer v Chief constable (2012)</w:t>
      </w:r>
      <w:r w:rsidR="008E09EA">
        <w:rPr>
          <w:rFonts w:ascii="Arial" w:hAnsi="Arial" w:cs="Arial"/>
          <w:color w:val="000000"/>
          <w:sz w:val="22"/>
          <w:szCs w:val="22"/>
        </w:rPr>
        <w:t xml:space="preserve"> evokes how there was not enough factors to </w:t>
      </w:r>
      <w:r w:rsidR="001C618E">
        <w:rPr>
          <w:rFonts w:ascii="Arial" w:hAnsi="Arial" w:cs="Arial"/>
          <w:color w:val="000000"/>
          <w:sz w:val="22"/>
          <w:szCs w:val="22"/>
        </w:rPr>
        <w:t>establish</w:t>
      </w:r>
      <w:r w:rsidR="008E09EA">
        <w:rPr>
          <w:rFonts w:ascii="Arial" w:hAnsi="Arial" w:cs="Arial"/>
          <w:color w:val="000000"/>
          <w:sz w:val="22"/>
          <w:szCs w:val="22"/>
        </w:rPr>
        <w:t xml:space="preserve"> a breach of the duty of care owed. </w:t>
      </w:r>
      <w:r w:rsidR="00D56C86" w:rsidRPr="00D56C86">
        <w:rPr>
          <w:rFonts w:ascii="Arial" w:hAnsi="Arial" w:cs="Arial"/>
          <w:color w:val="000000" w:themeColor="text1"/>
          <w:sz w:val="22"/>
          <w:szCs w:val="22"/>
        </w:rPr>
        <w:t>Claims for damages against the police were dismissed after an appeal. His information was provided to them, but he claimed they breached their contract and acted negligently. The claimant was unable to appeal. Having recognized that the informant's welfare must be recognized, they recognized that he must be provided with financial support, but only while he is acting as an</w:t>
      </w:r>
      <w:r w:rsidR="00D56C86" w:rsidRPr="00D56C86">
        <w:rPr>
          <w:rStyle w:val="apple-converted-space"/>
          <w:rFonts w:ascii="Arial" w:hAnsi="Arial" w:cs="Arial"/>
          <w:color w:val="000000" w:themeColor="text1"/>
          <w:sz w:val="22"/>
          <w:szCs w:val="22"/>
        </w:rPr>
        <w:t> </w:t>
      </w:r>
      <w:r w:rsidR="00D56C86" w:rsidRPr="00D56C86">
        <w:rPr>
          <w:rStyle w:val="issue-underline"/>
          <w:rFonts w:ascii="Arial" w:hAnsi="Arial" w:cs="Arial"/>
          <w:color w:val="000000" w:themeColor="text1"/>
          <w:sz w:val="22"/>
          <w:szCs w:val="22"/>
        </w:rPr>
        <w:t>informer.</w:t>
      </w:r>
      <w:r w:rsidR="00D56C86" w:rsidRPr="00D56C86">
        <w:rPr>
          <w:rStyle w:val="apple-converted-space"/>
          <w:rFonts w:ascii="Arial" w:hAnsi="Arial" w:cs="Arial"/>
          <w:color w:val="000000" w:themeColor="text1"/>
          <w:sz w:val="22"/>
          <w:szCs w:val="22"/>
        </w:rPr>
        <w:t> </w:t>
      </w:r>
      <w:r w:rsidR="001C618E" w:rsidRPr="001C618E">
        <w:rPr>
          <w:rFonts w:ascii="Arial" w:hAnsi="Arial" w:cs="Arial"/>
          <w:color w:val="000000"/>
          <w:sz w:val="22"/>
          <w:szCs w:val="22"/>
        </w:rPr>
        <w:t xml:space="preserve">Their </w:t>
      </w:r>
      <w:proofErr w:type="gramStart"/>
      <w:r w:rsidR="001C618E" w:rsidRPr="001C618E">
        <w:rPr>
          <w:rFonts w:ascii="Arial" w:hAnsi="Arial" w:cs="Arial"/>
          <w:color w:val="000000"/>
          <w:sz w:val="22"/>
          <w:szCs w:val="22"/>
        </w:rPr>
        <w:t>close proximity</w:t>
      </w:r>
      <w:proofErr w:type="gramEnd"/>
      <w:r w:rsidR="001C618E" w:rsidRPr="001C618E">
        <w:rPr>
          <w:rFonts w:ascii="Arial" w:hAnsi="Arial" w:cs="Arial"/>
          <w:color w:val="000000"/>
          <w:sz w:val="22"/>
          <w:szCs w:val="22"/>
        </w:rPr>
        <w:t xml:space="preserve"> made them liable for the claimant's health and welfare, which may have included </w:t>
      </w:r>
      <w:r w:rsidR="001C618E" w:rsidRPr="001C618E">
        <w:rPr>
          <w:rFonts w:ascii="Arial" w:hAnsi="Arial" w:cs="Arial"/>
          <w:color w:val="000000"/>
          <w:sz w:val="22"/>
          <w:szCs w:val="22"/>
        </w:rPr>
        <w:lastRenderedPageBreak/>
        <w:t>his financial welfare; the claim was based on financial harm.</w:t>
      </w:r>
      <w:r w:rsidR="001C618E">
        <w:rPr>
          <w:rFonts w:ascii="Arial" w:hAnsi="Arial" w:cs="Arial"/>
          <w:color w:val="000000"/>
          <w:sz w:val="22"/>
          <w:szCs w:val="22"/>
        </w:rPr>
        <w:t xml:space="preserve"> </w:t>
      </w:r>
      <w:r w:rsidR="00D56C86" w:rsidRPr="00D56C86">
        <w:rPr>
          <w:rFonts w:ascii="Arial" w:hAnsi="Arial" w:cs="Arial"/>
          <w:color w:val="000000" w:themeColor="text1"/>
          <w:sz w:val="22"/>
          <w:szCs w:val="22"/>
        </w:rPr>
        <w:t>The complexity of the situation must be considered when determining the scope, extent, and standard of care</w:t>
      </w:r>
      <w:r w:rsidR="00D56C86" w:rsidRPr="00350F8B">
        <w:rPr>
          <w:rFonts w:ascii="Arial" w:hAnsi="Arial" w:cs="Arial"/>
          <w:color w:val="000000" w:themeColor="text1"/>
          <w:sz w:val="22"/>
          <w:szCs w:val="22"/>
        </w:rPr>
        <w:t xml:space="preserve">. </w:t>
      </w:r>
      <w:r w:rsidR="00350F8B" w:rsidRPr="00350F8B">
        <w:rPr>
          <w:rFonts w:ascii="Arial" w:hAnsi="Arial" w:cs="Arial"/>
          <w:color w:val="000000"/>
          <w:sz w:val="22"/>
          <w:szCs w:val="22"/>
        </w:rPr>
        <w:t>It was not sufficient for the failings to constitute a breach of duty, although they were present in the specific circumstances.</w:t>
      </w:r>
      <w:r w:rsidR="00350F8B">
        <w:rPr>
          <w:rFonts w:ascii="Arial" w:hAnsi="Arial" w:cs="Arial"/>
          <w:color w:val="000000"/>
          <w:sz w:val="22"/>
          <w:szCs w:val="22"/>
        </w:rPr>
        <w:t xml:space="preserve"> </w:t>
      </w:r>
      <w:r w:rsidR="008E09EA">
        <w:rPr>
          <w:rFonts w:ascii="Arial" w:hAnsi="Arial" w:cs="Arial"/>
          <w:color w:val="000000" w:themeColor="text1"/>
          <w:sz w:val="22"/>
          <w:szCs w:val="22"/>
        </w:rPr>
        <w:t xml:space="preserve">DLS (2021). </w:t>
      </w:r>
    </w:p>
    <w:p w14:paraId="1F30602C" w14:textId="1DE6428A" w:rsidR="00821FC6" w:rsidRDefault="00821FC6" w:rsidP="008E09EA">
      <w:pPr>
        <w:spacing w:before="240" w:after="240"/>
        <w:rPr>
          <w:rFonts w:ascii="Arial" w:hAnsi="Arial" w:cs="Arial"/>
          <w:color w:val="000000" w:themeColor="text1"/>
          <w:sz w:val="22"/>
          <w:szCs w:val="22"/>
        </w:rPr>
      </w:pPr>
    </w:p>
    <w:p w14:paraId="45173467" w14:textId="3D79E67A" w:rsidR="00821FC6" w:rsidRDefault="002D0EB9" w:rsidP="00821FC6">
      <w:pPr>
        <w:spacing w:before="240" w:after="240"/>
        <w:rPr>
          <w:rFonts w:ascii="Arial" w:hAnsi="Arial" w:cs="Arial"/>
          <w:color w:val="000000" w:themeColor="text1"/>
          <w:sz w:val="22"/>
          <w:szCs w:val="22"/>
        </w:rPr>
      </w:pPr>
      <w:r>
        <w:rPr>
          <w:rFonts w:ascii="Arial" w:hAnsi="Arial" w:cs="Arial"/>
          <w:color w:val="000000"/>
          <w:sz w:val="22"/>
          <w:szCs w:val="22"/>
        </w:rPr>
        <w:t>Additionally</w:t>
      </w:r>
      <w:r w:rsidR="00821FC6">
        <w:rPr>
          <w:rFonts w:ascii="Arial" w:hAnsi="Arial" w:cs="Arial"/>
          <w:color w:val="000000"/>
          <w:sz w:val="22"/>
          <w:szCs w:val="22"/>
        </w:rPr>
        <w:t xml:space="preserve">, another case which conveys a fault surrounding a duty of care owed by the police department is </w:t>
      </w:r>
      <w:r w:rsidR="00821FC6" w:rsidRPr="00685402">
        <w:rPr>
          <w:rFonts w:ascii="Arial" w:hAnsi="Arial" w:cs="Arial"/>
          <w:color w:val="000000"/>
          <w:sz w:val="22"/>
          <w:szCs w:val="22"/>
        </w:rPr>
        <w:t>Rigby v CC Northamptonshire</w:t>
      </w:r>
      <w:r w:rsidR="00821FC6">
        <w:rPr>
          <w:rFonts w:ascii="Arial" w:hAnsi="Arial" w:cs="Arial"/>
          <w:color w:val="000000"/>
          <w:sz w:val="22"/>
          <w:szCs w:val="22"/>
        </w:rPr>
        <w:t xml:space="preserve"> [1985]. </w:t>
      </w:r>
      <w:r w:rsidR="00821FC6" w:rsidRPr="00821FC6">
        <w:rPr>
          <w:rFonts w:ascii="Arial" w:hAnsi="Arial" w:cs="Arial"/>
          <w:color w:val="000000" w:themeColor="text1"/>
          <w:sz w:val="22"/>
          <w:szCs w:val="22"/>
        </w:rPr>
        <w:t xml:space="preserve">The plaintiff's gunsmith's shop premises were gassed by the police in order to </w:t>
      </w:r>
      <w:r w:rsidR="00350F8B">
        <w:rPr>
          <w:rFonts w:ascii="Arial" w:hAnsi="Arial" w:cs="Arial"/>
          <w:color w:val="000000" w:themeColor="text1"/>
          <w:sz w:val="22"/>
          <w:szCs w:val="22"/>
        </w:rPr>
        <w:t xml:space="preserve">lure </w:t>
      </w:r>
      <w:r w:rsidR="00821FC6" w:rsidRPr="00821FC6">
        <w:rPr>
          <w:rFonts w:ascii="Arial" w:hAnsi="Arial" w:cs="Arial"/>
          <w:color w:val="000000" w:themeColor="text1"/>
          <w:sz w:val="22"/>
          <w:szCs w:val="22"/>
        </w:rPr>
        <w:t xml:space="preserve">out a </w:t>
      </w:r>
      <w:r w:rsidR="00350F8B" w:rsidRPr="00821FC6">
        <w:rPr>
          <w:rFonts w:ascii="Arial" w:hAnsi="Arial" w:cs="Arial"/>
          <w:color w:val="000000" w:themeColor="text1"/>
          <w:sz w:val="22"/>
          <w:szCs w:val="22"/>
        </w:rPr>
        <w:t>threatening</w:t>
      </w:r>
      <w:r w:rsidR="00821FC6" w:rsidRPr="00821FC6">
        <w:rPr>
          <w:rFonts w:ascii="Arial" w:hAnsi="Arial" w:cs="Arial"/>
          <w:color w:val="000000" w:themeColor="text1"/>
          <w:sz w:val="22"/>
          <w:szCs w:val="22"/>
        </w:rPr>
        <w:t xml:space="preserve"> psychopath, and the police were found liable for negligence. When it came to the negligence action, the defendant had been negligent when he fired a gas canister into the building when there</w:t>
      </w:r>
      <w:r w:rsidR="00821FC6" w:rsidRPr="00821FC6">
        <w:rPr>
          <w:rStyle w:val="apple-converted-space"/>
          <w:rFonts w:ascii="Arial" w:hAnsi="Arial" w:cs="Arial"/>
          <w:color w:val="000000" w:themeColor="text1"/>
          <w:sz w:val="22"/>
          <w:szCs w:val="22"/>
        </w:rPr>
        <w:t> </w:t>
      </w:r>
      <w:r w:rsidR="00821FC6" w:rsidRPr="00821FC6">
        <w:rPr>
          <w:rStyle w:val="issue-underline"/>
          <w:rFonts w:ascii="Arial" w:hAnsi="Arial" w:cs="Arial"/>
          <w:color w:val="000000" w:themeColor="text1"/>
          <w:sz w:val="22"/>
          <w:szCs w:val="22"/>
        </w:rPr>
        <w:t>was</w:t>
      </w:r>
      <w:r w:rsidR="00821FC6" w:rsidRPr="00821FC6">
        <w:rPr>
          <w:rStyle w:val="apple-converted-space"/>
          <w:rFonts w:ascii="Arial" w:hAnsi="Arial" w:cs="Arial"/>
          <w:color w:val="000000" w:themeColor="text1"/>
          <w:sz w:val="22"/>
          <w:szCs w:val="22"/>
        </w:rPr>
        <w:t> </w:t>
      </w:r>
      <w:r w:rsidR="00821FC6" w:rsidRPr="00821FC6">
        <w:rPr>
          <w:rFonts w:ascii="Arial" w:hAnsi="Arial" w:cs="Arial"/>
          <w:color w:val="000000" w:themeColor="text1"/>
          <w:sz w:val="22"/>
          <w:szCs w:val="22"/>
        </w:rPr>
        <w:t xml:space="preserve">no fire-fighting equipment available, because firing the canister in the building involved a significant fire risk and only allowed that hazard to transpire if there had been equipment </w:t>
      </w:r>
      <w:r w:rsidR="00350F8B" w:rsidRPr="00821FC6">
        <w:rPr>
          <w:rFonts w:ascii="Arial" w:hAnsi="Arial" w:cs="Arial"/>
          <w:color w:val="000000" w:themeColor="text1"/>
          <w:sz w:val="22"/>
          <w:szCs w:val="22"/>
        </w:rPr>
        <w:t>presented</w:t>
      </w:r>
      <w:r w:rsidR="00821FC6" w:rsidRPr="00821FC6">
        <w:rPr>
          <w:rFonts w:ascii="Arial" w:hAnsi="Arial" w:cs="Arial"/>
          <w:color w:val="000000" w:themeColor="text1"/>
          <w:sz w:val="22"/>
          <w:szCs w:val="22"/>
        </w:rPr>
        <w:t xml:space="preserve"> to put out a fire at an early </w:t>
      </w:r>
      <w:r w:rsidR="00350F8B" w:rsidRPr="00821FC6">
        <w:rPr>
          <w:rFonts w:ascii="Arial" w:hAnsi="Arial" w:cs="Arial"/>
          <w:color w:val="000000" w:themeColor="text1"/>
          <w:sz w:val="22"/>
          <w:szCs w:val="22"/>
        </w:rPr>
        <w:t>phase</w:t>
      </w:r>
      <w:r w:rsidR="00821FC6" w:rsidRPr="00821FC6">
        <w:rPr>
          <w:rFonts w:ascii="Arial" w:hAnsi="Arial" w:cs="Arial"/>
          <w:color w:val="000000" w:themeColor="text1"/>
          <w:sz w:val="22"/>
          <w:szCs w:val="22"/>
        </w:rPr>
        <w:t>.</w:t>
      </w:r>
      <w:r w:rsidR="00821FC6">
        <w:rPr>
          <w:rFonts w:ascii="Arial" w:hAnsi="Arial" w:cs="Arial"/>
          <w:color w:val="000000" w:themeColor="text1"/>
          <w:sz w:val="22"/>
          <w:szCs w:val="22"/>
        </w:rPr>
        <w:t xml:space="preserve"> </w:t>
      </w:r>
    </w:p>
    <w:p w14:paraId="073D8A7B" w14:textId="5EF64AD4" w:rsidR="00A90B6D" w:rsidRDefault="00A90B6D" w:rsidP="00821FC6">
      <w:pPr>
        <w:spacing w:before="240" w:after="240"/>
        <w:rPr>
          <w:rFonts w:ascii="Arial" w:hAnsi="Arial" w:cs="Arial"/>
          <w:color w:val="000000" w:themeColor="text1"/>
          <w:sz w:val="22"/>
          <w:szCs w:val="22"/>
        </w:rPr>
      </w:pPr>
    </w:p>
    <w:p w14:paraId="612269CB" w14:textId="240BEEE9" w:rsidR="00A90B6D" w:rsidRDefault="00A90B6D" w:rsidP="00A90B6D">
      <w:pPr>
        <w:pStyle w:val="mb-25"/>
        <w:rPr>
          <w:rFonts w:ascii="Arial" w:hAnsi="Arial" w:cs="Arial"/>
          <w:color w:val="000000" w:themeColor="text1"/>
          <w:sz w:val="22"/>
          <w:szCs w:val="22"/>
        </w:rPr>
      </w:pPr>
      <w:r>
        <w:rPr>
          <w:rFonts w:ascii="Arial" w:hAnsi="Arial" w:cs="Arial"/>
          <w:color w:val="000000" w:themeColor="text1"/>
          <w:sz w:val="22"/>
          <w:szCs w:val="22"/>
        </w:rPr>
        <w:t xml:space="preserve">In </w:t>
      </w:r>
      <w:r w:rsidRPr="00A90B6D">
        <w:rPr>
          <w:rFonts w:ascii="Arial" w:hAnsi="Arial" w:cs="Arial"/>
          <w:color w:val="000000" w:themeColor="text1"/>
          <w:sz w:val="22"/>
          <w:szCs w:val="22"/>
        </w:rPr>
        <w:t>Clifford v Charles Challen &amp; Son (1951)</w:t>
      </w:r>
      <w:r w:rsidR="004334BF">
        <w:rPr>
          <w:rFonts w:ascii="Arial" w:hAnsi="Arial" w:cs="Arial"/>
          <w:color w:val="000000" w:themeColor="text1"/>
          <w:sz w:val="22"/>
          <w:szCs w:val="22"/>
        </w:rPr>
        <w:t>,</w:t>
      </w:r>
      <w:r>
        <w:rPr>
          <w:rFonts w:ascii="Arial" w:hAnsi="Arial" w:cs="Arial"/>
          <w:color w:val="000000" w:themeColor="text1"/>
          <w:sz w:val="22"/>
          <w:szCs w:val="22"/>
        </w:rPr>
        <w:t xml:space="preserve"> </w:t>
      </w:r>
      <w:r w:rsidR="002E51A1">
        <w:rPr>
          <w:rFonts w:ascii="Arial" w:hAnsi="Arial" w:cs="Arial"/>
          <w:color w:val="000000" w:themeColor="text1"/>
          <w:sz w:val="22"/>
          <w:szCs w:val="22"/>
        </w:rPr>
        <w:t xml:space="preserve">a duty of care was owed from the employer to their employees. A </w:t>
      </w:r>
      <w:r w:rsidRPr="00A90B6D">
        <w:rPr>
          <w:rFonts w:ascii="Arial" w:hAnsi="Arial" w:cs="Arial"/>
          <w:color w:val="000000" w:themeColor="text1"/>
          <w:sz w:val="22"/>
          <w:szCs w:val="22"/>
        </w:rPr>
        <w:t xml:space="preserve">safe </w:t>
      </w:r>
      <w:r w:rsidR="00AA0566">
        <w:rPr>
          <w:rFonts w:ascii="Arial" w:hAnsi="Arial" w:cs="Arial"/>
          <w:color w:val="000000" w:themeColor="text1"/>
          <w:sz w:val="22"/>
          <w:szCs w:val="22"/>
        </w:rPr>
        <w:t xml:space="preserve">working environment </w:t>
      </w:r>
      <w:r w:rsidRPr="00A90B6D">
        <w:rPr>
          <w:rFonts w:ascii="Arial" w:hAnsi="Arial" w:cs="Arial"/>
          <w:color w:val="000000" w:themeColor="text1"/>
          <w:sz w:val="22"/>
          <w:szCs w:val="22"/>
        </w:rPr>
        <w:t>requires workers to be supplied with protective equipment wherever it is needed and to be supervised while using it, as the Court of Appeal concluded</w:t>
      </w:r>
      <w:r>
        <w:rPr>
          <w:rFonts w:ascii="Arial" w:hAnsi="Arial" w:cs="Arial"/>
          <w:color w:val="000000" w:themeColor="text1"/>
          <w:sz w:val="22"/>
          <w:szCs w:val="22"/>
        </w:rPr>
        <w:t xml:space="preserve">. </w:t>
      </w:r>
      <w:r w:rsidRPr="00A90B6D">
        <w:rPr>
          <w:rFonts w:ascii="Arial" w:hAnsi="Arial" w:cs="Arial"/>
          <w:color w:val="000000" w:themeColor="text1"/>
          <w:sz w:val="22"/>
          <w:szCs w:val="22"/>
        </w:rPr>
        <w:t xml:space="preserve">In Denning LJ's view, workers undertaking routine tasks should be supervised to ensure </w:t>
      </w:r>
      <w:r w:rsidR="00AA0566" w:rsidRPr="00A90B6D">
        <w:rPr>
          <w:rFonts w:ascii="Arial" w:hAnsi="Arial" w:cs="Arial"/>
          <w:color w:val="000000" w:themeColor="text1"/>
          <w:sz w:val="22"/>
          <w:szCs w:val="22"/>
        </w:rPr>
        <w:t>carelessness</w:t>
      </w:r>
      <w:r w:rsidRPr="00A90B6D">
        <w:rPr>
          <w:rFonts w:ascii="Arial" w:hAnsi="Arial" w:cs="Arial"/>
          <w:color w:val="000000" w:themeColor="text1"/>
          <w:sz w:val="22"/>
          <w:szCs w:val="22"/>
        </w:rPr>
        <w:t xml:space="preserve"> is not tolerated since they are often unaware of their own safety. Foreman encouraged employees not to apply the barrier cream provided by the employer to protect their skin. A member of</w:t>
      </w:r>
      <w:r w:rsidRPr="00A90B6D">
        <w:rPr>
          <w:rStyle w:val="apple-converted-space"/>
          <w:rFonts w:ascii="Arial" w:hAnsi="Arial" w:cs="Arial"/>
          <w:color w:val="000000" w:themeColor="text1"/>
          <w:sz w:val="22"/>
          <w:szCs w:val="22"/>
        </w:rPr>
        <w:t> </w:t>
      </w:r>
      <w:r w:rsidRPr="00A90B6D">
        <w:rPr>
          <w:rStyle w:val="issue-underline"/>
          <w:rFonts w:ascii="Arial" w:hAnsi="Arial" w:cs="Arial"/>
          <w:color w:val="000000" w:themeColor="text1"/>
          <w:sz w:val="22"/>
          <w:szCs w:val="22"/>
        </w:rPr>
        <w:t>staff developed</w:t>
      </w:r>
      <w:r w:rsidRPr="00A90B6D">
        <w:rPr>
          <w:rStyle w:val="apple-converted-space"/>
          <w:rFonts w:ascii="Arial" w:hAnsi="Arial" w:cs="Arial"/>
          <w:color w:val="000000" w:themeColor="text1"/>
          <w:sz w:val="22"/>
          <w:szCs w:val="22"/>
        </w:rPr>
        <w:t> </w:t>
      </w:r>
      <w:r w:rsidRPr="00A90B6D">
        <w:rPr>
          <w:rFonts w:ascii="Arial" w:hAnsi="Arial" w:cs="Arial"/>
          <w:color w:val="000000" w:themeColor="text1"/>
          <w:sz w:val="22"/>
          <w:szCs w:val="22"/>
        </w:rPr>
        <w:t xml:space="preserve">dermatitis. Since the employee was encouraged not to use the equipment provided, the employer was held liable because he breached his duty of care </w:t>
      </w:r>
      <w:r w:rsidR="00350F8B" w:rsidRPr="00A90B6D">
        <w:rPr>
          <w:rFonts w:ascii="Arial" w:hAnsi="Arial" w:cs="Arial"/>
          <w:color w:val="000000" w:themeColor="text1"/>
          <w:sz w:val="22"/>
          <w:szCs w:val="22"/>
        </w:rPr>
        <w:t>concerning</w:t>
      </w:r>
      <w:r w:rsidRPr="00A90B6D">
        <w:rPr>
          <w:rFonts w:ascii="Arial" w:hAnsi="Arial" w:cs="Arial"/>
          <w:color w:val="000000" w:themeColor="text1"/>
          <w:sz w:val="22"/>
          <w:szCs w:val="22"/>
        </w:rPr>
        <w:t xml:space="preserve"> the employee.</w:t>
      </w:r>
      <w:r>
        <w:rPr>
          <w:rFonts w:ascii="Arial" w:hAnsi="Arial" w:cs="Arial"/>
          <w:color w:val="000000" w:themeColor="text1"/>
          <w:sz w:val="22"/>
          <w:szCs w:val="22"/>
        </w:rPr>
        <w:t xml:space="preserve"> </w:t>
      </w:r>
    </w:p>
    <w:p w14:paraId="19549215" w14:textId="5C74F9E2" w:rsidR="00887E5A" w:rsidRDefault="00887E5A" w:rsidP="00A90B6D">
      <w:pPr>
        <w:pStyle w:val="mb-25"/>
        <w:rPr>
          <w:rFonts w:ascii="Arial" w:hAnsi="Arial" w:cs="Arial"/>
          <w:color w:val="000000" w:themeColor="text1"/>
          <w:sz w:val="22"/>
          <w:szCs w:val="22"/>
        </w:rPr>
      </w:pPr>
    </w:p>
    <w:p w14:paraId="457D8EFA" w14:textId="33DCE20D" w:rsidR="000A7280" w:rsidRPr="00350F8B" w:rsidRDefault="00887E5A" w:rsidP="000A7280">
      <w:pPr>
        <w:pStyle w:val="mb-25"/>
        <w:rPr>
          <w:color w:val="000000"/>
        </w:rPr>
      </w:pPr>
      <w:r>
        <w:rPr>
          <w:rFonts w:ascii="Arial" w:hAnsi="Arial" w:cs="Arial"/>
          <w:color w:val="000000" w:themeColor="text1"/>
          <w:sz w:val="22"/>
          <w:szCs w:val="22"/>
        </w:rPr>
        <w:t>Regarding reform, i</w:t>
      </w:r>
      <w:r w:rsidRPr="00887E5A">
        <w:rPr>
          <w:rFonts w:ascii="Arial" w:hAnsi="Arial" w:cs="Arial"/>
          <w:color w:val="000000" w:themeColor="text1"/>
          <w:sz w:val="22"/>
          <w:szCs w:val="22"/>
        </w:rPr>
        <w:t>t was decided not to implement the Law Commission's reform suggestions that would have protected against uncontrolled liability while providing liability for psychiatric illness through negligence.</w:t>
      </w:r>
      <w:r w:rsidRPr="00887E5A">
        <w:rPr>
          <w:rStyle w:val="apple-converted-space"/>
          <w:rFonts w:ascii="Arial" w:hAnsi="Arial" w:cs="Arial"/>
          <w:color w:val="000000" w:themeColor="text1"/>
          <w:sz w:val="22"/>
          <w:szCs w:val="22"/>
        </w:rPr>
        <w:t> </w:t>
      </w:r>
      <w:r w:rsidR="000A7280" w:rsidRPr="000A7280">
        <w:rPr>
          <w:rFonts w:ascii="Arial" w:hAnsi="Arial" w:cs="Arial"/>
          <w:color w:val="000000" w:themeColor="text1"/>
          <w:sz w:val="22"/>
          <w:szCs w:val="22"/>
        </w:rPr>
        <w:t>It is</w:t>
      </w:r>
      <w:r w:rsidR="000A7280" w:rsidRPr="000A7280">
        <w:rPr>
          <w:rStyle w:val="apple-converted-space"/>
          <w:rFonts w:ascii="Arial" w:hAnsi="Arial" w:cs="Arial"/>
          <w:color w:val="000000" w:themeColor="text1"/>
          <w:sz w:val="22"/>
          <w:szCs w:val="22"/>
        </w:rPr>
        <w:t> </w:t>
      </w:r>
      <w:r w:rsidR="000A7280" w:rsidRPr="000A7280">
        <w:rPr>
          <w:rStyle w:val="issue-underline"/>
          <w:rFonts w:ascii="Arial" w:hAnsi="Arial" w:cs="Arial"/>
          <w:color w:val="000000" w:themeColor="text1"/>
          <w:sz w:val="22"/>
          <w:szCs w:val="22"/>
        </w:rPr>
        <w:t>unsatisfactory</w:t>
      </w:r>
      <w:r w:rsidR="000A7280" w:rsidRPr="000A7280">
        <w:rPr>
          <w:rStyle w:val="apple-converted-space"/>
          <w:rFonts w:ascii="Arial" w:hAnsi="Arial" w:cs="Arial"/>
          <w:color w:val="000000" w:themeColor="text1"/>
          <w:sz w:val="22"/>
          <w:szCs w:val="22"/>
        </w:rPr>
        <w:t> </w:t>
      </w:r>
      <w:r w:rsidR="000A7280" w:rsidRPr="000A7280">
        <w:rPr>
          <w:rFonts w:ascii="Arial" w:hAnsi="Arial" w:cs="Arial"/>
          <w:color w:val="000000" w:themeColor="text1"/>
          <w:sz w:val="22"/>
          <w:szCs w:val="22"/>
        </w:rPr>
        <w:t xml:space="preserve">to determine whether medical negligence is liable for psychiatric illness. </w:t>
      </w:r>
      <w:r w:rsidR="00AA0566">
        <w:rPr>
          <w:rFonts w:ascii="Arial" w:hAnsi="Arial" w:cs="Arial"/>
          <w:color w:val="000000" w:themeColor="text1"/>
          <w:sz w:val="22"/>
          <w:szCs w:val="22"/>
        </w:rPr>
        <w:t>As</w:t>
      </w:r>
      <w:r w:rsidR="000A7280" w:rsidRPr="000A7280">
        <w:rPr>
          <w:rFonts w:ascii="Arial" w:hAnsi="Arial" w:cs="Arial"/>
          <w:color w:val="000000" w:themeColor="text1"/>
          <w:sz w:val="22"/>
          <w:szCs w:val="22"/>
        </w:rPr>
        <w:t xml:space="preserve"> result of the Hillsborough Stadium disaster, psychiatric claims arising from negligence gained increased exposure. Despite officers receiving compensation, nearly all relatives and survivors </w:t>
      </w:r>
      <w:r w:rsidR="000A7280">
        <w:rPr>
          <w:rFonts w:ascii="Arial" w:hAnsi="Arial" w:cs="Arial"/>
          <w:color w:val="000000" w:themeColor="text1"/>
          <w:sz w:val="22"/>
          <w:szCs w:val="22"/>
        </w:rPr>
        <w:t xml:space="preserve">were </w:t>
      </w:r>
      <w:r w:rsidR="000A7280" w:rsidRPr="000A7280">
        <w:rPr>
          <w:rFonts w:ascii="Arial" w:hAnsi="Arial" w:cs="Arial"/>
          <w:color w:val="000000" w:themeColor="text1"/>
          <w:sz w:val="22"/>
          <w:szCs w:val="22"/>
        </w:rPr>
        <w:t>unsuccessful to recover compensation.</w:t>
      </w:r>
      <w:r w:rsidR="000A7280" w:rsidRPr="000A7280">
        <w:rPr>
          <w:rStyle w:val="apple-converted-space"/>
          <w:rFonts w:ascii="Arial" w:hAnsi="Arial" w:cs="Arial"/>
          <w:color w:val="000000" w:themeColor="text1"/>
          <w:sz w:val="22"/>
          <w:szCs w:val="22"/>
        </w:rPr>
        <w:t> </w:t>
      </w:r>
      <w:r w:rsidR="00350F8B" w:rsidRPr="00350F8B">
        <w:rPr>
          <w:rFonts w:ascii="Arial" w:hAnsi="Arial" w:cs="Arial"/>
          <w:color w:val="000000"/>
          <w:sz w:val="22"/>
          <w:szCs w:val="22"/>
        </w:rPr>
        <w:t>An approach to reform is to identify five issues that are applicable generally to liability for negligently induced psychiatric illness.</w:t>
      </w:r>
      <w:r w:rsidR="000A7280" w:rsidRPr="000A7280">
        <w:rPr>
          <w:rFonts w:ascii="Arial" w:hAnsi="Arial" w:cs="Arial"/>
          <w:color w:val="000000"/>
          <w:sz w:val="22"/>
          <w:szCs w:val="22"/>
        </w:rPr>
        <w:t xml:space="preserve"> A </w:t>
      </w:r>
      <w:r w:rsidR="00350F8B" w:rsidRPr="000A7280">
        <w:rPr>
          <w:rFonts w:ascii="Arial" w:hAnsi="Arial" w:cs="Arial"/>
          <w:color w:val="000000"/>
          <w:sz w:val="22"/>
          <w:szCs w:val="22"/>
        </w:rPr>
        <w:t>distinguishable</w:t>
      </w:r>
      <w:r w:rsidR="000A7280" w:rsidRPr="000A7280">
        <w:rPr>
          <w:rFonts w:ascii="Arial" w:hAnsi="Arial" w:cs="Arial"/>
          <w:color w:val="000000"/>
          <w:sz w:val="22"/>
          <w:szCs w:val="22"/>
        </w:rPr>
        <w:t xml:space="preserve"> mental illness must be established, a reasonable foreseeability test must be met, the shock condition must be met, and secondary and primary victims must be classified according to their severity.</w:t>
      </w:r>
      <w:r w:rsidR="004334BF">
        <w:rPr>
          <w:rFonts w:ascii="Arial" w:hAnsi="Arial" w:cs="Arial"/>
          <w:color w:val="000000"/>
          <w:sz w:val="22"/>
          <w:szCs w:val="22"/>
        </w:rPr>
        <w:t xml:space="preserve"> Law Commission (2022). </w:t>
      </w:r>
    </w:p>
    <w:p w14:paraId="668EAE2D" w14:textId="77777777" w:rsidR="00DD5252" w:rsidRDefault="00DD5252" w:rsidP="00DD5252">
      <w:pPr>
        <w:pStyle w:val="mb-25"/>
        <w:rPr>
          <w:color w:val="000000"/>
        </w:rPr>
      </w:pPr>
    </w:p>
    <w:p w14:paraId="770DB307" w14:textId="77777777" w:rsidR="00365734" w:rsidRDefault="00350F8B" w:rsidP="00365734">
      <w:pPr>
        <w:pStyle w:val="mb-25"/>
        <w:rPr>
          <w:rStyle w:val="apple-converted-space"/>
          <w:rFonts w:ascii="Arial" w:hAnsi="Arial" w:cs="Arial"/>
          <w:color w:val="000000" w:themeColor="text1"/>
          <w:sz w:val="22"/>
          <w:szCs w:val="22"/>
        </w:rPr>
      </w:pPr>
      <w:r w:rsidRPr="00350F8B">
        <w:rPr>
          <w:rFonts w:ascii="Arial" w:hAnsi="Arial" w:cs="Arial"/>
          <w:color w:val="000000"/>
          <w:sz w:val="22"/>
          <w:szCs w:val="22"/>
        </w:rPr>
        <w:t>In conclusion, you should have an in-depth understanding of how the Caparo test can be used to establish a duty of care.</w:t>
      </w:r>
      <w:r>
        <w:rPr>
          <w:rFonts w:ascii="Arial" w:hAnsi="Arial" w:cs="Arial"/>
          <w:color w:val="000000"/>
          <w:sz w:val="22"/>
          <w:szCs w:val="22"/>
        </w:rPr>
        <w:t xml:space="preserve"> </w:t>
      </w:r>
      <w:r w:rsidR="001A15B3" w:rsidRPr="001A15B3">
        <w:rPr>
          <w:rFonts w:ascii="Arial" w:hAnsi="Arial" w:cs="Arial"/>
          <w:color w:val="000000" w:themeColor="text1"/>
          <w:sz w:val="22"/>
          <w:szCs w:val="22"/>
        </w:rPr>
        <w:t xml:space="preserve">The courts should be prepared to impose a duty of care in relation to emergency services. This is because negligence caused by a party who owes the claimant a duty of care should be applicable to a compensation claim. </w:t>
      </w:r>
      <w:r w:rsidRPr="00350F8B">
        <w:rPr>
          <w:rFonts w:ascii="Arial" w:hAnsi="Arial" w:cs="Arial"/>
          <w:color w:val="000000"/>
          <w:sz w:val="22"/>
          <w:szCs w:val="22"/>
        </w:rPr>
        <w:t xml:space="preserve">The court must consider several factors, including whether the defendant has a reasonable expectation of harming the claimant as a result of his carelessness, whether the defendant and claimant are in </w:t>
      </w:r>
      <w:proofErr w:type="gramStart"/>
      <w:r w:rsidRPr="00350F8B">
        <w:rPr>
          <w:rFonts w:ascii="Arial" w:hAnsi="Arial" w:cs="Arial"/>
          <w:color w:val="000000"/>
          <w:sz w:val="22"/>
          <w:szCs w:val="22"/>
        </w:rPr>
        <w:t>close proximity</w:t>
      </w:r>
      <w:proofErr w:type="gramEnd"/>
      <w:r w:rsidRPr="00350F8B">
        <w:rPr>
          <w:rFonts w:ascii="Arial" w:hAnsi="Arial" w:cs="Arial"/>
          <w:color w:val="000000"/>
          <w:sz w:val="22"/>
          <w:szCs w:val="22"/>
        </w:rPr>
        <w:t>, and whether there is a reasonable belief that the defendant owes the claimant a duty of care under fairness, justice, and reasonableness.</w:t>
      </w:r>
      <w:r>
        <w:rPr>
          <w:color w:val="000000"/>
        </w:rPr>
        <w:t xml:space="preserve"> </w:t>
      </w:r>
      <w:r w:rsidR="00F81EED">
        <w:rPr>
          <w:rStyle w:val="apple-converted-space"/>
          <w:rFonts w:ascii="Arial" w:hAnsi="Arial" w:cs="Arial"/>
          <w:color w:val="000000" w:themeColor="text1"/>
          <w:sz w:val="22"/>
          <w:szCs w:val="22"/>
        </w:rPr>
        <w:t xml:space="preserve">Mullis and Oliphant (2011). </w:t>
      </w:r>
    </w:p>
    <w:p w14:paraId="1E2F9363" w14:textId="042ABFD3" w:rsidR="00145A75" w:rsidRPr="00145A75" w:rsidRDefault="00685402" w:rsidP="00365734">
      <w:pPr>
        <w:pStyle w:val="mb-25"/>
        <w:rPr>
          <w:color w:val="000000"/>
        </w:rPr>
      </w:pPr>
      <w:r w:rsidRPr="00685402">
        <w:rPr>
          <w:rFonts w:ascii="Arial" w:hAnsi="Arial" w:cs="Arial"/>
          <w:b/>
          <w:bCs/>
          <w:color w:val="000000"/>
          <w:sz w:val="22"/>
          <w:szCs w:val="22"/>
          <w:u w:val="single"/>
        </w:rPr>
        <w:lastRenderedPageBreak/>
        <w:t>References:</w:t>
      </w:r>
      <w:r w:rsidRPr="00685402">
        <w:rPr>
          <w:rFonts w:ascii="Arial" w:hAnsi="Arial" w:cs="Arial"/>
          <w:color w:val="000000"/>
          <w:sz w:val="22"/>
          <w:szCs w:val="22"/>
        </w:rPr>
        <w:t> </w:t>
      </w:r>
    </w:p>
    <w:p w14:paraId="3511CE88" w14:textId="77777777" w:rsidR="00A60AE0" w:rsidRDefault="00A60AE0" w:rsidP="00F14348">
      <w:pPr>
        <w:pStyle w:val="NormalWeb"/>
        <w:rPr>
          <w:rFonts w:ascii="Arial" w:hAnsi="Arial" w:cs="Arial"/>
          <w:color w:val="000000" w:themeColor="text1"/>
          <w:sz w:val="22"/>
          <w:szCs w:val="22"/>
        </w:rPr>
      </w:pPr>
      <w:r w:rsidRPr="00A90B6D">
        <w:rPr>
          <w:rFonts w:ascii="Arial" w:hAnsi="Arial" w:cs="Arial"/>
          <w:color w:val="000000" w:themeColor="text1"/>
          <w:sz w:val="22"/>
          <w:szCs w:val="22"/>
        </w:rPr>
        <w:t>Clifford v Charles Challen &amp; Son (1951)</w:t>
      </w:r>
      <w:r>
        <w:rPr>
          <w:rFonts w:ascii="Arial" w:hAnsi="Arial" w:cs="Arial"/>
          <w:color w:val="000000" w:themeColor="text1"/>
          <w:sz w:val="22"/>
          <w:szCs w:val="22"/>
        </w:rPr>
        <w:t xml:space="preserve">, Chartered institute of legal executives, </w:t>
      </w:r>
      <w:r>
        <w:rPr>
          <w:rFonts w:ascii="Arial" w:hAnsi="Arial" w:cs="Arial"/>
          <w:i/>
          <w:iCs/>
          <w:color w:val="000000" w:themeColor="text1"/>
          <w:sz w:val="22"/>
          <w:szCs w:val="22"/>
        </w:rPr>
        <w:t xml:space="preserve">Law of tort, </w:t>
      </w:r>
      <w:r>
        <w:rPr>
          <w:rFonts w:ascii="Arial" w:hAnsi="Arial" w:cs="Arial"/>
          <w:color w:val="000000" w:themeColor="text1"/>
          <w:sz w:val="22"/>
          <w:szCs w:val="22"/>
        </w:rPr>
        <w:t xml:space="preserve">[online], Available at: </w:t>
      </w:r>
      <w:hyperlink r:id="rId7" w:history="1">
        <w:r w:rsidRPr="00F7455D">
          <w:rPr>
            <w:rStyle w:val="Hyperlink"/>
            <w:rFonts w:ascii="Arial" w:hAnsi="Arial" w:cs="Arial"/>
            <w:sz w:val="22"/>
            <w:szCs w:val="22"/>
          </w:rPr>
          <w:t>https://www.cilex.org.uk/~/media/pdf_documents/main_cilex/education/study_pdfs/ce_reports/june_2021/l6/13_ce_comments_with_suggested_points_for_responses_final.pdf?la=en</w:t>
        </w:r>
      </w:hyperlink>
      <w:r>
        <w:rPr>
          <w:rFonts w:ascii="Arial" w:hAnsi="Arial" w:cs="Arial"/>
          <w:color w:val="000000" w:themeColor="text1"/>
          <w:sz w:val="22"/>
          <w:szCs w:val="22"/>
        </w:rPr>
        <w:t>, (Accessed: 24</w:t>
      </w:r>
      <w:r w:rsidRPr="00887E5A">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October 2022). </w:t>
      </w:r>
    </w:p>
    <w:p w14:paraId="072CFD05" w14:textId="77777777" w:rsidR="00A60AE0" w:rsidRDefault="00A60AE0" w:rsidP="00F14348">
      <w:pPr>
        <w:pStyle w:val="NormalWeb"/>
        <w:rPr>
          <w:rFonts w:ascii="Arial" w:hAnsi="Arial" w:cs="Arial"/>
          <w:color w:val="000000" w:themeColor="text1"/>
          <w:sz w:val="22"/>
          <w:szCs w:val="22"/>
        </w:rPr>
      </w:pPr>
      <w:r>
        <w:rPr>
          <w:rFonts w:ascii="Arial" w:hAnsi="Arial" w:cs="Arial"/>
          <w:color w:val="000000" w:themeColor="text1"/>
          <w:sz w:val="22"/>
          <w:szCs w:val="22"/>
        </w:rPr>
        <w:t xml:space="preserve">Cooke (2007), Law of Tort, Eighth Edition, Pearson Education Limited. </w:t>
      </w:r>
    </w:p>
    <w:p w14:paraId="63F3697A" w14:textId="77777777" w:rsidR="00A60AE0" w:rsidRDefault="00A60AE0" w:rsidP="00685402">
      <w:pPr>
        <w:rPr>
          <w:rFonts w:ascii="Arial" w:hAnsi="Arial" w:cs="Arial"/>
          <w:color w:val="000000"/>
          <w:sz w:val="22"/>
          <w:szCs w:val="22"/>
        </w:rPr>
      </w:pPr>
      <w:r w:rsidRPr="00685402">
        <w:rPr>
          <w:rFonts w:ascii="Arial" w:hAnsi="Arial" w:cs="Arial"/>
          <w:color w:val="000000"/>
          <w:sz w:val="22"/>
          <w:szCs w:val="22"/>
        </w:rPr>
        <w:t>Deakin</w:t>
      </w:r>
      <w:r>
        <w:rPr>
          <w:rFonts w:ascii="Arial" w:hAnsi="Arial" w:cs="Arial"/>
          <w:color w:val="000000"/>
          <w:sz w:val="22"/>
          <w:szCs w:val="22"/>
        </w:rPr>
        <w:t xml:space="preserve">. S </w:t>
      </w:r>
      <w:r w:rsidRPr="00685402">
        <w:rPr>
          <w:rFonts w:ascii="Arial" w:hAnsi="Arial" w:cs="Arial"/>
          <w:color w:val="000000"/>
          <w:sz w:val="22"/>
          <w:szCs w:val="22"/>
        </w:rPr>
        <w:t>and Adams</w:t>
      </w:r>
      <w:r>
        <w:rPr>
          <w:rFonts w:ascii="Arial" w:hAnsi="Arial" w:cs="Arial"/>
          <w:color w:val="000000"/>
          <w:sz w:val="22"/>
          <w:szCs w:val="22"/>
        </w:rPr>
        <w:t xml:space="preserve">. Z </w:t>
      </w:r>
      <w:r w:rsidRPr="00685402">
        <w:rPr>
          <w:rFonts w:ascii="Arial" w:hAnsi="Arial" w:cs="Arial"/>
          <w:color w:val="000000"/>
          <w:sz w:val="22"/>
          <w:szCs w:val="22"/>
        </w:rPr>
        <w:t xml:space="preserve">(2019), </w:t>
      </w:r>
      <w:r w:rsidRPr="00685402">
        <w:rPr>
          <w:rFonts w:ascii="Arial" w:hAnsi="Arial" w:cs="Arial"/>
          <w:i/>
          <w:iCs/>
          <w:color w:val="000000"/>
          <w:sz w:val="22"/>
          <w:szCs w:val="22"/>
        </w:rPr>
        <w:t xml:space="preserve">Tort Law, </w:t>
      </w:r>
      <w:r w:rsidRPr="00685402">
        <w:rPr>
          <w:rFonts w:ascii="Arial" w:hAnsi="Arial" w:cs="Arial"/>
          <w:color w:val="000000"/>
          <w:sz w:val="22"/>
          <w:szCs w:val="22"/>
        </w:rPr>
        <w:t>Eighth Edition, Oxford University Press.</w:t>
      </w:r>
    </w:p>
    <w:p w14:paraId="0C226429" w14:textId="77777777" w:rsidR="00A60AE0" w:rsidRDefault="00A60AE0" w:rsidP="00554E5B">
      <w:pPr>
        <w:pStyle w:val="NormalWeb"/>
        <w:rPr>
          <w:rFonts w:ascii="Arial" w:hAnsi="Arial" w:cs="Arial"/>
          <w:color w:val="000000" w:themeColor="text1"/>
          <w:sz w:val="22"/>
          <w:szCs w:val="22"/>
        </w:rPr>
      </w:pPr>
      <w:r>
        <w:rPr>
          <w:rFonts w:ascii="Arial" w:hAnsi="Arial" w:cs="Arial"/>
          <w:color w:val="000000" w:themeColor="text1"/>
          <w:sz w:val="22"/>
          <w:szCs w:val="22"/>
        </w:rPr>
        <w:t xml:space="preserve">DLS (2021), </w:t>
      </w:r>
      <w:r w:rsidRPr="008E09EA">
        <w:rPr>
          <w:rFonts w:ascii="Arial" w:hAnsi="Arial" w:cs="Arial"/>
          <w:i/>
          <w:iCs/>
          <w:color w:val="000000" w:themeColor="text1"/>
          <w:sz w:val="22"/>
          <w:szCs w:val="22"/>
        </w:rPr>
        <w:t>An Informer v A Chief Constable: CA 29 Feb 2012</w:t>
      </w:r>
      <w:r>
        <w:rPr>
          <w:rFonts w:ascii="Arial" w:hAnsi="Arial" w:cs="Arial"/>
          <w:color w:val="000000" w:themeColor="text1"/>
          <w:sz w:val="22"/>
          <w:szCs w:val="22"/>
        </w:rPr>
        <w:t xml:space="preserve">, swarb.co.uk, [online], Available at: </w:t>
      </w:r>
      <w:hyperlink r:id="rId8" w:history="1">
        <w:r w:rsidRPr="009C2018">
          <w:rPr>
            <w:rStyle w:val="Hyperlink"/>
            <w:rFonts w:ascii="Arial" w:hAnsi="Arial" w:cs="Arial"/>
            <w:sz w:val="22"/>
            <w:szCs w:val="22"/>
          </w:rPr>
          <w:t>https://swarb.co.uk/an-informer-v-a-chief-constable-ca-29-feb-2012/</w:t>
        </w:r>
      </w:hyperlink>
      <w:r>
        <w:rPr>
          <w:rFonts w:ascii="Arial" w:hAnsi="Arial" w:cs="Arial"/>
          <w:color w:val="000000" w:themeColor="text1"/>
          <w:sz w:val="22"/>
          <w:szCs w:val="22"/>
        </w:rPr>
        <w:t>, (Accessed: 21</w:t>
      </w:r>
      <w:r w:rsidRPr="008E09EA">
        <w:rPr>
          <w:rFonts w:ascii="Arial" w:hAnsi="Arial" w:cs="Arial"/>
          <w:color w:val="000000" w:themeColor="text1"/>
          <w:sz w:val="22"/>
          <w:szCs w:val="22"/>
          <w:vertAlign w:val="superscript"/>
        </w:rPr>
        <w:t>st</w:t>
      </w:r>
      <w:r>
        <w:rPr>
          <w:rFonts w:ascii="Arial" w:hAnsi="Arial" w:cs="Arial"/>
          <w:color w:val="000000" w:themeColor="text1"/>
          <w:sz w:val="22"/>
          <w:szCs w:val="22"/>
        </w:rPr>
        <w:t xml:space="preserve"> October 2022). </w:t>
      </w:r>
    </w:p>
    <w:p w14:paraId="1E692F85" w14:textId="77777777" w:rsidR="00A60AE0" w:rsidRDefault="00A60AE0" w:rsidP="00F14348">
      <w:pPr>
        <w:pStyle w:val="NormalWeb"/>
        <w:rPr>
          <w:rFonts w:ascii="Arial" w:hAnsi="Arial" w:cs="Arial"/>
          <w:color w:val="000000" w:themeColor="text1"/>
          <w:sz w:val="22"/>
          <w:szCs w:val="22"/>
        </w:rPr>
      </w:pPr>
      <w:r>
        <w:rPr>
          <w:rFonts w:ascii="Arial" w:hAnsi="Arial" w:cs="Arial"/>
          <w:color w:val="000000" w:themeColor="text1"/>
          <w:sz w:val="22"/>
          <w:szCs w:val="22"/>
        </w:rPr>
        <w:t xml:space="preserve">Giliker (2014), </w:t>
      </w:r>
      <w:r w:rsidRPr="00892850">
        <w:rPr>
          <w:rFonts w:ascii="Arial" w:hAnsi="Arial" w:cs="Arial"/>
          <w:i/>
          <w:iCs/>
          <w:color w:val="000000" w:themeColor="text1"/>
          <w:sz w:val="22"/>
          <w:szCs w:val="22"/>
        </w:rPr>
        <w:t>Tort</w:t>
      </w:r>
      <w:r>
        <w:rPr>
          <w:rFonts w:ascii="Arial" w:hAnsi="Arial" w:cs="Arial"/>
          <w:color w:val="000000" w:themeColor="text1"/>
          <w:sz w:val="22"/>
          <w:szCs w:val="22"/>
        </w:rPr>
        <w:t>, Fifth Edition, Sweet and Maxwell</w:t>
      </w:r>
    </w:p>
    <w:p w14:paraId="4450C4C0" w14:textId="77777777" w:rsidR="00A60AE0" w:rsidRDefault="00A60AE0" w:rsidP="00D50DD3">
      <w:pPr>
        <w:pStyle w:val="NormalWeb"/>
        <w:rPr>
          <w:rFonts w:ascii="Arial" w:hAnsi="Arial" w:cs="Arial"/>
          <w:sz w:val="22"/>
          <w:szCs w:val="22"/>
        </w:rPr>
      </w:pPr>
      <w:r>
        <w:rPr>
          <w:rFonts w:ascii="Arial" w:hAnsi="Arial" w:cs="Arial"/>
          <w:sz w:val="22"/>
          <w:szCs w:val="22"/>
        </w:rPr>
        <w:t xml:space="preserve">Horsey. K and Rackley. E (2021), </w:t>
      </w:r>
      <w:r>
        <w:rPr>
          <w:rFonts w:ascii="Arial" w:hAnsi="Arial" w:cs="Arial"/>
          <w:i/>
          <w:iCs/>
          <w:sz w:val="22"/>
          <w:szCs w:val="22"/>
        </w:rPr>
        <w:t xml:space="preserve">Tort Law, </w:t>
      </w:r>
      <w:r>
        <w:rPr>
          <w:rFonts w:ascii="Arial" w:hAnsi="Arial" w:cs="Arial"/>
          <w:sz w:val="22"/>
          <w:szCs w:val="22"/>
        </w:rPr>
        <w:t xml:space="preserve">sixteenth edition, Oxford University Press. </w:t>
      </w:r>
    </w:p>
    <w:p w14:paraId="6998E5DF" w14:textId="77777777" w:rsidR="00A60AE0" w:rsidRDefault="00A60AE0" w:rsidP="00841D68">
      <w:pPr>
        <w:pStyle w:val="Heading1"/>
        <w:spacing w:before="0" w:beforeAutospacing="0" w:after="180" w:afterAutospacing="0"/>
        <w:rPr>
          <w:rFonts w:ascii="Arial" w:hAnsi="Arial" w:cs="Arial"/>
          <w:b w:val="0"/>
          <w:bCs w:val="0"/>
          <w:color w:val="222222"/>
          <w:sz w:val="22"/>
          <w:szCs w:val="22"/>
        </w:rPr>
      </w:pPr>
      <w:r>
        <w:rPr>
          <w:rFonts w:ascii="Arial" w:hAnsi="Arial" w:cs="Arial"/>
          <w:b w:val="0"/>
          <w:bCs w:val="0"/>
          <w:color w:val="222222"/>
          <w:sz w:val="22"/>
          <w:szCs w:val="22"/>
        </w:rPr>
        <w:t xml:space="preserve">Human Rights Act (1998), legislation.gov.uk, [online], Available at: </w:t>
      </w:r>
      <w:hyperlink r:id="rId9" w:history="1">
        <w:r w:rsidRPr="00DE64BB">
          <w:rPr>
            <w:rStyle w:val="Hyperlink"/>
            <w:rFonts w:ascii="Arial" w:hAnsi="Arial" w:cs="Arial"/>
            <w:b w:val="0"/>
            <w:bCs w:val="0"/>
            <w:sz w:val="22"/>
            <w:szCs w:val="22"/>
          </w:rPr>
          <w:t>https://www.legislation.gov.uk/ukpga/1998/42/introduction</w:t>
        </w:r>
      </w:hyperlink>
      <w:r>
        <w:rPr>
          <w:rFonts w:ascii="Arial" w:hAnsi="Arial" w:cs="Arial"/>
          <w:b w:val="0"/>
          <w:bCs w:val="0"/>
          <w:color w:val="222222"/>
          <w:sz w:val="22"/>
          <w:szCs w:val="22"/>
        </w:rPr>
        <w:t>, (Accessed: 20</w:t>
      </w:r>
      <w:r w:rsidRPr="009A16FB">
        <w:rPr>
          <w:rFonts w:ascii="Arial" w:hAnsi="Arial" w:cs="Arial"/>
          <w:b w:val="0"/>
          <w:bCs w:val="0"/>
          <w:color w:val="222222"/>
          <w:sz w:val="22"/>
          <w:szCs w:val="22"/>
          <w:vertAlign w:val="superscript"/>
        </w:rPr>
        <w:t>th</w:t>
      </w:r>
      <w:r>
        <w:rPr>
          <w:rFonts w:ascii="Arial" w:hAnsi="Arial" w:cs="Arial"/>
          <w:b w:val="0"/>
          <w:bCs w:val="0"/>
          <w:color w:val="222222"/>
          <w:sz w:val="22"/>
          <w:szCs w:val="22"/>
        </w:rPr>
        <w:t xml:space="preserve"> October 2022). </w:t>
      </w:r>
    </w:p>
    <w:p w14:paraId="29B779F9" w14:textId="77777777" w:rsidR="00A60AE0" w:rsidRPr="00EF243A" w:rsidRDefault="00A60AE0" w:rsidP="00112885">
      <w:pPr>
        <w:pStyle w:val="Heading1"/>
        <w:rPr>
          <w:rFonts w:ascii="Arial" w:hAnsi="Arial" w:cs="Arial"/>
          <w:b w:val="0"/>
          <w:bCs w:val="0"/>
          <w:color w:val="000000"/>
          <w:sz w:val="22"/>
          <w:szCs w:val="22"/>
        </w:rPr>
      </w:pPr>
      <w:r w:rsidRPr="0070349A">
        <w:rPr>
          <w:rFonts w:ascii="Arial" w:hAnsi="Arial" w:cs="Arial"/>
          <w:b w:val="0"/>
          <w:bCs w:val="0"/>
          <w:color w:val="000000"/>
          <w:sz w:val="22"/>
          <w:szCs w:val="22"/>
        </w:rPr>
        <w:t>Kent v Griffiths [2000], England and Wales Court of Appeal (Civil Division) Decisions</w:t>
      </w:r>
      <w:r>
        <w:rPr>
          <w:rFonts w:ascii="Arial" w:hAnsi="Arial" w:cs="Arial"/>
          <w:b w:val="0"/>
          <w:bCs w:val="0"/>
          <w:color w:val="000000"/>
          <w:sz w:val="22"/>
          <w:szCs w:val="22"/>
        </w:rPr>
        <w:t xml:space="preserve">, [online], Available at: </w:t>
      </w:r>
      <w:hyperlink r:id="rId10" w:history="1">
        <w:r w:rsidRPr="00E642C3">
          <w:rPr>
            <w:rStyle w:val="Hyperlink"/>
            <w:rFonts w:ascii="Arial" w:hAnsi="Arial" w:cs="Arial"/>
            <w:b w:val="0"/>
            <w:bCs w:val="0"/>
            <w:sz w:val="22"/>
            <w:szCs w:val="22"/>
          </w:rPr>
          <w:t>https://www.bailii.org/ew/cases/EWCA/Civ/2000/3017.html</w:t>
        </w:r>
      </w:hyperlink>
      <w:r>
        <w:rPr>
          <w:rFonts w:ascii="Arial" w:hAnsi="Arial" w:cs="Arial"/>
          <w:b w:val="0"/>
          <w:bCs w:val="0"/>
          <w:color w:val="000000"/>
          <w:sz w:val="22"/>
          <w:szCs w:val="22"/>
        </w:rPr>
        <w:t>, (Accessed: 13</w:t>
      </w:r>
      <w:r w:rsidRPr="00245A5C">
        <w:rPr>
          <w:rFonts w:ascii="Arial" w:hAnsi="Arial" w:cs="Arial"/>
          <w:b w:val="0"/>
          <w:bCs w:val="0"/>
          <w:color w:val="000000"/>
          <w:sz w:val="22"/>
          <w:szCs w:val="22"/>
          <w:vertAlign w:val="superscript"/>
        </w:rPr>
        <w:t>th</w:t>
      </w:r>
      <w:r>
        <w:rPr>
          <w:rFonts w:ascii="Arial" w:hAnsi="Arial" w:cs="Arial"/>
          <w:b w:val="0"/>
          <w:bCs w:val="0"/>
          <w:color w:val="000000"/>
          <w:sz w:val="22"/>
          <w:szCs w:val="22"/>
        </w:rPr>
        <w:t xml:space="preserve"> October 2022). </w:t>
      </w:r>
    </w:p>
    <w:p w14:paraId="7ECF16C0" w14:textId="77777777" w:rsidR="00A60AE0" w:rsidRDefault="00A60AE0" w:rsidP="00D50DD3">
      <w:pPr>
        <w:pStyle w:val="NormalWeb"/>
        <w:rPr>
          <w:rFonts w:ascii="Arial" w:hAnsi="Arial" w:cs="Arial"/>
          <w:sz w:val="22"/>
          <w:szCs w:val="22"/>
        </w:rPr>
      </w:pPr>
      <w:r>
        <w:rPr>
          <w:rStyle w:val="apple-converted-space"/>
          <w:rFonts w:ascii="Arial" w:hAnsi="Arial" w:cs="Arial"/>
          <w:color w:val="000000" w:themeColor="text1"/>
          <w:sz w:val="22"/>
          <w:szCs w:val="22"/>
        </w:rPr>
        <w:t xml:space="preserve">Kidner. R (2008), </w:t>
      </w:r>
      <w:r w:rsidRPr="00A60AE0">
        <w:rPr>
          <w:rStyle w:val="apple-converted-space"/>
          <w:rFonts w:ascii="Arial" w:hAnsi="Arial" w:cs="Arial"/>
          <w:i/>
          <w:iCs/>
          <w:color w:val="000000" w:themeColor="text1"/>
          <w:sz w:val="22"/>
          <w:szCs w:val="22"/>
        </w:rPr>
        <w:t>Torts</w:t>
      </w:r>
      <w:r>
        <w:rPr>
          <w:rStyle w:val="apple-converted-space"/>
          <w:rFonts w:ascii="Arial" w:hAnsi="Arial" w:cs="Arial"/>
          <w:color w:val="000000" w:themeColor="text1"/>
          <w:sz w:val="22"/>
          <w:szCs w:val="22"/>
        </w:rPr>
        <w:t>, 10</w:t>
      </w:r>
      <w:r w:rsidRPr="004B5605">
        <w:rPr>
          <w:rStyle w:val="apple-converted-space"/>
          <w:rFonts w:ascii="Arial" w:hAnsi="Arial" w:cs="Arial"/>
          <w:color w:val="000000" w:themeColor="text1"/>
          <w:sz w:val="22"/>
          <w:szCs w:val="22"/>
          <w:vertAlign w:val="superscript"/>
        </w:rPr>
        <w:t>th</w:t>
      </w:r>
      <w:r>
        <w:rPr>
          <w:rStyle w:val="apple-converted-space"/>
          <w:rFonts w:ascii="Arial" w:hAnsi="Arial" w:cs="Arial"/>
          <w:color w:val="000000" w:themeColor="text1"/>
          <w:sz w:val="22"/>
          <w:szCs w:val="22"/>
        </w:rPr>
        <w:t xml:space="preserve"> Edition, Oxford University Press. </w:t>
      </w:r>
    </w:p>
    <w:p w14:paraId="69A8C706" w14:textId="77777777" w:rsidR="00A60AE0" w:rsidRDefault="00A60AE0" w:rsidP="00841D68">
      <w:pPr>
        <w:pStyle w:val="Heading1"/>
        <w:spacing w:before="0" w:beforeAutospacing="0" w:after="180" w:afterAutospacing="0"/>
        <w:rPr>
          <w:rFonts w:ascii="Arial" w:hAnsi="Arial" w:cs="Arial"/>
          <w:b w:val="0"/>
          <w:bCs w:val="0"/>
          <w:color w:val="222222"/>
          <w:sz w:val="22"/>
          <w:szCs w:val="22"/>
        </w:rPr>
      </w:pPr>
      <w:r>
        <w:rPr>
          <w:rFonts w:ascii="Arial" w:hAnsi="Arial" w:cs="Arial"/>
          <w:b w:val="0"/>
          <w:bCs w:val="0"/>
          <w:sz w:val="22"/>
          <w:szCs w:val="22"/>
        </w:rPr>
        <w:t xml:space="preserve">Knapp. D and Williams. D </w:t>
      </w:r>
      <w:r w:rsidRPr="00841D68">
        <w:rPr>
          <w:rFonts w:ascii="Arial" w:hAnsi="Arial" w:cs="Arial"/>
          <w:b w:val="0"/>
          <w:bCs w:val="0"/>
          <w:sz w:val="22"/>
          <w:szCs w:val="22"/>
        </w:rPr>
        <w:t xml:space="preserve">(2018), </w:t>
      </w:r>
      <w:r w:rsidRPr="00841D68">
        <w:rPr>
          <w:rFonts w:ascii="Arial" w:hAnsi="Arial" w:cs="Arial"/>
          <w:b w:val="0"/>
          <w:bCs w:val="0"/>
          <w:i/>
          <w:iCs/>
          <w:color w:val="222222"/>
          <w:sz w:val="22"/>
          <w:szCs w:val="22"/>
        </w:rPr>
        <w:t>Duty of Care Owed by Police Clarified by Supreme Court – With a Sting in the Tail?</w:t>
      </w:r>
      <w:r>
        <w:rPr>
          <w:rFonts w:ascii="Arial" w:hAnsi="Arial" w:cs="Arial"/>
          <w:b w:val="0"/>
          <w:bCs w:val="0"/>
          <w:i/>
          <w:iCs/>
          <w:color w:val="222222"/>
          <w:sz w:val="22"/>
          <w:szCs w:val="22"/>
        </w:rPr>
        <w:t xml:space="preserve"> </w:t>
      </w:r>
      <w:r>
        <w:rPr>
          <w:rFonts w:ascii="Arial" w:hAnsi="Arial" w:cs="Arial"/>
          <w:b w:val="0"/>
          <w:bCs w:val="0"/>
          <w:color w:val="222222"/>
          <w:sz w:val="22"/>
          <w:szCs w:val="22"/>
        </w:rPr>
        <w:t xml:space="preserve">[online], Available at: </w:t>
      </w:r>
      <w:hyperlink r:id="rId11" w:history="1">
        <w:r w:rsidRPr="00CD7D52">
          <w:rPr>
            <w:rStyle w:val="Hyperlink"/>
            <w:rFonts w:ascii="Arial" w:hAnsi="Arial" w:cs="Arial"/>
            <w:b w:val="0"/>
            <w:bCs w:val="0"/>
            <w:sz w:val="22"/>
            <w:szCs w:val="22"/>
          </w:rPr>
          <w:t>https://www.dacbeachcroft.com/en/gb/articles/2018/february/duty-of-care-owed-by-police-clarified-by-supreme-court-with-a-sting-in-the-tail/</w:t>
        </w:r>
      </w:hyperlink>
      <w:r>
        <w:rPr>
          <w:rFonts w:ascii="Arial" w:hAnsi="Arial" w:cs="Arial"/>
          <w:b w:val="0"/>
          <w:bCs w:val="0"/>
          <w:color w:val="222222"/>
          <w:sz w:val="22"/>
          <w:szCs w:val="22"/>
        </w:rPr>
        <w:t>, (Accessed: 16</w:t>
      </w:r>
      <w:r w:rsidRPr="00841D68">
        <w:rPr>
          <w:rFonts w:ascii="Arial" w:hAnsi="Arial" w:cs="Arial"/>
          <w:b w:val="0"/>
          <w:bCs w:val="0"/>
          <w:color w:val="222222"/>
          <w:sz w:val="22"/>
          <w:szCs w:val="22"/>
          <w:vertAlign w:val="superscript"/>
        </w:rPr>
        <w:t>th</w:t>
      </w:r>
      <w:r>
        <w:rPr>
          <w:rFonts w:ascii="Arial" w:hAnsi="Arial" w:cs="Arial"/>
          <w:b w:val="0"/>
          <w:bCs w:val="0"/>
          <w:color w:val="222222"/>
          <w:sz w:val="22"/>
          <w:szCs w:val="22"/>
        </w:rPr>
        <w:t xml:space="preserve"> October 2022). </w:t>
      </w:r>
    </w:p>
    <w:p w14:paraId="0AE81403" w14:textId="77777777" w:rsidR="00A60AE0" w:rsidRDefault="00A60AE0" w:rsidP="00F14348">
      <w:pPr>
        <w:pStyle w:val="NormalWeb"/>
        <w:rPr>
          <w:rFonts w:ascii="Arial" w:hAnsi="Arial" w:cs="Arial"/>
          <w:color w:val="000000" w:themeColor="text1"/>
          <w:sz w:val="22"/>
          <w:szCs w:val="22"/>
        </w:rPr>
      </w:pPr>
      <w:r>
        <w:rPr>
          <w:rFonts w:ascii="Arial" w:hAnsi="Arial" w:cs="Arial"/>
          <w:color w:val="000000" w:themeColor="text1"/>
          <w:sz w:val="22"/>
          <w:szCs w:val="22"/>
        </w:rPr>
        <w:t>Law Commission (2022),</w:t>
      </w:r>
      <w:r w:rsidRPr="004334BF">
        <w:rPr>
          <w:rFonts w:ascii="Arial" w:hAnsi="Arial" w:cs="Arial"/>
          <w:i/>
          <w:iCs/>
          <w:color w:val="000000" w:themeColor="text1"/>
          <w:sz w:val="22"/>
          <w:szCs w:val="22"/>
        </w:rPr>
        <w:t xml:space="preserve"> Liability for Psychiatric Illness, </w:t>
      </w:r>
      <w:r>
        <w:rPr>
          <w:rFonts w:ascii="Arial" w:hAnsi="Arial" w:cs="Arial"/>
          <w:color w:val="000000" w:themeColor="text1"/>
          <w:sz w:val="22"/>
          <w:szCs w:val="22"/>
        </w:rPr>
        <w:t xml:space="preserve">[online], Available at: </w:t>
      </w:r>
      <w:hyperlink r:id="rId12" w:history="1">
        <w:r w:rsidRPr="00F7455D">
          <w:rPr>
            <w:rStyle w:val="Hyperlink"/>
            <w:rFonts w:ascii="Arial" w:hAnsi="Arial" w:cs="Arial"/>
            <w:sz w:val="22"/>
            <w:szCs w:val="22"/>
          </w:rPr>
          <w:t>https://s3-eu-west-2.amazonaws.com/lawcom-prod-storage-11jsxou24uy7q/uploads/2015/04/LC249.pdf</w:t>
        </w:r>
      </w:hyperlink>
      <w:r>
        <w:rPr>
          <w:rFonts w:ascii="Arial" w:hAnsi="Arial" w:cs="Arial"/>
          <w:color w:val="000000" w:themeColor="text1"/>
          <w:sz w:val="22"/>
          <w:szCs w:val="22"/>
        </w:rPr>
        <w:t>, (Accessed: 24</w:t>
      </w:r>
      <w:r w:rsidRPr="004334BF">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October 2022). </w:t>
      </w:r>
    </w:p>
    <w:p w14:paraId="045480F9" w14:textId="77777777" w:rsidR="00A60AE0" w:rsidRDefault="00A60AE0" w:rsidP="00F14348">
      <w:pPr>
        <w:pStyle w:val="NormalWeb"/>
        <w:rPr>
          <w:rFonts w:ascii="Arial" w:hAnsi="Arial" w:cs="Arial"/>
          <w:color w:val="000000" w:themeColor="text1"/>
          <w:sz w:val="22"/>
          <w:szCs w:val="22"/>
        </w:rPr>
      </w:pPr>
      <w:r>
        <w:rPr>
          <w:rFonts w:ascii="Arial" w:hAnsi="Arial" w:cs="Arial"/>
          <w:color w:val="000000" w:themeColor="text1"/>
          <w:sz w:val="22"/>
          <w:szCs w:val="22"/>
        </w:rPr>
        <w:t xml:space="preserve">Lunney. M, Nolan. D, Oliphant. K (2017), Tort Law Text and Materials, Sixth Edition, Oxford University Press. </w:t>
      </w:r>
    </w:p>
    <w:p w14:paraId="38E487AE" w14:textId="77777777" w:rsidR="00A60AE0" w:rsidRDefault="00A60AE0" w:rsidP="00685402">
      <w:pPr>
        <w:rPr>
          <w:rFonts w:ascii="Arial" w:hAnsi="Arial" w:cs="Arial"/>
          <w:color w:val="000000"/>
          <w:sz w:val="22"/>
          <w:szCs w:val="22"/>
        </w:rPr>
      </w:pPr>
      <w:r>
        <w:rPr>
          <w:rFonts w:ascii="Arial" w:hAnsi="Arial" w:cs="Arial"/>
          <w:color w:val="000000"/>
          <w:sz w:val="22"/>
          <w:szCs w:val="22"/>
        </w:rPr>
        <w:t xml:space="preserve">Mahmud. M. S, Rahman. M. S (2016), International Journal of Law, </w:t>
      </w:r>
      <w:r>
        <w:rPr>
          <w:rFonts w:ascii="Arial" w:hAnsi="Arial" w:cs="Arial"/>
          <w:i/>
          <w:iCs/>
          <w:color w:val="000000"/>
          <w:sz w:val="22"/>
          <w:szCs w:val="22"/>
        </w:rPr>
        <w:t xml:space="preserve">Do the emergency services have a duty of care towards individual members of the public? A critique under the English tort law, </w:t>
      </w:r>
      <w:r>
        <w:rPr>
          <w:rFonts w:ascii="Arial" w:hAnsi="Arial" w:cs="Arial"/>
          <w:color w:val="000000"/>
          <w:sz w:val="22"/>
          <w:szCs w:val="22"/>
        </w:rPr>
        <w:t xml:space="preserve">Volume 2; Issue 6; Page No. 77-81. </w:t>
      </w:r>
    </w:p>
    <w:p w14:paraId="3235F308" w14:textId="77777777" w:rsidR="00A60AE0" w:rsidRDefault="00A60AE0" w:rsidP="00D50DD3">
      <w:pPr>
        <w:pStyle w:val="NormalWeb"/>
        <w:rPr>
          <w:rStyle w:val="apple-converted-space"/>
          <w:rFonts w:ascii="Arial" w:hAnsi="Arial" w:cs="Arial"/>
          <w:color w:val="000000" w:themeColor="text1"/>
          <w:sz w:val="22"/>
          <w:szCs w:val="22"/>
        </w:rPr>
      </w:pPr>
      <w:r>
        <w:rPr>
          <w:rStyle w:val="apple-converted-space"/>
          <w:rFonts w:ascii="Arial" w:hAnsi="Arial" w:cs="Arial"/>
          <w:color w:val="000000" w:themeColor="text1"/>
          <w:sz w:val="22"/>
          <w:szCs w:val="22"/>
        </w:rPr>
        <w:t>Mullis and Oliphant (2011), Torts, 4</w:t>
      </w:r>
      <w:r w:rsidRPr="00F81EED">
        <w:rPr>
          <w:rStyle w:val="apple-converted-space"/>
          <w:rFonts w:ascii="Arial" w:hAnsi="Arial" w:cs="Arial"/>
          <w:color w:val="000000" w:themeColor="text1"/>
          <w:sz w:val="22"/>
          <w:szCs w:val="22"/>
          <w:vertAlign w:val="superscript"/>
        </w:rPr>
        <w:t>th</w:t>
      </w:r>
      <w:r>
        <w:rPr>
          <w:rStyle w:val="apple-converted-space"/>
          <w:rFonts w:ascii="Arial" w:hAnsi="Arial" w:cs="Arial"/>
          <w:color w:val="000000" w:themeColor="text1"/>
          <w:sz w:val="22"/>
          <w:szCs w:val="22"/>
        </w:rPr>
        <w:t xml:space="preserve"> Edition, Oxford University Press. </w:t>
      </w:r>
    </w:p>
    <w:p w14:paraId="5AB9450F" w14:textId="77777777" w:rsidR="00A60AE0" w:rsidRDefault="00A60AE0" w:rsidP="00F14348">
      <w:pPr>
        <w:pStyle w:val="NormalWeb"/>
        <w:rPr>
          <w:rFonts w:ascii="Arial" w:hAnsi="Arial" w:cs="Arial"/>
          <w:sz w:val="22"/>
          <w:szCs w:val="22"/>
        </w:rPr>
      </w:pPr>
      <w:r w:rsidRPr="00685402">
        <w:rPr>
          <w:rFonts w:ascii="Arial" w:hAnsi="Arial" w:cs="Arial"/>
          <w:color w:val="000000"/>
          <w:sz w:val="22"/>
          <w:szCs w:val="22"/>
        </w:rPr>
        <w:t>Rigby v CC Northamptonshire</w:t>
      </w:r>
      <w:r>
        <w:rPr>
          <w:rFonts w:ascii="Arial" w:hAnsi="Arial" w:cs="Arial"/>
          <w:color w:val="000000"/>
          <w:sz w:val="22"/>
          <w:szCs w:val="22"/>
        </w:rPr>
        <w:t xml:space="preserve"> [1985], </w:t>
      </w:r>
      <w:r w:rsidRPr="00F14348">
        <w:rPr>
          <w:rFonts w:ascii="Arial" w:hAnsi="Arial" w:cs="Arial"/>
          <w:i/>
          <w:iCs/>
          <w:sz w:val="22"/>
          <w:szCs w:val="22"/>
        </w:rPr>
        <w:t>Judgments - Chief Constable of The Hertfordshire Police (Original Appellant and Cross-Respondent) V Van Colle</w:t>
      </w:r>
      <w:r>
        <w:rPr>
          <w:rFonts w:ascii="Arial" w:hAnsi="Arial" w:cs="Arial"/>
          <w:i/>
          <w:iCs/>
          <w:sz w:val="22"/>
          <w:szCs w:val="22"/>
        </w:rPr>
        <w:t xml:space="preserve">, </w:t>
      </w:r>
      <w:r>
        <w:rPr>
          <w:rFonts w:ascii="Arial" w:hAnsi="Arial" w:cs="Arial"/>
          <w:sz w:val="22"/>
          <w:szCs w:val="22"/>
        </w:rPr>
        <w:t xml:space="preserve">[online], Available at: </w:t>
      </w:r>
      <w:hyperlink r:id="rId13" w:history="1">
        <w:r w:rsidRPr="009C2018">
          <w:rPr>
            <w:rStyle w:val="Hyperlink"/>
            <w:rFonts w:ascii="Arial" w:hAnsi="Arial" w:cs="Arial"/>
            <w:sz w:val="22"/>
            <w:szCs w:val="22"/>
          </w:rPr>
          <w:t>https://publications.parliament.uk/pa/ld200708/ldjudgmt/jd080730/vanco-2.htm</w:t>
        </w:r>
      </w:hyperlink>
      <w:r>
        <w:rPr>
          <w:rFonts w:ascii="Arial" w:hAnsi="Arial" w:cs="Arial"/>
          <w:sz w:val="22"/>
          <w:szCs w:val="22"/>
        </w:rPr>
        <w:t>, (Accessed: 21</w:t>
      </w:r>
      <w:r w:rsidRPr="00F14348">
        <w:rPr>
          <w:rFonts w:ascii="Arial" w:hAnsi="Arial" w:cs="Arial"/>
          <w:sz w:val="22"/>
          <w:szCs w:val="22"/>
          <w:vertAlign w:val="superscript"/>
        </w:rPr>
        <w:t>st</w:t>
      </w:r>
      <w:r>
        <w:rPr>
          <w:rFonts w:ascii="Arial" w:hAnsi="Arial" w:cs="Arial"/>
          <w:sz w:val="22"/>
          <w:szCs w:val="22"/>
        </w:rPr>
        <w:t xml:space="preserve"> October 2022). </w:t>
      </w:r>
    </w:p>
    <w:p w14:paraId="109B3169" w14:textId="77777777" w:rsidR="00A60AE0" w:rsidRDefault="00A60AE0" w:rsidP="00685402">
      <w:pPr>
        <w:rPr>
          <w:rFonts w:ascii="Arial" w:hAnsi="Arial" w:cs="Arial"/>
          <w:color w:val="000000"/>
          <w:sz w:val="22"/>
          <w:szCs w:val="22"/>
        </w:rPr>
      </w:pPr>
      <w:r>
        <w:rPr>
          <w:rFonts w:ascii="Arial" w:hAnsi="Arial" w:cs="Arial"/>
          <w:color w:val="000000"/>
          <w:sz w:val="22"/>
          <w:szCs w:val="22"/>
        </w:rPr>
        <w:t xml:space="preserve">Salmond. J. W (1907), </w:t>
      </w:r>
      <w:r>
        <w:rPr>
          <w:rFonts w:ascii="Arial" w:hAnsi="Arial" w:cs="Arial"/>
          <w:i/>
          <w:iCs/>
          <w:color w:val="000000"/>
          <w:sz w:val="22"/>
          <w:szCs w:val="22"/>
        </w:rPr>
        <w:t xml:space="preserve">The Law of Torts, </w:t>
      </w:r>
      <w:r>
        <w:rPr>
          <w:rFonts w:ascii="Arial" w:hAnsi="Arial" w:cs="Arial"/>
          <w:color w:val="000000"/>
          <w:sz w:val="22"/>
          <w:szCs w:val="22"/>
        </w:rPr>
        <w:t xml:space="preserve">London: Steven and Hayes. </w:t>
      </w:r>
    </w:p>
    <w:p w14:paraId="2CC33E45" w14:textId="1ADEFCBF" w:rsidR="00A60AE0" w:rsidRPr="00A60AE0" w:rsidRDefault="00A60AE0" w:rsidP="00554E5B">
      <w:pPr>
        <w:pStyle w:val="NormalWeb"/>
        <w:rPr>
          <w:rFonts w:ascii="Arial" w:hAnsi="Arial" w:cs="Arial"/>
          <w:sz w:val="22"/>
          <w:szCs w:val="22"/>
        </w:rPr>
      </w:pPr>
      <w:r w:rsidRPr="00A60AE0">
        <w:rPr>
          <w:rFonts w:ascii="Arial" w:hAnsi="Arial" w:cs="Arial"/>
          <w:sz w:val="22"/>
          <w:szCs w:val="22"/>
        </w:rPr>
        <w:lastRenderedPageBreak/>
        <w:t xml:space="preserve">Steele. A (2021), Emergency Services News, A Duty of Care: </w:t>
      </w:r>
      <w:r w:rsidRPr="00A60AE0">
        <w:rPr>
          <w:rFonts w:ascii="Arial" w:hAnsi="Arial" w:cs="Arial"/>
          <w:i/>
          <w:iCs/>
          <w:sz w:val="22"/>
          <w:szCs w:val="22"/>
        </w:rPr>
        <w:t xml:space="preserve">What Obligations Are Imposed Of Emergency Services By The Court System In The UK, </w:t>
      </w:r>
      <w:r w:rsidRPr="00A60AE0">
        <w:rPr>
          <w:rFonts w:ascii="Arial" w:hAnsi="Arial" w:cs="Arial"/>
          <w:color w:val="000000" w:themeColor="text1"/>
          <w:sz w:val="22"/>
          <w:szCs w:val="22"/>
        </w:rPr>
        <w:t>[blog], Available at:</w:t>
      </w:r>
      <w:r w:rsidRPr="00A60AE0">
        <w:rPr>
          <w:rFonts w:ascii="Arial" w:hAnsi="Arial" w:cs="Arial"/>
          <w:sz w:val="22"/>
          <w:szCs w:val="22"/>
        </w:rPr>
        <w:t xml:space="preserve"> </w:t>
      </w:r>
      <w:hyperlink r:id="rId14" w:history="1">
        <w:r w:rsidRPr="00A60AE0">
          <w:rPr>
            <w:rStyle w:val="Hyperlink"/>
            <w:rFonts w:ascii="Arial" w:hAnsi="Arial" w:cs="Arial"/>
            <w:sz w:val="22"/>
            <w:szCs w:val="22"/>
          </w:rPr>
          <w:t>https://emergency-services.news/a-duty-of-care-what-obligations-are-imposed-on-emergency-services-by-the-court-system-in-the-uk/</w:t>
        </w:r>
      </w:hyperlink>
      <w:r>
        <w:rPr>
          <w:rFonts w:ascii="Arial" w:hAnsi="Arial" w:cs="Arial"/>
          <w:sz w:val="22"/>
          <w:szCs w:val="22"/>
        </w:rPr>
        <w:t xml:space="preserve">, </w:t>
      </w:r>
      <w:r>
        <w:rPr>
          <w:rFonts w:ascii="Arial" w:hAnsi="Arial" w:cs="Arial"/>
          <w:color w:val="000000" w:themeColor="text1"/>
          <w:sz w:val="22"/>
          <w:szCs w:val="22"/>
        </w:rPr>
        <w:t>(Accessed: 20</w:t>
      </w:r>
      <w:r w:rsidRPr="00D04E6B">
        <w:rPr>
          <w:rFonts w:ascii="Arial" w:hAnsi="Arial" w:cs="Arial"/>
          <w:color w:val="000000" w:themeColor="text1"/>
          <w:sz w:val="22"/>
          <w:szCs w:val="22"/>
          <w:vertAlign w:val="superscript"/>
        </w:rPr>
        <w:t>th</w:t>
      </w:r>
      <w:r>
        <w:rPr>
          <w:rFonts w:ascii="Arial" w:hAnsi="Arial" w:cs="Arial"/>
          <w:color w:val="000000" w:themeColor="text1"/>
          <w:sz w:val="22"/>
          <w:szCs w:val="22"/>
        </w:rPr>
        <w:t xml:space="preserve"> October 2022). </w:t>
      </w:r>
    </w:p>
    <w:p w14:paraId="5938AE96" w14:textId="77777777" w:rsidR="00A60AE0" w:rsidRDefault="00A60AE0" w:rsidP="00554E5B">
      <w:pPr>
        <w:pStyle w:val="NormalWeb"/>
        <w:rPr>
          <w:rFonts w:ascii="Arial" w:hAnsi="Arial" w:cs="Arial"/>
          <w:sz w:val="22"/>
          <w:szCs w:val="22"/>
        </w:rPr>
      </w:pPr>
      <w:r w:rsidRPr="00554E5B">
        <w:rPr>
          <w:rFonts w:ascii="Arial" w:hAnsi="Arial" w:cs="Arial"/>
          <w:color w:val="000000" w:themeColor="text1"/>
          <w:sz w:val="22"/>
          <w:szCs w:val="22"/>
        </w:rPr>
        <w:t xml:space="preserve">Swinney v Chief Constable of Northumbria [1997], </w:t>
      </w:r>
      <w:r w:rsidRPr="00554E5B">
        <w:rPr>
          <w:rFonts w:ascii="Arial" w:hAnsi="Arial" w:cs="Arial"/>
          <w:sz w:val="22"/>
          <w:szCs w:val="22"/>
        </w:rPr>
        <w:t>High Court of Justice Queen's Bench Division</w:t>
      </w:r>
      <w:r>
        <w:rPr>
          <w:rFonts w:ascii="Arial" w:hAnsi="Arial" w:cs="Arial"/>
          <w:sz w:val="22"/>
          <w:szCs w:val="22"/>
        </w:rPr>
        <w:t xml:space="preserve">, [online], Available at: </w:t>
      </w:r>
      <w:hyperlink r:id="rId15" w:history="1">
        <w:r w:rsidRPr="00DE64BB">
          <w:rPr>
            <w:rStyle w:val="Hyperlink"/>
            <w:rFonts w:ascii="Arial" w:hAnsi="Arial" w:cs="Arial"/>
            <w:sz w:val="22"/>
            <w:szCs w:val="22"/>
          </w:rPr>
          <w:t>https://www.ucpi.org.uk/wp-content/uploads/2017/11/Swinney-v-CC-Northumbria-No.2-1999-WL-477396.pdf</w:t>
        </w:r>
      </w:hyperlink>
      <w:r>
        <w:rPr>
          <w:rFonts w:ascii="Arial" w:hAnsi="Arial" w:cs="Arial"/>
          <w:sz w:val="22"/>
          <w:szCs w:val="22"/>
        </w:rPr>
        <w:t>, (Accessed: 20</w:t>
      </w:r>
      <w:r w:rsidRPr="00554E5B">
        <w:rPr>
          <w:rFonts w:ascii="Arial" w:hAnsi="Arial" w:cs="Arial"/>
          <w:sz w:val="22"/>
          <w:szCs w:val="22"/>
          <w:vertAlign w:val="superscript"/>
        </w:rPr>
        <w:t>th</w:t>
      </w:r>
      <w:r>
        <w:rPr>
          <w:rFonts w:ascii="Arial" w:hAnsi="Arial" w:cs="Arial"/>
          <w:sz w:val="22"/>
          <w:szCs w:val="22"/>
        </w:rPr>
        <w:t xml:space="preserve"> October 2022). </w:t>
      </w:r>
    </w:p>
    <w:p w14:paraId="6E8EA24E" w14:textId="77777777" w:rsidR="00A60AE0" w:rsidRDefault="00A60AE0" w:rsidP="00D50DD3">
      <w:pPr>
        <w:pStyle w:val="NormalWeb"/>
        <w:rPr>
          <w:rFonts w:ascii="Arial" w:hAnsi="Arial" w:cs="Arial"/>
          <w:sz w:val="22"/>
          <w:szCs w:val="22"/>
        </w:rPr>
      </w:pPr>
      <w:r w:rsidRPr="00EF243A">
        <w:rPr>
          <w:rFonts w:ascii="Arial" w:hAnsi="Arial" w:cs="Arial"/>
          <w:sz w:val="22"/>
          <w:szCs w:val="22"/>
        </w:rPr>
        <w:t xml:space="preserve">WILLIAMS, K. (2007). </w:t>
      </w:r>
      <w:r w:rsidRPr="00EF243A">
        <w:rPr>
          <w:rFonts w:ascii="Arial" w:hAnsi="Arial" w:cs="Arial"/>
          <w:i/>
          <w:iCs/>
          <w:sz w:val="22"/>
          <w:szCs w:val="22"/>
        </w:rPr>
        <w:t>Litigation against English NHS ambulance services and the rule in Kent v. Griffiths</w:t>
      </w:r>
      <w:r>
        <w:rPr>
          <w:rFonts w:ascii="Arial" w:hAnsi="Arial" w:cs="Arial"/>
          <w:i/>
          <w:iCs/>
          <w:sz w:val="22"/>
          <w:szCs w:val="22"/>
        </w:rPr>
        <w:t xml:space="preserve">, </w:t>
      </w:r>
      <w:r w:rsidRPr="00EF243A">
        <w:rPr>
          <w:rFonts w:ascii="Arial" w:hAnsi="Arial" w:cs="Arial"/>
          <w:sz w:val="22"/>
          <w:szCs w:val="22"/>
        </w:rPr>
        <w:t xml:space="preserve">Medical law review, 15 (2), 153-175. </w:t>
      </w:r>
      <w:r>
        <w:rPr>
          <w:rFonts w:ascii="Arial" w:hAnsi="Arial" w:cs="Arial"/>
          <w:sz w:val="22"/>
          <w:szCs w:val="22"/>
        </w:rPr>
        <w:t xml:space="preserve">[online], </w:t>
      </w:r>
      <w:r w:rsidRPr="00EF243A">
        <w:rPr>
          <w:rFonts w:ascii="Arial" w:hAnsi="Arial" w:cs="Arial"/>
          <w:sz w:val="22"/>
          <w:szCs w:val="22"/>
        </w:rPr>
        <w:t xml:space="preserve">Available at: </w:t>
      </w:r>
      <w:hyperlink r:id="rId16" w:history="1">
        <w:r w:rsidRPr="00EF243A">
          <w:rPr>
            <w:rStyle w:val="Hyperlink"/>
            <w:rFonts w:ascii="Arial" w:hAnsi="Arial" w:cs="Arial"/>
            <w:sz w:val="22"/>
            <w:szCs w:val="22"/>
          </w:rPr>
          <w:t>https://shura.shu.ac.uk/715/1/fulltext.pdf</w:t>
        </w:r>
      </w:hyperlink>
      <w:r w:rsidRPr="00EF243A">
        <w:rPr>
          <w:rFonts w:ascii="Arial" w:hAnsi="Arial" w:cs="Arial"/>
          <w:sz w:val="22"/>
          <w:szCs w:val="22"/>
        </w:rPr>
        <w:t>, (Accessed: 13</w:t>
      </w:r>
      <w:r w:rsidRPr="00EF243A">
        <w:rPr>
          <w:rFonts w:ascii="Arial" w:hAnsi="Arial" w:cs="Arial"/>
          <w:sz w:val="22"/>
          <w:szCs w:val="22"/>
          <w:vertAlign w:val="superscript"/>
        </w:rPr>
        <w:t>th</w:t>
      </w:r>
      <w:r w:rsidRPr="00EF243A">
        <w:rPr>
          <w:rFonts w:ascii="Arial" w:hAnsi="Arial" w:cs="Arial"/>
          <w:sz w:val="22"/>
          <w:szCs w:val="22"/>
        </w:rPr>
        <w:t xml:space="preserve"> October 2022). </w:t>
      </w:r>
    </w:p>
    <w:p w14:paraId="6466299A" w14:textId="77777777" w:rsidR="00F14348" w:rsidRPr="00F14348" w:rsidRDefault="00F14348" w:rsidP="00F14348">
      <w:pPr>
        <w:pStyle w:val="NormalWeb"/>
        <w:rPr>
          <w:rFonts w:ascii="Arial" w:hAnsi="Arial" w:cs="Arial"/>
          <w:color w:val="000000"/>
          <w:sz w:val="22"/>
          <w:szCs w:val="22"/>
        </w:rPr>
      </w:pPr>
    </w:p>
    <w:p w14:paraId="4115FD14" w14:textId="77777777" w:rsidR="00F14348" w:rsidRDefault="00F14348" w:rsidP="00554E5B">
      <w:pPr>
        <w:pStyle w:val="NormalWeb"/>
        <w:rPr>
          <w:rFonts w:ascii="Arial" w:hAnsi="Arial" w:cs="Arial"/>
          <w:color w:val="000000" w:themeColor="text1"/>
          <w:sz w:val="22"/>
          <w:szCs w:val="22"/>
        </w:rPr>
      </w:pPr>
    </w:p>
    <w:p w14:paraId="574B8791" w14:textId="77777777" w:rsidR="008E09EA" w:rsidRDefault="008E09EA" w:rsidP="00554E5B">
      <w:pPr>
        <w:pStyle w:val="NormalWeb"/>
        <w:rPr>
          <w:rFonts w:ascii="Arial" w:hAnsi="Arial" w:cs="Arial"/>
          <w:color w:val="000000" w:themeColor="text1"/>
          <w:sz w:val="22"/>
          <w:szCs w:val="22"/>
        </w:rPr>
      </w:pPr>
    </w:p>
    <w:p w14:paraId="54538370" w14:textId="77777777" w:rsidR="00D04E6B" w:rsidRPr="00AF3B13" w:rsidRDefault="00D04E6B" w:rsidP="00554E5B">
      <w:pPr>
        <w:pStyle w:val="NormalWeb"/>
        <w:rPr>
          <w:rFonts w:ascii="Arial" w:hAnsi="Arial" w:cs="Arial"/>
          <w:sz w:val="22"/>
          <w:szCs w:val="22"/>
        </w:rPr>
      </w:pPr>
    </w:p>
    <w:p w14:paraId="55942E0D" w14:textId="30B78051" w:rsidR="00AF3B13" w:rsidRDefault="00AF3B13" w:rsidP="00554E5B">
      <w:pPr>
        <w:pStyle w:val="NormalWeb"/>
        <w:rPr>
          <w:rFonts w:ascii="Arial" w:hAnsi="Arial" w:cs="Arial"/>
          <w:sz w:val="22"/>
          <w:szCs w:val="22"/>
        </w:rPr>
      </w:pPr>
    </w:p>
    <w:p w14:paraId="0AC263DE" w14:textId="77777777" w:rsidR="00AF3B13" w:rsidRDefault="00AF3B13" w:rsidP="00554E5B">
      <w:pPr>
        <w:pStyle w:val="NormalWeb"/>
        <w:rPr>
          <w:rFonts w:ascii="Arial" w:hAnsi="Arial" w:cs="Arial"/>
          <w:sz w:val="22"/>
          <w:szCs w:val="22"/>
        </w:rPr>
      </w:pPr>
    </w:p>
    <w:p w14:paraId="6456A83E" w14:textId="77777777" w:rsidR="00554E5B" w:rsidRPr="00554E5B" w:rsidRDefault="00554E5B" w:rsidP="00554E5B">
      <w:pPr>
        <w:pStyle w:val="NormalWeb"/>
      </w:pPr>
    </w:p>
    <w:p w14:paraId="1A8D7159" w14:textId="40054E23" w:rsidR="00554E5B" w:rsidRPr="00554E5B" w:rsidRDefault="00554E5B" w:rsidP="00841D68">
      <w:pPr>
        <w:pStyle w:val="Heading1"/>
        <w:spacing w:before="0" w:beforeAutospacing="0" w:after="180" w:afterAutospacing="0"/>
        <w:rPr>
          <w:rFonts w:ascii="Arial" w:hAnsi="Arial" w:cs="Arial"/>
          <w:b w:val="0"/>
          <w:bCs w:val="0"/>
          <w:color w:val="222222"/>
          <w:sz w:val="22"/>
          <w:szCs w:val="22"/>
        </w:rPr>
      </w:pPr>
    </w:p>
    <w:p w14:paraId="15922697" w14:textId="77777777" w:rsidR="009A16FB" w:rsidRDefault="009A16FB" w:rsidP="00841D68">
      <w:pPr>
        <w:pStyle w:val="Heading1"/>
        <w:spacing w:before="0" w:beforeAutospacing="0" w:after="180" w:afterAutospacing="0"/>
        <w:rPr>
          <w:rFonts w:ascii="Arial" w:hAnsi="Arial" w:cs="Arial"/>
          <w:b w:val="0"/>
          <w:bCs w:val="0"/>
          <w:color w:val="222222"/>
          <w:sz w:val="22"/>
          <w:szCs w:val="22"/>
        </w:rPr>
      </w:pPr>
    </w:p>
    <w:p w14:paraId="01BBC17D" w14:textId="77777777" w:rsidR="00841D68" w:rsidRPr="00841D68" w:rsidRDefault="00841D68" w:rsidP="00841D68">
      <w:pPr>
        <w:pStyle w:val="Heading1"/>
        <w:spacing w:before="0" w:beforeAutospacing="0" w:after="180" w:afterAutospacing="0"/>
        <w:rPr>
          <w:rFonts w:ascii="Arial" w:hAnsi="Arial" w:cs="Arial"/>
          <w:b w:val="0"/>
          <w:bCs w:val="0"/>
          <w:color w:val="222222"/>
          <w:sz w:val="22"/>
          <w:szCs w:val="22"/>
        </w:rPr>
      </w:pPr>
    </w:p>
    <w:p w14:paraId="491E302B" w14:textId="2F6EBC87" w:rsidR="00841D68" w:rsidRPr="00970584" w:rsidRDefault="00841D68" w:rsidP="00D50DD3">
      <w:pPr>
        <w:pStyle w:val="NormalWeb"/>
        <w:rPr>
          <w:rFonts w:ascii="Arial" w:hAnsi="Arial" w:cs="Arial"/>
          <w:sz w:val="22"/>
          <w:szCs w:val="22"/>
        </w:rPr>
      </w:pPr>
    </w:p>
    <w:p w14:paraId="5717D8AF" w14:textId="77777777" w:rsidR="00EF243A" w:rsidRDefault="00EF243A" w:rsidP="00D50DD3">
      <w:pPr>
        <w:pStyle w:val="NormalWeb"/>
      </w:pPr>
    </w:p>
    <w:p w14:paraId="0186B431" w14:textId="77777777" w:rsidR="00D50DD3" w:rsidRDefault="00D50DD3" w:rsidP="00112885">
      <w:pPr>
        <w:pStyle w:val="Heading1"/>
        <w:rPr>
          <w:rFonts w:ascii="Arial" w:hAnsi="Arial" w:cs="Arial"/>
          <w:b w:val="0"/>
          <w:bCs w:val="0"/>
          <w:color w:val="000000"/>
          <w:sz w:val="22"/>
          <w:szCs w:val="22"/>
        </w:rPr>
      </w:pPr>
    </w:p>
    <w:p w14:paraId="202C272C" w14:textId="77777777" w:rsidR="00055C63" w:rsidRPr="0070349A" w:rsidRDefault="00055C63" w:rsidP="00112885">
      <w:pPr>
        <w:pStyle w:val="Heading1"/>
        <w:rPr>
          <w:rFonts w:ascii="-webkit-standard" w:hAnsi="-webkit-standard"/>
          <w:b w:val="0"/>
          <w:bCs w:val="0"/>
          <w:color w:val="000000"/>
        </w:rPr>
      </w:pPr>
    </w:p>
    <w:p w14:paraId="3B82C88B" w14:textId="7B15F83D" w:rsidR="00112885" w:rsidRPr="0070349A" w:rsidRDefault="00112885" w:rsidP="00685402"/>
    <w:sectPr w:rsidR="00112885" w:rsidRPr="007034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97BE9" w14:textId="77777777" w:rsidR="003516F4" w:rsidRDefault="003516F4" w:rsidP="002E51A1">
      <w:r>
        <w:separator/>
      </w:r>
    </w:p>
  </w:endnote>
  <w:endnote w:type="continuationSeparator" w:id="0">
    <w:p w14:paraId="0FFBC1D7" w14:textId="77777777" w:rsidR="003516F4" w:rsidRDefault="003516F4" w:rsidP="002E5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F53C4" w14:textId="77777777" w:rsidR="003516F4" w:rsidRDefault="003516F4" w:rsidP="002E51A1">
      <w:r>
        <w:separator/>
      </w:r>
    </w:p>
  </w:footnote>
  <w:footnote w:type="continuationSeparator" w:id="0">
    <w:p w14:paraId="5B8A3CB6" w14:textId="77777777" w:rsidR="003516F4" w:rsidRDefault="003516F4" w:rsidP="002E51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A179D"/>
    <w:multiLevelType w:val="hybridMultilevel"/>
    <w:tmpl w:val="EFCE7812"/>
    <w:lvl w:ilvl="0" w:tplc="5A40B5B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B85195"/>
    <w:multiLevelType w:val="multilevel"/>
    <w:tmpl w:val="32D8E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1389701">
    <w:abstractNumId w:val="1"/>
  </w:num>
  <w:num w:numId="2" w16cid:durableId="1355771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402"/>
    <w:rsid w:val="000221F4"/>
    <w:rsid w:val="00055C63"/>
    <w:rsid w:val="00092ABD"/>
    <w:rsid w:val="00097F46"/>
    <w:rsid w:val="000A7280"/>
    <w:rsid w:val="000B36AE"/>
    <w:rsid w:val="000E601B"/>
    <w:rsid w:val="000E60C1"/>
    <w:rsid w:val="00112885"/>
    <w:rsid w:val="0012569C"/>
    <w:rsid w:val="0014318F"/>
    <w:rsid w:val="00145A75"/>
    <w:rsid w:val="00154599"/>
    <w:rsid w:val="00163085"/>
    <w:rsid w:val="001667E7"/>
    <w:rsid w:val="0018391F"/>
    <w:rsid w:val="0019030C"/>
    <w:rsid w:val="00193011"/>
    <w:rsid w:val="001A15B3"/>
    <w:rsid w:val="001C40A8"/>
    <w:rsid w:val="001C618E"/>
    <w:rsid w:val="001D24BD"/>
    <w:rsid w:val="00245A5C"/>
    <w:rsid w:val="00255A11"/>
    <w:rsid w:val="0026336E"/>
    <w:rsid w:val="002B0741"/>
    <w:rsid w:val="002D0EB9"/>
    <w:rsid w:val="002E34C2"/>
    <w:rsid w:val="002E51A1"/>
    <w:rsid w:val="003241A2"/>
    <w:rsid w:val="00350F8B"/>
    <w:rsid w:val="003516F4"/>
    <w:rsid w:val="00365734"/>
    <w:rsid w:val="00373B37"/>
    <w:rsid w:val="003924F5"/>
    <w:rsid w:val="004334BF"/>
    <w:rsid w:val="00460E4B"/>
    <w:rsid w:val="00464742"/>
    <w:rsid w:val="004812B6"/>
    <w:rsid w:val="00481414"/>
    <w:rsid w:val="004861DF"/>
    <w:rsid w:val="004B0368"/>
    <w:rsid w:val="004B5605"/>
    <w:rsid w:val="00501AF7"/>
    <w:rsid w:val="00534AD1"/>
    <w:rsid w:val="00554E5B"/>
    <w:rsid w:val="00555B39"/>
    <w:rsid w:val="0059070B"/>
    <w:rsid w:val="0062040D"/>
    <w:rsid w:val="00676B13"/>
    <w:rsid w:val="00685402"/>
    <w:rsid w:val="006D4B9B"/>
    <w:rsid w:val="0070349A"/>
    <w:rsid w:val="007209FB"/>
    <w:rsid w:val="0076618C"/>
    <w:rsid w:val="007A6EBD"/>
    <w:rsid w:val="00821FC6"/>
    <w:rsid w:val="00841D68"/>
    <w:rsid w:val="00887E5A"/>
    <w:rsid w:val="00892850"/>
    <w:rsid w:val="00893043"/>
    <w:rsid w:val="00893F2D"/>
    <w:rsid w:val="008A64E2"/>
    <w:rsid w:val="008A7DB5"/>
    <w:rsid w:val="008D0734"/>
    <w:rsid w:val="008E09EA"/>
    <w:rsid w:val="008E3602"/>
    <w:rsid w:val="00914F25"/>
    <w:rsid w:val="00922FBE"/>
    <w:rsid w:val="009232BD"/>
    <w:rsid w:val="00953F85"/>
    <w:rsid w:val="00970584"/>
    <w:rsid w:val="00975027"/>
    <w:rsid w:val="00985196"/>
    <w:rsid w:val="009A16FB"/>
    <w:rsid w:val="009D194F"/>
    <w:rsid w:val="00A00D7C"/>
    <w:rsid w:val="00A60AE0"/>
    <w:rsid w:val="00A62186"/>
    <w:rsid w:val="00A90B6D"/>
    <w:rsid w:val="00AA0566"/>
    <w:rsid w:val="00AC5B83"/>
    <w:rsid w:val="00AD06BE"/>
    <w:rsid w:val="00AE3BE1"/>
    <w:rsid w:val="00AF3B13"/>
    <w:rsid w:val="00B011D6"/>
    <w:rsid w:val="00B22E0F"/>
    <w:rsid w:val="00B5785F"/>
    <w:rsid w:val="00B61D1E"/>
    <w:rsid w:val="00B65413"/>
    <w:rsid w:val="00B87F3A"/>
    <w:rsid w:val="00BE511C"/>
    <w:rsid w:val="00C40A1E"/>
    <w:rsid w:val="00C72718"/>
    <w:rsid w:val="00C82643"/>
    <w:rsid w:val="00C90906"/>
    <w:rsid w:val="00CF027B"/>
    <w:rsid w:val="00D04E6B"/>
    <w:rsid w:val="00D50DD3"/>
    <w:rsid w:val="00D56C86"/>
    <w:rsid w:val="00D67F3B"/>
    <w:rsid w:val="00DA3BD4"/>
    <w:rsid w:val="00DD20D2"/>
    <w:rsid w:val="00DD5252"/>
    <w:rsid w:val="00DD70A3"/>
    <w:rsid w:val="00DE1B1E"/>
    <w:rsid w:val="00E2068B"/>
    <w:rsid w:val="00E71856"/>
    <w:rsid w:val="00E81B69"/>
    <w:rsid w:val="00E9686C"/>
    <w:rsid w:val="00EA0330"/>
    <w:rsid w:val="00EF243A"/>
    <w:rsid w:val="00F14348"/>
    <w:rsid w:val="00F543F1"/>
    <w:rsid w:val="00F81EED"/>
    <w:rsid w:val="00F832B2"/>
    <w:rsid w:val="00FD4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5151F6"/>
  <w15:chartTrackingRefBased/>
  <w15:docId w15:val="{68F67FC2-77E0-B44C-A834-62924351E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8"/>
    <w:rPr>
      <w:rFonts w:ascii="Times New Roman" w:eastAsia="Times New Roman" w:hAnsi="Times New Roman" w:cs="Times New Roman"/>
      <w:lang w:eastAsia="en-GB"/>
    </w:rPr>
  </w:style>
  <w:style w:type="paragraph" w:styleId="Heading1">
    <w:name w:val="heading 1"/>
    <w:basedOn w:val="Normal"/>
    <w:link w:val="Heading1Char"/>
    <w:uiPriority w:val="9"/>
    <w:qFormat/>
    <w:rsid w:val="0011288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85402"/>
    <w:pPr>
      <w:spacing w:before="100" w:beforeAutospacing="1" w:after="100" w:afterAutospacing="1"/>
    </w:pPr>
  </w:style>
  <w:style w:type="paragraph" w:customStyle="1" w:styleId="mb-25">
    <w:name w:val="mb-2.5"/>
    <w:basedOn w:val="Normal"/>
    <w:rsid w:val="00B87F3A"/>
    <w:pPr>
      <w:spacing w:before="100" w:beforeAutospacing="1" w:after="100" w:afterAutospacing="1"/>
    </w:pPr>
  </w:style>
  <w:style w:type="character" w:customStyle="1" w:styleId="apple-converted-space">
    <w:name w:val="apple-converted-space"/>
    <w:basedOn w:val="DefaultParagraphFont"/>
    <w:rsid w:val="00B87F3A"/>
  </w:style>
  <w:style w:type="character" w:customStyle="1" w:styleId="issue-underline">
    <w:name w:val="issue-underline"/>
    <w:basedOn w:val="DefaultParagraphFont"/>
    <w:rsid w:val="00B87F3A"/>
  </w:style>
  <w:style w:type="character" w:customStyle="1" w:styleId="Heading1Char">
    <w:name w:val="Heading 1 Char"/>
    <w:basedOn w:val="DefaultParagraphFont"/>
    <w:link w:val="Heading1"/>
    <w:uiPriority w:val="9"/>
    <w:rsid w:val="00112885"/>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055C63"/>
    <w:rPr>
      <w:color w:val="0563C1" w:themeColor="hyperlink"/>
      <w:u w:val="single"/>
    </w:rPr>
  </w:style>
  <w:style w:type="character" w:styleId="UnresolvedMention">
    <w:name w:val="Unresolved Mention"/>
    <w:basedOn w:val="DefaultParagraphFont"/>
    <w:uiPriority w:val="99"/>
    <w:semiHidden/>
    <w:unhideWhenUsed/>
    <w:rsid w:val="00055C63"/>
    <w:rPr>
      <w:color w:val="605E5C"/>
      <w:shd w:val="clear" w:color="auto" w:fill="E1DFDD"/>
    </w:rPr>
  </w:style>
  <w:style w:type="character" w:styleId="Emphasis">
    <w:name w:val="Emphasis"/>
    <w:basedOn w:val="DefaultParagraphFont"/>
    <w:uiPriority w:val="20"/>
    <w:qFormat/>
    <w:rsid w:val="004812B6"/>
    <w:rPr>
      <w:i/>
      <w:iCs/>
    </w:rPr>
  </w:style>
  <w:style w:type="character" w:styleId="Strong">
    <w:name w:val="Strong"/>
    <w:basedOn w:val="DefaultParagraphFont"/>
    <w:uiPriority w:val="22"/>
    <w:qFormat/>
    <w:rsid w:val="00B5785F"/>
    <w:rPr>
      <w:b/>
      <w:bCs/>
    </w:rPr>
  </w:style>
  <w:style w:type="paragraph" w:styleId="ListParagraph">
    <w:name w:val="List Paragraph"/>
    <w:basedOn w:val="Normal"/>
    <w:uiPriority w:val="34"/>
    <w:qFormat/>
    <w:rsid w:val="006D4B9B"/>
    <w:pPr>
      <w:ind w:left="720"/>
      <w:contextualSpacing/>
    </w:pPr>
  </w:style>
  <w:style w:type="character" w:styleId="FollowedHyperlink">
    <w:name w:val="FollowedHyperlink"/>
    <w:basedOn w:val="DefaultParagraphFont"/>
    <w:uiPriority w:val="99"/>
    <w:semiHidden/>
    <w:unhideWhenUsed/>
    <w:rsid w:val="00DE1B1E"/>
    <w:rPr>
      <w:color w:val="954F72" w:themeColor="followedHyperlink"/>
      <w:u w:val="single"/>
    </w:rPr>
  </w:style>
  <w:style w:type="paragraph" w:styleId="Header">
    <w:name w:val="header"/>
    <w:basedOn w:val="Normal"/>
    <w:link w:val="HeaderChar"/>
    <w:uiPriority w:val="99"/>
    <w:unhideWhenUsed/>
    <w:rsid w:val="002E51A1"/>
    <w:pPr>
      <w:tabs>
        <w:tab w:val="center" w:pos="4513"/>
        <w:tab w:val="right" w:pos="9026"/>
      </w:tabs>
    </w:pPr>
  </w:style>
  <w:style w:type="character" w:customStyle="1" w:styleId="HeaderChar">
    <w:name w:val="Header Char"/>
    <w:basedOn w:val="DefaultParagraphFont"/>
    <w:link w:val="Header"/>
    <w:uiPriority w:val="99"/>
    <w:rsid w:val="002E51A1"/>
    <w:rPr>
      <w:rFonts w:ascii="Times New Roman" w:eastAsia="Times New Roman" w:hAnsi="Times New Roman" w:cs="Times New Roman"/>
      <w:lang w:eastAsia="en-GB"/>
    </w:rPr>
  </w:style>
  <w:style w:type="paragraph" w:styleId="Footer">
    <w:name w:val="footer"/>
    <w:basedOn w:val="Normal"/>
    <w:link w:val="FooterChar"/>
    <w:uiPriority w:val="99"/>
    <w:unhideWhenUsed/>
    <w:rsid w:val="002E51A1"/>
    <w:pPr>
      <w:tabs>
        <w:tab w:val="center" w:pos="4513"/>
        <w:tab w:val="right" w:pos="9026"/>
      </w:tabs>
    </w:pPr>
  </w:style>
  <w:style w:type="character" w:customStyle="1" w:styleId="FooterChar">
    <w:name w:val="Footer Char"/>
    <w:basedOn w:val="DefaultParagraphFont"/>
    <w:link w:val="Footer"/>
    <w:uiPriority w:val="99"/>
    <w:rsid w:val="002E51A1"/>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2414">
      <w:bodyDiv w:val="1"/>
      <w:marLeft w:val="0"/>
      <w:marRight w:val="0"/>
      <w:marTop w:val="0"/>
      <w:marBottom w:val="0"/>
      <w:divBdr>
        <w:top w:val="none" w:sz="0" w:space="0" w:color="auto"/>
        <w:left w:val="none" w:sz="0" w:space="0" w:color="auto"/>
        <w:bottom w:val="none" w:sz="0" w:space="0" w:color="auto"/>
        <w:right w:val="none" w:sz="0" w:space="0" w:color="auto"/>
      </w:divBdr>
    </w:div>
    <w:div w:id="102580157">
      <w:bodyDiv w:val="1"/>
      <w:marLeft w:val="0"/>
      <w:marRight w:val="0"/>
      <w:marTop w:val="0"/>
      <w:marBottom w:val="0"/>
      <w:divBdr>
        <w:top w:val="none" w:sz="0" w:space="0" w:color="auto"/>
        <w:left w:val="none" w:sz="0" w:space="0" w:color="auto"/>
        <w:bottom w:val="none" w:sz="0" w:space="0" w:color="auto"/>
        <w:right w:val="none" w:sz="0" w:space="0" w:color="auto"/>
      </w:divBdr>
    </w:div>
    <w:div w:id="129791466">
      <w:bodyDiv w:val="1"/>
      <w:marLeft w:val="0"/>
      <w:marRight w:val="0"/>
      <w:marTop w:val="0"/>
      <w:marBottom w:val="0"/>
      <w:divBdr>
        <w:top w:val="none" w:sz="0" w:space="0" w:color="auto"/>
        <w:left w:val="none" w:sz="0" w:space="0" w:color="auto"/>
        <w:bottom w:val="none" w:sz="0" w:space="0" w:color="auto"/>
        <w:right w:val="none" w:sz="0" w:space="0" w:color="auto"/>
      </w:divBdr>
    </w:div>
    <w:div w:id="161556937">
      <w:bodyDiv w:val="1"/>
      <w:marLeft w:val="0"/>
      <w:marRight w:val="0"/>
      <w:marTop w:val="0"/>
      <w:marBottom w:val="0"/>
      <w:divBdr>
        <w:top w:val="none" w:sz="0" w:space="0" w:color="auto"/>
        <w:left w:val="none" w:sz="0" w:space="0" w:color="auto"/>
        <w:bottom w:val="none" w:sz="0" w:space="0" w:color="auto"/>
        <w:right w:val="none" w:sz="0" w:space="0" w:color="auto"/>
      </w:divBdr>
    </w:div>
    <w:div w:id="223833294">
      <w:bodyDiv w:val="1"/>
      <w:marLeft w:val="0"/>
      <w:marRight w:val="0"/>
      <w:marTop w:val="0"/>
      <w:marBottom w:val="0"/>
      <w:divBdr>
        <w:top w:val="none" w:sz="0" w:space="0" w:color="auto"/>
        <w:left w:val="none" w:sz="0" w:space="0" w:color="auto"/>
        <w:bottom w:val="none" w:sz="0" w:space="0" w:color="auto"/>
        <w:right w:val="none" w:sz="0" w:space="0" w:color="auto"/>
      </w:divBdr>
    </w:div>
    <w:div w:id="248777990">
      <w:bodyDiv w:val="1"/>
      <w:marLeft w:val="0"/>
      <w:marRight w:val="0"/>
      <w:marTop w:val="0"/>
      <w:marBottom w:val="0"/>
      <w:divBdr>
        <w:top w:val="none" w:sz="0" w:space="0" w:color="auto"/>
        <w:left w:val="none" w:sz="0" w:space="0" w:color="auto"/>
        <w:bottom w:val="none" w:sz="0" w:space="0" w:color="auto"/>
        <w:right w:val="none" w:sz="0" w:space="0" w:color="auto"/>
      </w:divBdr>
    </w:div>
    <w:div w:id="276841023">
      <w:bodyDiv w:val="1"/>
      <w:marLeft w:val="0"/>
      <w:marRight w:val="0"/>
      <w:marTop w:val="0"/>
      <w:marBottom w:val="0"/>
      <w:divBdr>
        <w:top w:val="none" w:sz="0" w:space="0" w:color="auto"/>
        <w:left w:val="none" w:sz="0" w:space="0" w:color="auto"/>
        <w:bottom w:val="none" w:sz="0" w:space="0" w:color="auto"/>
        <w:right w:val="none" w:sz="0" w:space="0" w:color="auto"/>
      </w:divBdr>
    </w:div>
    <w:div w:id="292953128">
      <w:bodyDiv w:val="1"/>
      <w:marLeft w:val="0"/>
      <w:marRight w:val="0"/>
      <w:marTop w:val="0"/>
      <w:marBottom w:val="0"/>
      <w:divBdr>
        <w:top w:val="none" w:sz="0" w:space="0" w:color="auto"/>
        <w:left w:val="none" w:sz="0" w:space="0" w:color="auto"/>
        <w:bottom w:val="none" w:sz="0" w:space="0" w:color="auto"/>
        <w:right w:val="none" w:sz="0" w:space="0" w:color="auto"/>
      </w:divBdr>
    </w:div>
    <w:div w:id="344526415">
      <w:bodyDiv w:val="1"/>
      <w:marLeft w:val="0"/>
      <w:marRight w:val="0"/>
      <w:marTop w:val="0"/>
      <w:marBottom w:val="0"/>
      <w:divBdr>
        <w:top w:val="none" w:sz="0" w:space="0" w:color="auto"/>
        <w:left w:val="none" w:sz="0" w:space="0" w:color="auto"/>
        <w:bottom w:val="none" w:sz="0" w:space="0" w:color="auto"/>
        <w:right w:val="none" w:sz="0" w:space="0" w:color="auto"/>
      </w:divBdr>
    </w:div>
    <w:div w:id="364714858">
      <w:bodyDiv w:val="1"/>
      <w:marLeft w:val="0"/>
      <w:marRight w:val="0"/>
      <w:marTop w:val="0"/>
      <w:marBottom w:val="0"/>
      <w:divBdr>
        <w:top w:val="none" w:sz="0" w:space="0" w:color="auto"/>
        <w:left w:val="none" w:sz="0" w:space="0" w:color="auto"/>
        <w:bottom w:val="none" w:sz="0" w:space="0" w:color="auto"/>
        <w:right w:val="none" w:sz="0" w:space="0" w:color="auto"/>
      </w:divBdr>
      <w:divsChild>
        <w:div w:id="2006980480">
          <w:marLeft w:val="0"/>
          <w:marRight w:val="0"/>
          <w:marTop w:val="0"/>
          <w:marBottom w:val="0"/>
          <w:divBdr>
            <w:top w:val="none" w:sz="0" w:space="0" w:color="auto"/>
            <w:left w:val="none" w:sz="0" w:space="0" w:color="auto"/>
            <w:bottom w:val="none" w:sz="0" w:space="0" w:color="auto"/>
            <w:right w:val="none" w:sz="0" w:space="0" w:color="auto"/>
          </w:divBdr>
          <w:divsChild>
            <w:div w:id="123697307">
              <w:marLeft w:val="0"/>
              <w:marRight w:val="0"/>
              <w:marTop w:val="0"/>
              <w:marBottom w:val="0"/>
              <w:divBdr>
                <w:top w:val="none" w:sz="0" w:space="0" w:color="auto"/>
                <w:left w:val="none" w:sz="0" w:space="0" w:color="auto"/>
                <w:bottom w:val="none" w:sz="0" w:space="0" w:color="auto"/>
                <w:right w:val="none" w:sz="0" w:space="0" w:color="auto"/>
              </w:divBdr>
              <w:divsChild>
                <w:div w:id="23023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114640">
      <w:bodyDiv w:val="1"/>
      <w:marLeft w:val="0"/>
      <w:marRight w:val="0"/>
      <w:marTop w:val="0"/>
      <w:marBottom w:val="0"/>
      <w:divBdr>
        <w:top w:val="none" w:sz="0" w:space="0" w:color="auto"/>
        <w:left w:val="none" w:sz="0" w:space="0" w:color="auto"/>
        <w:bottom w:val="none" w:sz="0" w:space="0" w:color="auto"/>
        <w:right w:val="none" w:sz="0" w:space="0" w:color="auto"/>
      </w:divBdr>
    </w:div>
    <w:div w:id="433091591">
      <w:bodyDiv w:val="1"/>
      <w:marLeft w:val="0"/>
      <w:marRight w:val="0"/>
      <w:marTop w:val="0"/>
      <w:marBottom w:val="0"/>
      <w:divBdr>
        <w:top w:val="none" w:sz="0" w:space="0" w:color="auto"/>
        <w:left w:val="none" w:sz="0" w:space="0" w:color="auto"/>
        <w:bottom w:val="none" w:sz="0" w:space="0" w:color="auto"/>
        <w:right w:val="none" w:sz="0" w:space="0" w:color="auto"/>
      </w:divBdr>
    </w:div>
    <w:div w:id="447622899">
      <w:bodyDiv w:val="1"/>
      <w:marLeft w:val="0"/>
      <w:marRight w:val="0"/>
      <w:marTop w:val="0"/>
      <w:marBottom w:val="0"/>
      <w:divBdr>
        <w:top w:val="none" w:sz="0" w:space="0" w:color="auto"/>
        <w:left w:val="none" w:sz="0" w:space="0" w:color="auto"/>
        <w:bottom w:val="none" w:sz="0" w:space="0" w:color="auto"/>
        <w:right w:val="none" w:sz="0" w:space="0" w:color="auto"/>
      </w:divBdr>
      <w:divsChild>
        <w:div w:id="1324579863">
          <w:marLeft w:val="0"/>
          <w:marRight w:val="0"/>
          <w:marTop w:val="0"/>
          <w:marBottom w:val="0"/>
          <w:divBdr>
            <w:top w:val="none" w:sz="0" w:space="0" w:color="auto"/>
            <w:left w:val="none" w:sz="0" w:space="0" w:color="auto"/>
            <w:bottom w:val="none" w:sz="0" w:space="0" w:color="auto"/>
            <w:right w:val="none" w:sz="0" w:space="0" w:color="auto"/>
          </w:divBdr>
          <w:divsChild>
            <w:div w:id="705983662">
              <w:marLeft w:val="0"/>
              <w:marRight w:val="0"/>
              <w:marTop w:val="0"/>
              <w:marBottom w:val="0"/>
              <w:divBdr>
                <w:top w:val="none" w:sz="0" w:space="0" w:color="auto"/>
                <w:left w:val="none" w:sz="0" w:space="0" w:color="auto"/>
                <w:bottom w:val="none" w:sz="0" w:space="0" w:color="auto"/>
                <w:right w:val="none" w:sz="0" w:space="0" w:color="auto"/>
              </w:divBdr>
              <w:divsChild>
                <w:div w:id="157732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896172">
      <w:bodyDiv w:val="1"/>
      <w:marLeft w:val="0"/>
      <w:marRight w:val="0"/>
      <w:marTop w:val="0"/>
      <w:marBottom w:val="0"/>
      <w:divBdr>
        <w:top w:val="none" w:sz="0" w:space="0" w:color="auto"/>
        <w:left w:val="none" w:sz="0" w:space="0" w:color="auto"/>
        <w:bottom w:val="none" w:sz="0" w:space="0" w:color="auto"/>
        <w:right w:val="none" w:sz="0" w:space="0" w:color="auto"/>
      </w:divBdr>
    </w:div>
    <w:div w:id="477960218">
      <w:bodyDiv w:val="1"/>
      <w:marLeft w:val="0"/>
      <w:marRight w:val="0"/>
      <w:marTop w:val="0"/>
      <w:marBottom w:val="0"/>
      <w:divBdr>
        <w:top w:val="none" w:sz="0" w:space="0" w:color="auto"/>
        <w:left w:val="none" w:sz="0" w:space="0" w:color="auto"/>
        <w:bottom w:val="none" w:sz="0" w:space="0" w:color="auto"/>
        <w:right w:val="none" w:sz="0" w:space="0" w:color="auto"/>
      </w:divBdr>
    </w:div>
    <w:div w:id="586767334">
      <w:bodyDiv w:val="1"/>
      <w:marLeft w:val="0"/>
      <w:marRight w:val="0"/>
      <w:marTop w:val="0"/>
      <w:marBottom w:val="0"/>
      <w:divBdr>
        <w:top w:val="none" w:sz="0" w:space="0" w:color="auto"/>
        <w:left w:val="none" w:sz="0" w:space="0" w:color="auto"/>
        <w:bottom w:val="none" w:sz="0" w:space="0" w:color="auto"/>
        <w:right w:val="none" w:sz="0" w:space="0" w:color="auto"/>
      </w:divBdr>
    </w:div>
    <w:div w:id="724529880">
      <w:bodyDiv w:val="1"/>
      <w:marLeft w:val="0"/>
      <w:marRight w:val="0"/>
      <w:marTop w:val="0"/>
      <w:marBottom w:val="0"/>
      <w:divBdr>
        <w:top w:val="none" w:sz="0" w:space="0" w:color="auto"/>
        <w:left w:val="none" w:sz="0" w:space="0" w:color="auto"/>
        <w:bottom w:val="none" w:sz="0" w:space="0" w:color="auto"/>
        <w:right w:val="none" w:sz="0" w:space="0" w:color="auto"/>
      </w:divBdr>
    </w:div>
    <w:div w:id="731268175">
      <w:bodyDiv w:val="1"/>
      <w:marLeft w:val="0"/>
      <w:marRight w:val="0"/>
      <w:marTop w:val="0"/>
      <w:marBottom w:val="0"/>
      <w:divBdr>
        <w:top w:val="none" w:sz="0" w:space="0" w:color="auto"/>
        <w:left w:val="none" w:sz="0" w:space="0" w:color="auto"/>
        <w:bottom w:val="none" w:sz="0" w:space="0" w:color="auto"/>
        <w:right w:val="none" w:sz="0" w:space="0" w:color="auto"/>
      </w:divBdr>
    </w:div>
    <w:div w:id="773667243">
      <w:bodyDiv w:val="1"/>
      <w:marLeft w:val="0"/>
      <w:marRight w:val="0"/>
      <w:marTop w:val="0"/>
      <w:marBottom w:val="0"/>
      <w:divBdr>
        <w:top w:val="none" w:sz="0" w:space="0" w:color="auto"/>
        <w:left w:val="none" w:sz="0" w:space="0" w:color="auto"/>
        <w:bottom w:val="none" w:sz="0" w:space="0" w:color="auto"/>
        <w:right w:val="none" w:sz="0" w:space="0" w:color="auto"/>
      </w:divBdr>
    </w:div>
    <w:div w:id="776365759">
      <w:bodyDiv w:val="1"/>
      <w:marLeft w:val="0"/>
      <w:marRight w:val="0"/>
      <w:marTop w:val="0"/>
      <w:marBottom w:val="0"/>
      <w:divBdr>
        <w:top w:val="none" w:sz="0" w:space="0" w:color="auto"/>
        <w:left w:val="none" w:sz="0" w:space="0" w:color="auto"/>
        <w:bottom w:val="none" w:sz="0" w:space="0" w:color="auto"/>
        <w:right w:val="none" w:sz="0" w:space="0" w:color="auto"/>
      </w:divBdr>
    </w:div>
    <w:div w:id="785733761">
      <w:bodyDiv w:val="1"/>
      <w:marLeft w:val="0"/>
      <w:marRight w:val="0"/>
      <w:marTop w:val="0"/>
      <w:marBottom w:val="0"/>
      <w:divBdr>
        <w:top w:val="none" w:sz="0" w:space="0" w:color="auto"/>
        <w:left w:val="none" w:sz="0" w:space="0" w:color="auto"/>
        <w:bottom w:val="none" w:sz="0" w:space="0" w:color="auto"/>
        <w:right w:val="none" w:sz="0" w:space="0" w:color="auto"/>
      </w:divBdr>
    </w:div>
    <w:div w:id="820002118">
      <w:bodyDiv w:val="1"/>
      <w:marLeft w:val="0"/>
      <w:marRight w:val="0"/>
      <w:marTop w:val="0"/>
      <w:marBottom w:val="0"/>
      <w:divBdr>
        <w:top w:val="none" w:sz="0" w:space="0" w:color="auto"/>
        <w:left w:val="none" w:sz="0" w:space="0" w:color="auto"/>
        <w:bottom w:val="none" w:sz="0" w:space="0" w:color="auto"/>
        <w:right w:val="none" w:sz="0" w:space="0" w:color="auto"/>
      </w:divBdr>
    </w:div>
    <w:div w:id="926815962">
      <w:bodyDiv w:val="1"/>
      <w:marLeft w:val="0"/>
      <w:marRight w:val="0"/>
      <w:marTop w:val="0"/>
      <w:marBottom w:val="0"/>
      <w:divBdr>
        <w:top w:val="none" w:sz="0" w:space="0" w:color="auto"/>
        <w:left w:val="none" w:sz="0" w:space="0" w:color="auto"/>
        <w:bottom w:val="none" w:sz="0" w:space="0" w:color="auto"/>
        <w:right w:val="none" w:sz="0" w:space="0" w:color="auto"/>
      </w:divBdr>
      <w:divsChild>
        <w:div w:id="1786266320">
          <w:marLeft w:val="0"/>
          <w:marRight w:val="0"/>
          <w:marTop w:val="0"/>
          <w:marBottom w:val="0"/>
          <w:divBdr>
            <w:top w:val="none" w:sz="0" w:space="0" w:color="auto"/>
            <w:left w:val="none" w:sz="0" w:space="0" w:color="auto"/>
            <w:bottom w:val="none" w:sz="0" w:space="0" w:color="auto"/>
            <w:right w:val="none" w:sz="0" w:space="0" w:color="auto"/>
          </w:divBdr>
          <w:divsChild>
            <w:div w:id="140738044">
              <w:marLeft w:val="0"/>
              <w:marRight w:val="0"/>
              <w:marTop w:val="0"/>
              <w:marBottom w:val="0"/>
              <w:divBdr>
                <w:top w:val="none" w:sz="0" w:space="0" w:color="auto"/>
                <w:left w:val="none" w:sz="0" w:space="0" w:color="auto"/>
                <w:bottom w:val="none" w:sz="0" w:space="0" w:color="auto"/>
                <w:right w:val="none" w:sz="0" w:space="0" w:color="auto"/>
              </w:divBdr>
              <w:divsChild>
                <w:div w:id="99839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484510">
      <w:bodyDiv w:val="1"/>
      <w:marLeft w:val="0"/>
      <w:marRight w:val="0"/>
      <w:marTop w:val="0"/>
      <w:marBottom w:val="0"/>
      <w:divBdr>
        <w:top w:val="none" w:sz="0" w:space="0" w:color="auto"/>
        <w:left w:val="none" w:sz="0" w:space="0" w:color="auto"/>
        <w:bottom w:val="none" w:sz="0" w:space="0" w:color="auto"/>
        <w:right w:val="none" w:sz="0" w:space="0" w:color="auto"/>
      </w:divBdr>
    </w:div>
    <w:div w:id="1058015247">
      <w:bodyDiv w:val="1"/>
      <w:marLeft w:val="0"/>
      <w:marRight w:val="0"/>
      <w:marTop w:val="0"/>
      <w:marBottom w:val="0"/>
      <w:divBdr>
        <w:top w:val="none" w:sz="0" w:space="0" w:color="auto"/>
        <w:left w:val="none" w:sz="0" w:space="0" w:color="auto"/>
        <w:bottom w:val="none" w:sz="0" w:space="0" w:color="auto"/>
        <w:right w:val="none" w:sz="0" w:space="0" w:color="auto"/>
      </w:divBdr>
    </w:div>
    <w:div w:id="1076128530">
      <w:bodyDiv w:val="1"/>
      <w:marLeft w:val="0"/>
      <w:marRight w:val="0"/>
      <w:marTop w:val="0"/>
      <w:marBottom w:val="0"/>
      <w:divBdr>
        <w:top w:val="none" w:sz="0" w:space="0" w:color="auto"/>
        <w:left w:val="none" w:sz="0" w:space="0" w:color="auto"/>
        <w:bottom w:val="none" w:sz="0" w:space="0" w:color="auto"/>
        <w:right w:val="none" w:sz="0" w:space="0" w:color="auto"/>
      </w:divBdr>
    </w:div>
    <w:div w:id="1286040724">
      <w:bodyDiv w:val="1"/>
      <w:marLeft w:val="0"/>
      <w:marRight w:val="0"/>
      <w:marTop w:val="0"/>
      <w:marBottom w:val="0"/>
      <w:divBdr>
        <w:top w:val="none" w:sz="0" w:space="0" w:color="auto"/>
        <w:left w:val="none" w:sz="0" w:space="0" w:color="auto"/>
        <w:bottom w:val="none" w:sz="0" w:space="0" w:color="auto"/>
        <w:right w:val="none" w:sz="0" w:space="0" w:color="auto"/>
      </w:divBdr>
      <w:divsChild>
        <w:div w:id="894970978">
          <w:marLeft w:val="0"/>
          <w:marRight w:val="0"/>
          <w:marTop w:val="0"/>
          <w:marBottom w:val="0"/>
          <w:divBdr>
            <w:top w:val="none" w:sz="0" w:space="0" w:color="auto"/>
            <w:left w:val="none" w:sz="0" w:space="0" w:color="auto"/>
            <w:bottom w:val="none" w:sz="0" w:space="0" w:color="auto"/>
            <w:right w:val="none" w:sz="0" w:space="0" w:color="auto"/>
          </w:divBdr>
          <w:divsChild>
            <w:div w:id="1189678582">
              <w:marLeft w:val="0"/>
              <w:marRight w:val="0"/>
              <w:marTop w:val="0"/>
              <w:marBottom w:val="0"/>
              <w:divBdr>
                <w:top w:val="none" w:sz="0" w:space="0" w:color="auto"/>
                <w:left w:val="none" w:sz="0" w:space="0" w:color="auto"/>
                <w:bottom w:val="none" w:sz="0" w:space="0" w:color="auto"/>
                <w:right w:val="none" w:sz="0" w:space="0" w:color="auto"/>
              </w:divBdr>
              <w:divsChild>
                <w:div w:id="154058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27943">
      <w:bodyDiv w:val="1"/>
      <w:marLeft w:val="0"/>
      <w:marRight w:val="0"/>
      <w:marTop w:val="0"/>
      <w:marBottom w:val="0"/>
      <w:divBdr>
        <w:top w:val="none" w:sz="0" w:space="0" w:color="auto"/>
        <w:left w:val="none" w:sz="0" w:space="0" w:color="auto"/>
        <w:bottom w:val="none" w:sz="0" w:space="0" w:color="auto"/>
        <w:right w:val="none" w:sz="0" w:space="0" w:color="auto"/>
      </w:divBdr>
    </w:div>
    <w:div w:id="1411195305">
      <w:bodyDiv w:val="1"/>
      <w:marLeft w:val="0"/>
      <w:marRight w:val="0"/>
      <w:marTop w:val="0"/>
      <w:marBottom w:val="0"/>
      <w:divBdr>
        <w:top w:val="none" w:sz="0" w:space="0" w:color="auto"/>
        <w:left w:val="none" w:sz="0" w:space="0" w:color="auto"/>
        <w:bottom w:val="none" w:sz="0" w:space="0" w:color="auto"/>
        <w:right w:val="none" w:sz="0" w:space="0" w:color="auto"/>
      </w:divBdr>
      <w:divsChild>
        <w:div w:id="100686990">
          <w:marLeft w:val="0"/>
          <w:marRight w:val="0"/>
          <w:marTop w:val="0"/>
          <w:marBottom w:val="0"/>
          <w:divBdr>
            <w:top w:val="none" w:sz="0" w:space="0" w:color="auto"/>
            <w:left w:val="none" w:sz="0" w:space="0" w:color="auto"/>
            <w:bottom w:val="none" w:sz="0" w:space="0" w:color="auto"/>
            <w:right w:val="none" w:sz="0" w:space="0" w:color="auto"/>
          </w:divBdr>
          <w:divsChild>
            <w:div w:id="1943027546">
              <w:marLeft w:val="0"/>
              <w:marRight w:val="0"/>
              <w:marTop w:val="0"/>
              <w:marBottom w:val="0"/>
              <w:divBdr>
                <w:top w:val="none" w:sz="0" w:space="0" w:color="auto"/>
                <w:left w:val="none" w:sz="0" w:space="0" w:color="auto"/>
                <w:bottom w:val="none" w:sz="0" w:space="0" w:color="auto"/>
                <w:right w:val="none" w:sz="0" w:space="0" w:color="auto"/>
              </w:divBdr>
              <w:divsChild>
                <w:div w:id="178719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586629">
      <w:bodyDiv w:val="1"/>
      <w:marLeft w:val="0"/>
      <w:marRight w:val="0"/>
      <w:marTop w:val="0"/>
      <w:marBottom w:val="0"/>
      <w:divBdr>
        <w:top w:val="none" w:sz="0" w:space="0" w:color="auto"/>
        <w:left w:val="none" w:sz="0" w:space="0" w:color="auto"/>
        <w:bottom w:val="none" w:sz="0" w:space="0" w:color="auto"/>
        <w:right w:val="none" w:sz="0" w:space="0" w:color="auto"/>
      </w:divBdr>
    </w:div>
    <w:div w:id="1476144793">
      <w:bodyDiv w:val="1"/>
      <w:marLeft w:val="0"/>
      <w:marRight w:val="0"/>
      <w:marTop w:val="0"/>
      <w:marBottom w:val="0"/>
      <w:divBdr>
        <w:top w:val="none" w:sz="0" w:space="0" w:color="auto"/>
        <w:left w:val="none" w:sz="0" w:space="0" w:color="auto"/>
        <w:bottom w:val="none" w:sz="0" w:space="0" w:color="auto"/>
        <w:right w:val="none" w:sz="0" w:space="0" w:color="auto"/>
      </w:divBdr>
    </w:div>
    <w:div w:id="1489711148">
      <w:bodyDiv w:val="1"/>
      <w:marLeft w:val="0"/>
      <w:marRight w:val="0"/>
      <w:marTop w:val="0"/>
      <w:marBottom w:val="0"/>
      <w:divBdr>
        <w:top w:val="none" w:sz="0" w:space="0" w:color="auto"/>
        <w:left w:val="none" w:sz="0" w:space="0" w:color="auto"/>
        <w:bottom w:val="none" w:sz="0" w:space="0" w:color="auto"/>
        <w:right w:val="none" w:sz="0" w:space="0" w:color="auto"/>
      </w:divBdr>
    </w:div>
    <w:div w:id="1490709557">
      <w:bodyDiv w:val="1"/>
      <w:marLeft w:val="0"/>
      <w:marRight w:val="0"/>
      <w:marTop w:val="0"/>
      <w:marBottom w:val="0"/>
      <w:divBdr>
        <w:top w:val="none" w:sz="0" w:space="0" w:color="auto"/>
        <w:left w:val="none" w:sz="0" w:space="0" w:color="auto"/>
        <w:bottom w:val="none" w:sz="0" w:space="0" w:color="auto"/>
        <w:right w:val="none" w:sz="0" w:space="0" w:color="auto"/>
      </w:divBdr>
    </w:div>
    <w:div w:id="1516573331">
      <w:bodyDiv w:val="1"/>
      <w:marLeft w:val="0"/>
      <w:marRight w:val="0"/>
      <w:marTop w:val="0"/>
      <w:marBottom w:val="0"/>
      <w:divBdr>
        <w:top w:val="none" w:sz="0" w:space="0" w:color="auto"/>
        <w:left w:val="none" w:sz="0" w:space="0" w:color="auto"/>
        <w:bottom w:val="none" w:sz="0" w:space="0" w:color="auto"/>
        <w:right w:val="none" w:sz="0" w:space="0" w:color="auto"/>
      </w:divBdr>
    </w:div>
    <w:div w:id="1523007567">
      <w:bodyDiv w:val="1"/>
      <w:marLeft w:val="0"/>
      <w:marRight w:val="0"/>
      <w:marTop w:val="0"/>
      <w:marBottom w:val="0"/>
      <w:divBdr>
        <w:top w:val="none" w:sz="0" w:space="0" w:color="auto"/>
        <w:left w:val="none" w:sz="0" w:space="0" w:color="auto"/>
        <w:bottom w:val="none" w:sz="0" w:space="0" w:color="auto"/>
        <w:right w:val="none" w:sz="0" w:space="0" w:color="auto"/>
      </w:divBdr>
    </w:div>
    <w:div w:id="1544488520">
      <w:bodyDiv w:val="1"/>
      <w:marLeft w:val="0"/>
      <w:marRight w:val="0"/>
      <w:marTop w:val="0"/>
      <w:marBottom w:val="0"/>
      <w:divBdr>
        <w:top w:val="none" w:sz="0" w:space="0" w:color="auto"/>
        <w:left w:val="none" w:sz="0" w:space="0" w:color="auto"/>
        <w:bottom w:val="none" w:sz="0" w:space="0" w:color="auto"/>
        <w:right w:val="none" w:sz="0" w:space="0" w:color="auto"/>
      </w:divBdr>
      <w:divsChild>
        <w:div w:id="475415539">
          <w:marLeft w:val="0"/>
          <w:marRight w:val="0"/>
          <w:marTop w:val="0"/>
          <w:marBottom w:val="0"/>
          <w:divBdr>
            <w:top w:val="none" w:sz="0" w:space="0" w:color="auto"/>
            <w:left w:val="none" w:sz="0" w:space="0" w:color="auto"/>
            <w:bottom w:val="none" w:sz="0" w:space="0" w:color="auto"/>
            <w:right w:val="none" w:sz="0" w:space="0" w:color="auto"/>
          </w:divBdr>
          <w:divsChild>
            <w:div w:id="1408917231">
              <w:marLeft w:val="0"/>
              <w:marRight w:val="0"/>
              <w:marTop w:val="0"/>
              <w:marBottom w:val="0"/>
              <w:divBdr>
                <w:top w:val="none" w:sz="0" w:space="0" w:color="auto"/>
                <w:left w:val="none" w:sz="0" w:space="0" w:color="auto"/>
                <w:bottom w:val="none" w:sz="0" w:space="0" w:color="auto"/>
                <w:right w:val="none" w:sz="0" w:space="0" w:color="auto"/>
              </w:divBdr>
              <w:divsChild>
                <w:div w:id="213301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432295">
      <w:bodyDiv w:val="1"/>
      <w:marLeft w:val="0"/>
      <w:marRight w:val="0"/>
      <w:marTop w:val="0"/>
      <w:marBottom w:val="0"/>
      <w:divBdr>
        <w:top w:val="none" w:sz="0" w:space="0" w:color="auto"/>
        <w:left w:val="none" w:sz="0" w:space="0" w:color="auto"/>
        <w:bottom w:val="none" w:sz="0" w:space="0" w:color="auto"/>
        <w:right w:val="none" w:sz="0" w:space="0" w:color="auto"/>
      </w:divBdr>
    </w:div>
    <w:div w:id="1616407666">
      <w:bodyDiv w:val="1"/>
      <w:marLeft w:val="0"/>
      <w:marRight w:val="0"/>
      <w:marTop w:val="0"/>
      <w:marBottom w:val="0"/>
      <w:divBdr>
        <w:top w:val="none" w:sz="0" w:space="0" w:color="auto"/>
        <w:left w:val="none" w:sz="0" w:space="0" w:color="auto"/>
        <w:bottom w:val="none" w:sz="0" w:space="0" w:color="auto"/>
        <w:right w:val="none" w:sz="0" w:space="0" w:color="auto"/>
      </w:divBdr>
    </w:div>
    <w:div w:id="1635601996">
      <w:bodyDiv w:val="1"/>
      <w:marLeft w:val="0"/>
      <w:marRight w:val="0"/>
      <w:marTop w:val="0"/>
      <w:marBottom w:val="0"/>
      <w:divBdr>
        <w:top w:val="none" w:sz="0" w:space="0" w:color="auto"/>
        <w:left w:val="none" w:sz="0" w:space="0" w:color="auto"/>
        <w:bottom w:val="none" w:sz="0" w:space="0" w:color="auto"/>
        <w:right w:val="none" w:sz="0" w:space="0" w:color="auto"/>
      </w:divBdr>
    </w:div>
    <w:div w:id="1723753023">
      <w:bodyDiv w:val="1"/>
      <w:marLeft w:val="0"/>
      <w:marRight w:val="0"/>
      <w:marTop w:val="0"/>
      <w:marBottom w:val="0"/>
      <w:divBdr>
        <w:top w:val="none" w:sz="0" w:space="0" w:color="auto"/>
        <w:left w:val="none" w:sz="0" w:space="0" w:color="auto"/>
        <w:bottom w:val="none" w:sz="0" w:space="0" w:color="auto"/>
        <w:right w:val="none" w:sz="0" w:space="0" w:color="auto"/>
      </w:divBdr>
    </w:div>
    <w:div w:id="1747074682">
      <w:bodyDiv w:val="1"/>
      <w:marLeft w:val="0"/>
      <w:marRight w:val="0"/>
      <w:marTop w:val="0"/>
      <w:marBottom w:val="0"/>
      <w:divBdr>
        <w:top w:val="none" w:sz="0" w:space="0" w:color="auto"/>
        <w:left w:val="none" w:sz="0" w:space="0" w:color="auto"/>
        <w:bottom w:val="none" w:sz="0" w:space="0" w:color="auto"/>
        <w:right w:val="none" w:sz="0" w:space="0" w:color="auto"/>
      </w:divBdr>
    </w:div>
    <w:div w:id="1759983569">
      <w:bodyDiv w:val="1"/>
      <w:marLeft w:val="0"/>
      <w:marRight w:val="0"/>
      <w:marTop w:val="0"/>
      <w:marBottom w:val="0"/>
      <w:divBdr>
        <w:top w:val="none" w:sz="0" w:space="0" w:color="auto"/>
        <w:left w:val="none" w:sz="0" w:space="0" w:color="auto"/>
        <w:bottom w:val="none" w:sz="0" w:space="0" w:color="auto"/>
        <w:right w:val="none" w:sz="0" w:space="0" w:color="auto"/>
      </w:divBdr>
    </w:div>
    <w:div w:id="1772777447">
      <w:bodyDiv w:val="1"/>
      <w:marLeft w:val="0"/>
      <w:marRight w:val="0"/>
      <w:marTop w:val="0"/>
      <w:marBottom w:val="0"/>
      <w:divBdr>
        <w:top w:val="none" w:sz="0" w:space="0" w:color="auto"/>
        <w:left w:val="none" w:sz="0" w:space="0" w:color="auto"/>
        <w:bottom w:val="none" w:sz="0" w:space="0" w:color="auto"/>
        <w:right w:val="none" w:sz="0" w:space="0" w:color="auto"/>
      </w:divBdr>
    </w:div>
    <w:div w:id="1772973237">
      <w:bodyDiv w:val="1"/>
      <w:marLeft w:val="0"/>
      <w:marRight w:val="0"/>
      <w:marTop w:val="0"/>
      <w:marBottom w:val="0"/>
      <w:divBdr>
        <w:top w:val="none" w:sz="0" w:space="0" w:color="auto"/>
        <w:left w:val="none" w:sz="0" w:space="0" w:color="auto"/>
        <w:bottom w:val="none" w:sz="0" w:space="0" w:color="auto"/>
        <w:right w:val="none" w:sz="0" w:space="0" w:color="auto"/>
      </w:divBdr>
    </w:div>
    <w:div w:id="1814642207">
      <w:bodyDiv w:val="1"/>
      <w:marLeft w:val="0"/>
      <w:marRight w:val="0"/>
      <w:marTop w:val="0"/>
      <w:marBottom w:val="0"/>
      <w:divBdr>
        <w:top w:val="none" w:sz="0" w:space="0" w:color="auto"/>
        <w:left w:val="none" w:sz="0" w:space="0" w:color="auto"/>
        <w:bottom w:val="none" w:sz="0" w:space="0" w:color="auto"/>
        <w:right w:val="none" w:sz="0" w:space="0" w:color="auto"/>
      </w:divBdr>
    </w:div>
    <w:div w:id="1857111388">
      <w:bodyDiv w:val="1"/>
      <w:marLeft w:val="0"/>
      <w:marRight w:val="0"/>
      <w:marTop w:val="0"/>
      <w:marBottom w:val="0"/>
      <w:divBdr>
        <w:top w:val="none" w:sz="0" w:space="0" w:color="auto"/>
        <w:left w:val="none" w:sz="0" w:space="0" w:color="auto"/>
        <w:bottom w:val="none" w:sz="0" w:space="0" w:color="auto"/>
        <w:right w:val="none" w:sz="0" w:space="0" w:color="auto"/>
      </w:divBdr>
    </w:div>
    <w:div w:id="1878854954">
      <w:bodyDiv w:val="1"/>
      <w:marLeft w:val="0"/>
      <w:marRight w:val="0"/>
      <w:marTop w:val="0"/>
      <w:marBottom w:val="0"/>
      <w:divBdr>
        <w:top w:val="none" w:sz="0" w:space="0" w:color="auto"/>
        <w:left w:val="none" w:sz="0" w:space="0" w:color="auto"/>
        <w:bottom w:val="none" w:sz="0" w:space="0" w:color="auto"/>
        <w:right w:val="none" w:sz="0" w:space="0" w:color="auto"/>
      </w:divBdr>
    </w:div>
    <w:div w:id="1880969612">
      <w:bodyDiv w:val="1"/>
      <w:marLeft w:val="0"/>
      <w:marRight w:val="0"/>
      <w:marTop w:val="0"/>
      <w:marBottom w:val="0"/>
      <w:divBdr>
        <w:top w:val="none" w:sz="0" w:space="0" w:color="auto"/>
        <w:left w:val="none" w:sz="0" w:space="0" w:color="auto"/>
        <w:bottom w:val="none" w:sz="0" w:space="0" w:color="auto"/>
        <w:right w:val="none" w:sz="0" w:space="0" w:color="auto"/>
      </w:divBdr>
    </w:div>
    <w:div w:id="1891653565">
      <w:bodyDiv w:val="1"/>
      <w:marLeft w:val="0"/>
      <w:marRight w:val="0"/>
      <w:marTop w:val="0"/>
      <w:marBottom w:val="0"/>
      <w:divBdr>
        <w:top w:val="none" w:sz="0" w:space="0" w:color="auto"/>
        <w:left w:val="none" w:sz="0" w:space="0" w:color="auto"/>
        <w:bottom w:val="none" w:sz="0" w:space="0" w:color="auto"/>
        <w:right w:val="none" w:sz="0" w:space="0" w:color="auto"/>
      </w:divBdr>
    </w:div>
    <w:div w:id="1904558859">
      <w:bodyDiv w:val="1"/>
      <w:marLeft w:val="0"/>
      <w:marRight w:val="0"/>
      <w:marTop w:val="0"/>
      <w:marBottom w:val="0"/>
      <w:divBdr>
        <w:top w:val="none" w:sz="0" w:space="0" w:color="auto"/>
        <w:left w:val="none" w:sz="0" w:space="0" w:color="auto"/>
        <w:bottom w:val="none" w:sz="0" w:space="0" w:color="auto"/>
        <w:right w:val="none" w:sz="0" w:space="0" w:color="auto"/>
      </w:divBdr>
    </w:div>
    <w:div w:id="1992833652">
      <w:bodyDiv w:val="1"/>
      <w:marLeft w:val="0"/>
      <w:marRight w:val="0"/>
      <w:marTop w:val="0"/>
      <w:marBottom w:val="0"/>
      <w:divBdr>
        <w:top w:val="none" w:sz="0" w:space="0" w:color="auto"/>
        <w:left w:val="none" w:sz="0" w:space="0" w:color="auto"/>
        <w:bottom w:val="none" w:sz="0" w:space="0" w:color="auto"/>
        <w:right w:val="none" w:sz="0" w:space="0" w:color="auto"/>
      </w:divBdr>
    </w:div>
    <w:div w:id="2063629603">
      <w:bodyDiv w:val="1"/>
      <w:marLeft w:val="0"/>
      <w:marRight w:val="0"/>
      <w:marTop w:val="0"/>
      <w:marBottom w:val="0"/>
      <w:divBdr>
        <w:top w:val="none" w:sz="0" w:space="0" w:color="auto"/>
        <w:left w:val="none" w:sz="0" w:space="0" w:color="auto"/>
        <w:bottom w:val="none" w:sz="0" w:space="0" w:color="auto"/>
        <w:right w:val="none" w:sz="0" w:space="0" w:color="auto"/>
      </w:divBdr>
    </w:div>
    <w:div w:id="2086144467">
      <w:bodyDiv w:val="1"/>
      <w:marLeft w:val="0"/>
      <w:marRight w:val="0"/>
      <w:marTop w:val="0"/>
      <w:marBottom w:val="0"/>
      <w:divBdr>
        <w:top w:val="none" w:sz="0" w:space="0" w:color="auto"/>
        <w:left w:val="none" w:sz="0" w:space="0" w:color="auto"/>
        <w:bottom w:val="none" w:sz="0" w:space="0" w:color="auto"/>
        <w:right w:val="none" w:sz="0" w:space="0" w:color="auto"/>
      </w:divBdr>
    </w:div>
    <w:div w:id="2101291862">
      <w:bodyDiv w:val="1"/>
      <w:marLeft w:val="0"/>
      <w:marRight w:val="0"/>
      <w:marTop w:val="0"/>
      <w:marBottom w:val="0"/>
      <w:divBdr>
        <w:top w:val="none" w:sz="0" w:space="0" w:color="auto"/>
        <w:left w:val="none" w:sz="0" w:space="0" w:color="auto"/>
        <w:bottom w:val="none" w:sz="0" w:space="0" w:color="auto"/>
        <w:right w:val="none" w:sz="0" w:space="0" w:color="auto"/>
      </w:divBdr>
    </w:div>
    <w:div w:id="213497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warb.co.uk/an-informer-v-a-chief-constable-ca-29-feb-2012/" TargetMode="External"/><Relationship Id="rId13" Type="http://schemas.openxmlformats.org/officeDocument/2006/relationships/hyperlink" Target="https://publications.parliament.uk/pa/ld200708/ldjudgmt/jd080730/vanco-2.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ilex.org.uk/~/media/pdf_documents/main_cilex/education/study_pdfs/ce_reports/june_2021/l6/13_ce_comments_with_suggested_points_for_responses_final.pdf?la=en" TargetMode="External"/><Relationship Id="rId12" Type="http://schemas.openxmlformats.org/officeDocument/2006/relationships/hyperlink" Target="https://s3-eu-west-2.amazonaws.com/lawcom-prod-storage-11jsxou24uy7q/uploads/2015/04/LC249.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hura.shu.ac.uk/715/1/fulltex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cbeachcroft.com/en/gb/articles/2018/february/duty-of-care-owed-by-police-clarified-by-supreme-court-with-a-sting-in-the-tail/" TargetMode="External"/><Relationship Id="rId5" Type="http://schemas.openxmlformats.org/officeDocument/2006/relationships/footnotes" Target="footnotes.xml"/><Relationship Id="rId15" Type="http://schemas.openxmlformats.org/officeDocument/2006/relationships/hyperlink" Target="https://www.ucpi.org.uk/wp-content/uploads/2017/11/Swinney-v-CC-Northumbria-No.2-1999-WL-477396.pdf" TargetMode="External"/><Relationship Id="rId10" Type="http://schemas.openxmlformats.org/officeDocument/2006/relationships/hyperlink" Target="https://www.bailii.org/ew/cases/EWCA/Civ/2000/3017.html" TargetMode="External"/><Relationship Id="rId4" Type="http://schemas.openxmlformats.org/officeDocument/2006/relationships/webSettings" Target="webSettings.xml"/><Relationship Id="rId9" Type="http://schemas.openxmlformats.org/officeDocument/2006/relationships/hyperlink" Target="https://www.legislation.gov.uk/ukpga/1998/42/introduction" TargetMode="External"/><Relationship Id="rId14" Type="http://schemas.openxmlformats.org/officeDocument/2006/relationships/hyperlink" Target="https://emergency-services.news/a-duty-of-care-what-obligations-are-imposed-on-emergency-services-by-the-court-system-in-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2684</Words>
  <Characters>15303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Nigella Williams (2004362)</dc:creator>
  <cp:keywords/>
  <dc:description/>
  <cp:lastModifiedBy>Nigella Williams (2004362)</cp:lastModifiedBy>
  <cp:revision>4</cp:revision>
  <cp:lastPrinted>2022-10-20T19:33:00Z</cp:lastPrinted>
  <dcterms:created xsi:type="dcterms:W3CDTF">2022-11-10T21:52:00Z</dcterms:created>
  <dcterms:modified xsi:type="dcterms:W3CDTF">2022-11-10T22:12:00Z</dcterms:modified>
</cp:coreProperties>
</file>