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51283F" w14:textId="78479C79" w:rsidR="00F2120D" w:rsidRPr="003C36B1" w:rsidRDefault="0045054E" w:rsidP="00F2120D">
      <w:pPr>
        <w:jc w:val="center"/>
        <w:rPr>
          <w:rFonts w:asciiTheme="majorHAnsi" w:hAnsiTheme="majorHAnsi" w:cstheme="majorHAnsi"/>
          <w:sz w:val="56"/>
          <w:szCs w:val="56"/>
        </w:rPr>
      </w:pPr>
      <w:r w:rsidRPr="003C36B1">
        <w:rPr>
          <w:rFonts w:asciiTheme="majorHAnsi" w:hAnsiTheme="majorHAnsi" w:cstheme="majorHAnsi"/>
          <w:sz w:val="56"/>
          <w:szCs w:val="56"/>
        </w:rPr>
        <w:t>University of Wales Trinity Saint David</w:t>
      </w:r>
    </w:p>
    <w:p w14:paraId="6E0D777C" w14:textId="008E43C4" w:rsidR="00A93C6A" w:rsidRPr="003C36B1" w:rsidRDefault="0045054E" w:rsidP="005B0AC1">
      <w:pPr>
        <w:jc w:val="center"/>
        <w:rPr>
          <w:rFonts w:asciiTheme="majorHAnsi" w:hAnsiTheme="majorHAnsi" w:cstheme="majorHAnsi"/>
          <w:sz w:val="28"/>
          <w:szCs w:val="28"/>
        </w:rPr>
      </w:pPr>
      <w:r w:rsidRPr="003C36B1">
        <w:rPr>
          <w:rFonts w:asciiTheme="majorHAnsi" w:hAnsiTheme="majorHAnsi" w:cstheme="majorHAnsi"/>
          <w:sz w:val="28"/>
          <w:szCs w:val="28"/>
        </w:rPr>
        <w:t>Wales Institute</w:t>
      </w:r>
      <w:r w:rsidR="000942BA" w:rsidRPr="003C36B1">
        <w:rPr>
          <w:rFonts w:asciiTheme="majorHAnsi" w:hAnsiTheme="majorHAnsi" w:cstheme="majorHAnsi"/>
          <w:sz w:val="28"/>
          <w:szCs w:val="28"/>
        </w:rPr>
        <w:t xml:space="preserve"> of Science &amp; Art</w:t>
      </w:r>
    </w:p>
    <w:p w14:paraId="44B12050" w14:textId="468F63F4" w:rsidR="00A93C6A" w:rsidRPr="00F2120D" w:rsidRDefault="00423107" w:rsidP="00D90497">
      <w:pPr>
        <w:jc w:val="center"/>
        <w:rPr>
          <w:rFonts w:asciiTheme="majorHAnsi" w:hAnsiTheme="majorHAnsi" w:cstheme="majorHAnsi"/>
          <w:sz w:val="48"/>
          <w:szCs w:val="48"/>
        </w:rPr>
      </w:pPr>
      <w:r>
        <w:rPr>
          <w:rFonts w:asciiTheme="majorHAnsi" w:hAnsiTheme="majorHAnsi" w:cstheme="majorHAnsi"/>
          <w:sz w:val="48"/>
          <w:szCs w:val="48"/>
        </w:rPr>
        <w:pict w14:anchorId="2EB5ABCE">
          <v:rect id="_x0000_i1025" style="width:0;height:1.5pt" o:hralign="center" o:hrstd="t" o:hr="t" fillcolor="#a0a0a0" stroked="f"/>
        </w:pict>
      </w:r>
    </w:p>
    <w:p w14:paraId="5A31703B" w14:textId="7C0624F8" w:rsidR="00A93C6A" w:rsidRDefault="00A93C6A" w:rsidP="00A93C6A">
      <w:pPr>
        <w:jc w:val="center"/>
        <w:rPr>
          <w:noProof/>
        </w:rPr>
      </w:pPr>
    </w:p>
    <w:p w14:paraId="12C54471" w14:textId="77777777" w:rsidR="005B4F9D" w:rsidRDefault="005B4F9D" w:rsidP="00A93C6A">
      <w:pPr>
        <w:jc w:val="center"/>
        <w:rPr>
          <w:noProof/>
        </w:rPr>
      </w:pPr>
    </w:p>
    <w:p w14:paraId="35AB791A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FEA1928" wp14:editId="02D4153C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922020" cy="1257300"/>
            <wp:effectExtent l="0" t="0" r="0" b="0"/>
            <wp:wrapNone/>
            <wp:docPr id="4" name="Picture 4" descr="Swansea College of Art |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wansea College of Art | UWTS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121" r="75800" b="16450"/>
                    <a:stretch/>
                  </pic:blipFill>
                  <pic:spPr bwMode="auto">
                    <a:xfrm>
                      <a:off x="0" y="0"/>
                      <a:ext cx="922020" cy="125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1A2FB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</w:p>
    <w:p w14:paraId="6CE62410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</w:p>
    <w:p w14:paraId="54027272" w14:textId="77777777" w:rsidR="00A93C6A" w:rsidRDefault="00A93C6A" w:rsidP="00A93C6A">
      <w:pPr>
        <w:rPr>
          <w:rFonts w:asciiTheme="majorHAnsi" w:hAnsiTheme="majorHAnsi" w:cstheme="majorHAnsi"/>
          <w:sz w:val="24"/>
          <w:szCs w:val="28"/>
        </w:rPr>
      </w:pPr>
    </w:p>
    <w:p w14:paraId="3B1546CD" w14:textId="77777777" w:rsidR="00A93C6A" w:rsidRPr="00F2120D" w:rsidRDefault="00A93C6A" w:rsidP="00D90497">
      <w:pPr>
        <w:rPr>
          <w:rFonts w:asciiTheme="majorHAnsi" w:hAnsiTheme="majorHAnsi" w:cstheme="majorHAnsi"/>
          <w:sz w:val="48"/>
          <w:szCs w:val="48"/>
        </w:rPr>
      </w:pPr>
    </w:p>
    <w:p w14:paraId="3A49ED21" w14:textId="52703291" w:rsidR="00A93C6A" w:rsidRPr="003C36B1" w:rsidRDefault="00052019" w:rsidP="00A93C6A">
      <w:pPr>
        <w:jc w:val="center"/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Risk Assessment Technical Report</w:t>
      </w:r>
    </w:p>
    <w:p w14:paraId="411AEFD8" w14:textId="410ECF07" w:rsidR="00A93C6A" w:rsidRPr="003C36B1" w:rsidRDefault="00052019" w:rsidP="00A93C6A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Workshop and Practice</w:t>
      </w:r>
      <w:r w:rsidR="008A5D2C" w:rsidRPr="003C36B1">
        <w:rPr>
          <w:rFonts w:asciiTheme="majorHAnsi" w:hAnsiTheme="majorHAnsi" w:cstheme="majorHAnsi"/>
          <w:sz w:val="28"/>
          <w:szCs w:val="28"/>
        </w:rPr>
        <w:t>|</w:t>
      </w:r>
      <w:r w:rsidR="00C11D64">
        <w:rPr>
          <w:rFonts w:asciiTheme="majorHAnsi" w:hAnsiTheme="majorHAnsi" w:cstheme="majorHAnsi"/>
          <w:sz w:val="28"/>
          <w:szCs w:val="28"/>
        </w:rPr>
        <w:t>ACHA</w:t>
      </w:r>
      <w:r w:rsidR="00CD70E3">
        <w:rPr>
          <w:rFonts w:asciiTheme="majorHAnsi" w:hAnsiTheme="majorHAnsi" w:cstheme="majorHAnsi"/>
          <w:sz w:val="28"/>
          <w:szCs w:val="28"/>
        </w:rPr>
        <w:t>401</w:t>
      </w:r>
      <w:r>
        <w:rPr>
          <w:rFonts w:asciiTheme="majorHAnsi" w:hAnsiTheme="majorHAnsi" w:cstheme="majorHAnsi"/>
          <w:sz w:val="28"/>
          <w:szCs w:val="28"/>
        </w:rPr>
        <w:t>1</w:t>
      </w:r>
    </w:p>
    <w:p w14:paraId="416FF7AD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EB45967" w14:textId="672C6E3B" w:rsidR="00A93C6A" w:rsidRDefault="00A93C6A" w:rsidP="004F6327">
      <w:pPr>
        <w:rPr>
          <w:rFonts w:asciiTheme="majorHAnsi" w:hAnsiTheme="majorHAnsi" w:cstheme="majorHAnsi"/>
          <w:sz w:val="24"/>
          <w:szCs w:val="24"/>
        </w:rPr>
      </w:pPr>
    </w:p>
    <w:p w14:paraId="0CFFF863" w14:textId="52E8ABEE" w:rsidR="00D90497" w:rsidRDefault="00D90497" w:rsidP="004F6327">
      <w:pPr>
        <w:rPr>
          <w:rFonts w:asciiTheme="majorHAnsi" w:hAnsiTheme="majorHAnsi" w:cstheme="majorHAnsi"/>
          <w:sz w:val="24"/>
          <w:szCs w:val="24"/>
        </w:rPr>
      </w:pPr>
    </w:p>
    <w:p w14:paraId="5CB78731" w14:textId="77777777" w:rsidR="00D90497" w:rsidRDefault="00D90497" w:rsidP="004F6327">
      <w:pPr>
        <w:rPr>
          <w:rFonts w:asciiTheme="majorHAnsi" w:hAnsiTheme="majorHAnsi" w:cstheme="majorHAnsi"/>
          <w:sz w:val="24"/>
          <w:szCs w:val="24"/>
        </w:rPr>
      </w:pPr>
    </w:p>
    <w:p w14:paraId="77D69D0E" w14:textId="77777777" w:rsidR="00A93C6A" w:rsidRPr="00716C19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F541DB7" w14:textId="77777777" w:rsidR="00A93C6A" w:rsidRPr="003C36B1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>John Firth</w:t>
      </w:r>
    </w:p>
    <w:p w14:paraId="2CA89F76" w14:textId="08BD7489" w:rsidR="00A93C6A" w:rsidRPr="00D90497" w:rsidRDefault="00A93C6A" w:rsidP="00D90497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>2004927</w:t>
      </w:r>
    </w:p>
    <w:p w14:paraId="4C1BA296" w14:textId="5EECE75A" w:rsidR="00E72385" w:rsidRPr="00E03593" w:rsidRDefault="00A93C6A" w:rsidP="00E03593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 xml:space="preserve"> </w:t>
      </w:r>
      <w:r w:rsidR="00000E72">
        <w:rPr>
          <w:rFonts w:asciiTheme="majorHAnsi" w:hAnsiTheme="majorHAnsi" w:cstheme="majorHAnsi"/>
          <w:sz w:val="24"/>
          <w:szCs w:val="24"/>
        </w:rPr>
        <w:t>March</w:t>
      </w:r>
      <w:r w:rsidRPr="003C36B1">
        <w:rPr>
          <w:rFonts w:asciiTheme="majorHAnsi" w:hAnsiTheme="majorHAnsi" w:cstheme="majorHAnsi"/>
          <w:sz w:val="24"/>
          <w:szCs w:val="24"/>
        </w:rPr>
        <w:t>/</w:t>
      </w:r>
      <w:r w:rsidR="00AD1EF6">
        <w:rPr>
          <w:rFonts w:asciiTheme="majorHAnsi" w:hAnsiTheme="majorHAnsi" w:cstheme="majorHAnsi"/>
          <w:sz w:val="24"/>
          <w:szCs w:val="24"/>
        </w:rPr>
        <w:t>202</w:t>
      </w:r>
      <w:r w:rsidR="00E03593">
        <w:rPr>
          <w:rFonts w:asciiTheme="majorHAnsi" w:hAnsiTheme="majorHAnsi" w:cstheme="majorHAnsi"/>
          <w:sz w:val="24"/>
          <w:szCs w:val="24"/>
        </w:rPr>
        <w:t>0</w:t>
      </w:r>
      <w:r w:rsidR="00E72385">
        <w:br w:type="page"/>
      </w:r>
    </w:p>
    <w:p w14:paraId="25FBED68" w14:textId="77777777" w:rsidR="00963256" w:rsidRDefault="00963256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557452A" w14:textId="07957A60" w:rsidR="000A6190" w:rsidRDefault="00F751B4" w:rsidP="00F751B4">
      <w:pPr>
        <w:pStyle w:val="Heading1"/>
      </w:pPr>
      <w:bookmarkStart w:id="0" w:name="_Toc66680989"/>
      <w:r>
        <w:t>Contents Page</w:t>
      </w:r>
      <w:bookmarkEnd w:id="0"/>
    </w:p>
    <w:sdt>
      <w:sdtPr>
        <w:rPr>
          <w:rFonts w:asciiTheme="minorHAnsi" w:eastAsiaTheme="minorHAnsi" w:hAnsiTheme="minorHAnsi" w:cstheme="minorHAnsi"/>
          <w:color w:val="auto"/>
          <w:sz w:val="20"/>
          <w:szCs w:val="22"/>
          <w:lang w:val="en-GB"/>
        </w:rPr>
        <w:id w:val="-2739375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05453C" w14:textId="4E235821" w:rsidR="000A6190" w:rsidRDefault="000A6190">
          <w:pPr>
            <w:pStyle w:val="TOCHeading"/>
          </w:pPr>
        </w:p>
        <w:p w14:paraId="638CC080" w14:textId="46EED481" w:rsidR="00CB0BC4" w:rsidRDefault="000A61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6680989" w:history="1">
            <w:r w:rsidR="00CB0BC4" w:rsidRPr="00D74A61">
              <w:rPr>
                <w:rStyle w:val="Hyperlink"/>
                <w:noProof/>
              </w:rPr>
              <w:t>1</w:t>
            </w:r>
            <w:r w:rsidR="00CB0BC4"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="00CB0BC4" w:rsidRPr="00D74A61">
              <w:rPr>
                <w:rStyle w:val="Hyperlink"/>
                <w:noProof/>
              </w:rPr>
              <w:t>Contents Page</w:t>
            </w:r>
            <w:r w:rsidR="00CB0BC4">
              <w:rPr>
                <w:noProof/>
                <w:webHidden/>
              </w:rPr>
              <w:tab/>
            </w:r>
            <w:r w:rsidR="00CB0BC4">
              <w:rPr>
                <w:noProof/>
                <w:webHidden/>
              </w:rPr>
              <w:fldChar w:fldCharType="begin"/>
            </w:r>
            <w:r w:rsidR="00CB0BC4">
              <w:rPr>
                <w:noProof/>
                <w:webHidden/>
              </w:rPr>
              <w:instrText xml:space="preserve"> PAGEREF _Toc66680989 \h </w:instrText>
            </w:r>
            <w:r w:rsidR="00CB0BC4">
              <w:rPr>
                <w:noProof/>
                <w:webHidden/>
              </w:rPr>
            </w:r>
            <w:r w:rsidR="00CB0BC4">
              <w:rPr>
                <w:noProof/>
                <w:webHidden/>
              </w:rPr>
              <w:fldChar w:fldCharType="separate"/>
            </w:r>
            <w:r w:rsidR="00CB0BC4">
              <w:rPr>
                <w:noProof/>
                <w:webHidden/>
              </w:rPr>
              <w:t>1</w:t>
            </w:r>
            <w:r w:rsidR="00CB0BC4">
              <w:rPr>
                <w:noProof/>
                <w:webHidden/>
              </w:rPr>
              <w:fldChar w:fldCharType="end"/>
            </w:r>
          </w:hyperlink>
        </w:p>
        <w:p w14:paraId="29C1C737" w14:textId="18A2990E" w:rsidR="00CB0BC4" w:rsidRDefault="00CB0BC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66680990" w:history="1">
            <w:r w:rsidRPr="00D74A61">
              <w:rPr>
                <w:rStyle w:val="Hyperlink"/>
                <w:noProof/>
              </w:rPr>
              <w:t>2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D74A6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_Toc66680990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46539" w14:textId="3EBAED3D" w:rsidR="00CB0BC4" w:rsidRDefault="00CB0BC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66680991" w:history="1">
            <w:r w:rsidRPr="00D74A61">
              <w:rPr>
                <w:rStyle w:val="Hyperlink"/>
                <w:noProof/>
              </w:rPr>
              <w:t>3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D74A61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_Toc66680991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BDFD2" w14:textId="71E9F54A" w:rsidR="00CB0BC4" w:rsidRDefault="00CB0BC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66680992" w:history="1">
            <w:r w:rsidRPr="00D74A61">
              <w:rPr>
                <w:rStyle w:val="Hyperlink"/>
                <w:noProof/>
              </w:rPr>
              <w:t>4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D74A61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_Toc66680992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66A43" w14:textId="66A613C7" w:rsidR="00CB0BC4" w:rsidRDefault="00CB0BC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66680993" w:history="1">
            <w:r w:rsidRPr="00D74A61">
              <w:rPr>
                <w:rStyle w:val="Hyperlink"/>
                <w:noProof/>
              </w:rPr>
              <w:t>5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D74A61">
              <w:rPr>
                <w:rStyle w:val="Hyperlink"/>
                <w:noProof/>
              </w:rPr>
              <w:t>Results &amp; Analysis / Discussion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_Toc66680993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74031" w14:textId="41544455" w:rsidR="00CB0BC4" w:rsidRDefault="00CB0BC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66680994" w:history="1">
            <w:r w:rsidRPr="00D74A61">
              <w:rPr>
                <w:rStyle w:val="Hyperlink"/>
                <w:noProof/>
              </w:rPr>
              <w:t>6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D74A6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_Toc66680994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D6998" w14:textId="590665F3" w:rsidR="000D66F7" w:rsidRPr="00E72385" w:rsidRDefault="000A6190" w:rsidP="00E72385">
          <w:r>
            <w:rPr>
              <w:b/>
              <w:bCs/>
              <w:noProof/>
            </w:rPr>
            <w:fldChar w:fldCharType="end"/>
          </w:r>
        </w:p>
      </w:sdtContent>
    </w:sdt>
    <w:p w14:paraId="3385ECF6" w14:textId="77777777" w:rsidR="003C2769" w:rsidRDefault="003C276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498F0E3" w14:textId="090B52EE" w:rsidR="003C2769" w:rsidRPr="003C2769" w:rsidRDefault="002758FF" w:rsidP="003C2769">
      <w:pPr>
        <w:pStyle w:val="Heading1"/>
      </w:pPr>
      <w:bookmarkStart w:id="1" w:name="_Toc66680990"/>
      <w:r>
        <w:lastRenderedPageBreak/>
        <w:t>Introductio</w:t>
      </w:r>
      <w:r w:rsidR="003C2769">
        <w:t>n</w:t>
      </w:r>
      <w:bookmarkEnd w:id="1"/>
    </w:p>
    <w:p w14:paraId="780245E1" w14:textId="6FA75A68" w:rsidR="005140EB" w:rsidRDefault="00CF538E">
      <w:r>
        <w:t xml:space="preserve">This report will cover the </w:t>
      </w:r>
      <w:r w:rsidR="00F66451">
        <w:t xml:space="preserve">potential risk factors </w:t>
      </w:r>
      <w:r w:rsidR="00F77955">
        <w:t xml:space="preserve">of </w:t>
      </w:r>
      <w:r w:rsidR="00B11EF4">
        <w:t>the BMW Motorrad</w:t>
      </w:r>
      <w:r w:rsidR="007867A6">
        <w:t xml:space="preserve"> Assembly line process</w:t>
      </w:r>
      <w:r w:rsidR="00CB0864">
        <w:t xml:space="preserve"> as well as</w:t>
      </w:r>
      <w:r w:rsidR="00070E6B">
        <w:t xml:space="preserve"> </w:t>
      </w:r>
      <w:r w:rsidR="003F1D8F">
        <w:t>evaluat</w:t>
      </w:r>
      <w:r w:rsidR="00B606EF">
        <w:t>ing</w:t>
      </w:r>
      <w:r w:rsidR="007F0169">
        <w:t xml:space="preserve"> </w:t>
      </w:r>
      <w:r w:rsidR="007F7FE8">
        <w:t>f</w:t>
      </w:r>
      <w:r w:rsidR="00101E22">
        <w:t xml:space="preserve">ailure </w:t>
      </w:r>
      <w:r w:rsidR="007F7FE8">
        <w:t>m</w:t>
      </w:r>
      <w:r w:rsidR="00101E22">
        <w:t xml:space="preserve">ode </w:t>
      </w:r>
      <w:r w:rsidR="007F7FE8">
        <w:t>e</w:t>
      </w:r>
      <w:r w:rsidR="00101E22">
        <w:t xml:space="preserve">ffect </w:t>
      </w:r>
      <w:r w:rsidR="007F7FE8">
        <w:t>a</w:t>
      </w:r>
      <w:r w:rsidR="00101E22">
        <w:t>nalysis’s (FMEA’s)</w:t>
      </w:r>
      <w:r w:rsidR="007F0169">
        <w:t xml:space="preserve"> applied to specific </w:t>
      </w:r>
      <w:r w:rsidR="00101E22">
        <w:t>previously determined safety critical consideration</w:t>
      </w:r>
      <w:r w:rsidR="00A67261">
        <w:t>s</w:t>
      </w:r>
      <w:r w:rsidR="002329C8">
        <w:t>:</w:t>
      </w:r>
      <w:r w:rsidR="00126688">
        <w:t xml:space="preserve"> failure mode, </w:t>
      </w:r>
      <w:r w:rsidR="002329C8">
        <w:t>effects,</w:t>
      </w:r>
      <w:r w:rsidR="00126688">
        <w:t xml:space="preserve"> and criticality analysis</w:t>
      </w:r>
      <w:r w:rsidR="005110FF">
        <w:t xml:space="preserve"> (FMECA)</w:t>
      </w:r>
      <w:r w:rsidR="00A91EE8">
        <w:t>, a more detailed version of the FMEA</w:t>
      </w:r>
      <w:r w:rsidR="00126688">
        <w:t xml:space="preserve"> will </w:t>
      </w:r>
      <w:r w:rsidR="004939CC">
        <w:t>also</w:t>
      </w:r>
      <w:r w:rsidR="00126688">
        <w:t xml:space="preserve"> be referred to in this report</w:t>
      </w:r>
      <w:r w:rsidR="004939CC">
        <w:t xml:space="preserve"> however will not be the </w:t>
      </w:r>
      <w:r w:rsidR="002329C8">
        <w:t>focus</w:t>
      </w:r>
      <w:r w:rsidR="004939CC">
        <w:t>.</w:t>
      </w:r>
      <w:r w:rsidR="00B606EF">
        <w:t xml:space="preserve"> </w:t>
      </w:r>
      <w:r w:rsidR="00F76688">
        <w:t>The report will refer to the IMECHE</w:t>
      </w:r>
      <w:r w:rsidR="00BD0AA3">
        <w:t xml:space="preserve"> Code of Conduct</w:t>
      </w:r>
      <w:r w:rsidR="00995C03">
        <w:t xml:space="preserve"> for professional engineers, risk management and health and safety legislation.</w:t>
      </w:r>
    </w:p>
    <w:p w14:paraId="3BF5468D" w14:textId="77D14737" w:rsidR="004064DE" w:rsidRDefault="00E07FA1">
      <w:r>
        <w:t>A</w:t>
      </w:r>
      <w:r w:rsidR="004064DE">
        <w:t xml:space="preserve">ccording to </w:t>
      </w:r>
      <w:r w:rsidR="00824E87">
        <w:t xml:space="preserve">statistics </w:t>
      </w:r>
      <w:r w:rsidR="00F82EA1">
        <w:t>from the Labour Force Survey</w:t>
      </w:r>
      <w:r w:rsidR="00F80B6A">
        <w:t xml:space="preserve"> 2019/2020</w:t>
      </w:r>
      <w:r w:rsidR="009835A7">
        <w:t>:</w:t>
      </w:r>
      <w:r w:rsidR="003C7BEC">
        <w:t xml:space="preserve"> </w:t>
      </w:r>
      <w:r w:rsidR="009835A7">
        <w:t xml:space="preserve">693,000 </w:t>
      </w:r>
      <w:r w:rsidR="003B3073">
        <w:t>workers sustained non-fatal injuries</w:t>
      </w:r>
      <w:r w:rsidR="00521D69">
        <w:t xml:space="preserve"> and 6.3 million estimated working days lost to non-fatal workplace injuries.</w:t>
      </w:r>
      <w:r w:rsidR="00995438">
        <w:t xml:space="preserve"> </w:t>
      </w:r>
      <w:r w:rsidR="003B3073">
        <w:t>65,427 E</w:t>
      </w:r>
      <w:r w:rsidR="00287B33">
        <w:t xml:space="preserve">mployee non-fatal injuries </w:t>
      </w:r>
      <w:r w:rsidR="00325C38">
        <w:t xml:space="preserve">reported by employers under </w:t>
      </w:r>
      <w:r w:rsidR="00D60275">
        <w:t>Reporting of In</w:t>
      </w:r>
      <w:r w:rsidR="00F022C9">
        <w:t>juries, Diseases and Dangerous Occurrences Regulations (</w:t>
      </w:r>
      <w:r w:rsidR="00325C38">
        <w:t>RIDDOR</w:t>
      </w:r>
      <w:r w:rsidR="00F022C9">
        <w:t>)</w:t>
      </w:r>
      <w:r w:rsidR="00931E99">
        <w:t xml:space="preserve"> in 2019/2020</w:t>
      </w:r>
      <w:r w:rsidR="00995438">
        <w:t xml:space="preserve">. 111 workers killed at </w:t>
      </w:r>
      <w:r w:rsidR="00402561">
        <w:t>work</w:t>
      </w:r>
      <w:r w:rsidR="003F4D0A">
        <w:t xml:space="preserve"> in 2019/2020.</w:t>
      </w:r>
      <w:r w:rsidR="00D31945">
        <w:t xml:space="preserve"> </w:t>
      </w:r>
      <w:r w:rsidR="002047AF">
        <w:t>From estimates based on Labour Force Survey, RIDDOR and</w:t>
      </w:r>
      <w:r w:rsidR="00F33DAE">
        <w:t xml:space="preserve"> </w:t>
      </w:r>
      <w:r w:rsidR="002047AF">
        <w:t>HSE Cost Model for 20</w:t>
      </w:r>
      <w:r w:rsidR="00224C0C">
        <w:t>17/18-2019/20,</w:t>
      </w:r>
      <w:r w:rsidR="00F33DAE">
        <w:t xml:space="preserve"> the annual cost of workplace injury in 2018/2019 was </w:t>
      </w:r>
      <w:r w:rsidR="00F13C2D">
        <w:t>£5.6billion</w:t>
      </w:r>
      <w:r w:rsidR="002103D4">
        <w:t xml:space="preserve"> (equivalent to unit cost of £1.7</w:t>
      </w:r>
      <w:r w:rsidR="008B72B6">
        <w:t>million per fatal injury, £8,800 per non-fatal injury during period of 2018/2019).</w:t>
      </w:r>
      <w:r w:rsidR="009A7329">
        <w:t xml:space="preserve"> The total costs </w:t>
      </w:r>
      <w:r w:rsidR="00624CB2">
        <w:t xml:space="preserve">of </w:t>
      </w:r>
      <w:r w:rsidR="00014C07">
        <w:t xml:space="preserve">workplace injury and ill health has fallen by an 17% </w:t>
      </w:r>
      <w:r w:rsidR="00A43571">
        <w:t xml:space="preserve">between 203/05 and </w:t>
      </w:r>
      <w:r w:rsidR="002F1FB7">
        <w:t xml:space="preserve">2009/10 </w:t>
      </w:r>
      <w:r w:rsidR="00014C07">
        <w:t xml:space="preserve">according to estimates from HSE </w:t>
      </w:r>
      <w:r w:rsidR="00A43571">
        <w:t>Costs to Britain Models</w:t>
      </w:r>
      <w:r w:rsidR="002F1FB7">
        <w:t xml:space="preserve">, this drop in costs was driven by a reduction of workplace injuries. Highlighting the economic benefit to risk assessment and </w:t>
      </w:r>
      <w:r w:rsidR="00C12D03">
        <w:t>injury prevention in the workplace.</w:t>
      </w:r>
    </w:p>
    <w:p w14:paraId="32A60596" w14:textId="1D13277A" w:rsidR="00C950A8" w:rsidRDefault="00C950A8">
      <w:r>
        <w:rPr>
          <w:noProof/>
        </w:rPr>
        <w:drawing>
          <wp:inline distT="0" distB="0" distL="0" distR="0" wp14:anchorId="02DE3230" wp14:editId="359783FB">
            <wp:extent cx="5731510" cy="264668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6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1E8BE" w14:textId="602513A1" w:rsidR="008B7332" w:rsidRPr="008B7332" w:rsidRDefault="000110AC" w:rsidP="000110AC">
      <w:pPr>
        <w:pStyle w:val="ListParagraph"/>
        <w:numPr>
          <w:ilvl w:val="0"/>
          <w:numId w:val="2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HSE Costs to Britain model</w:t>
      </w:r>
    </w:p>
    <w:p w14:paraId="36883B52" w14:textId="4F0218F5" w:rsidR="00963667" w:rsidRDefault="00DC633A" w:rsidP="00E30EFF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D44E173" wp14:editId="4E5831F2">
            <wp:simplePos x="0" y="0"/>
            <wp:positionH relativeFrom="column">
              <wp:posOffset>5021579</wp:posOffset>
            </wp:positionH>
            <wp:positionV relativeFrom="paragraph">
              <wp:posOffset>-373380</wp:posOffset>
            </wp:positionV>
            <wp:extent cx="1665177" cy="266646"/>
            <wp:effectExtent l="0" t="0" r="0" b="6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2596" cy="280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1CA60E3D" wp14:editId="4B3257E3">
            <wp:simplePos x="0" y="0"/>
            <wp:positionH relativeFrom="column">
              <wp:posOffset>-304800</wp:posOffset>
            </wp:positionH>
            <wp:positionV relativeFrom="paragraph">
              <wp:posOffset>-375920</wp:posOffset>
            </wp:positionV>
            <wp:extent cx="5326380" cy="269240"/>
            <wp:effectExtent l="0" t="0" r="762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6380" cy="269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963667">
        <w:rPr>
          <w:noProof/>
        </w:rPr>
        <w:drawing>
          <wp:inline distT="0" distB="0" distL="0" distR="0" wp14:anchorId="0596140B" wp14:editId="127813E2">
            <wp:extent cx="5731510" cy="26619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A2982" w14:textId="1DDAABB4" w:rsidR="000B503B" w:rsidRPr="000B503B" w:rsidRDefault="00365652" w:rsidP="003A22D1">
      <w:pPr>
        <w:pStyle w:val="ListParagraph"/>
        <w:numPr>
          <w:ilvl w:val="0"/>
          <w:numId w:val="2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Costs to </w:t>
      </w:r>
      <w:r w:rsidR="00D60A6C">
        <w:t>Britain</w:t>
      </w:r>
      <w:r>
        <w:t xml:space="preserve"> of workplace injuries and new cases o</w:t>
      </w:r>
      <w:r w:rsidR="00D60A6C">
        <w:t>f</w:t>
      </w:r>
      <w:r>
        <w:t xml:space="preserve"> work</w:t>
      </w:r>
      <w:r w:rsidR="00D60A6C">
        <w:t>-</w:t>
      </w:r>
      <w:r>
        <w:t>related ill health</w:t>
      </w:r>
      <w:r w:rsidR="00D60A6C">
        <w:rPr>
          <w:vertAlign w:val="superscript"/>
        </w:rPr>
        <w:t>1</w:t>
      </w:r>
      <w:r w:rsidR="00D60A6C">
        <w:t xml:space="preserve"> by industry 2018/19 (in 2018 prices), Table COSTIND – 2018/19</w:t>
      </w:r>
    </w:p>
    <w:p w14:paraId="3D31A7A5" w14:textId="56CE4E6D" w:rsidR="003C473F" w:rsidRDefault="000B503B" w:rsidP="00680D0A">
      <w:pPr>
        <w:tabs>
          <w:tab w:val="left" w:pos="5160"/>
        </w:tabs>
      </w:pPr>
      <w:r>
        <w:t>Data fro</w:t>
      </w:r>
      <w:r w:rsidR="00680D0A">
        <w:t>m HSE data tables show that</w:t>
      </w:r>
      <w:r w:rsidR="00FF24E0">
        <w:t xml:space="preserve"> the manufacturing industry </w:t>
      </w:r>
      <w:r w:rsidR="00B536B1">
        <w:t xml:space="preserve">loses an estimate of £658million </w:t>
      </w:r>
      <w:r w:rsidR="00A12212">
        <w:t>and is approximately 12% of the total losses due to injuries.</w:t>
      </w:r>
    </w:p>
    <w:p w14:paraId="4B490784" w14:textId="31F0E597" w:rsidR="003C2769" w:rsidRPr="000B503B" w:rsidRDefault="003C2769" w:rsidP="00680D0A">
      <w:pPr>
        <w:tabs>
          <w:tab w:val="left" w:pos="5160"/>
        </w:tabs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r w:rsidR="00680D0A">
        <w:lastRenderedPageBreak/>
        <w:tab/>
      </w:r>
      <w:r w:rsidR="00734E23">
        <w:t xml:space="preserve"> </w:t>
      </w:r>
    </w:p>
    <w:p w14:paraId="46DB44DE" w14:textId="2EA9EBF8" w:rsidR="005826F9" w:rsidRDefault="002758FF" w:rsidP="005826F9">
      <w:pPr>
        <w:pStyle w:val="Heading1"/>
      </w:pPr>
      <w:bookmarkStart w:id="2" w:name="_Toc66680991"/>
      <w:r>
        <w:t>Literature Revie</w:t>
      </w:r>
      <w:r w:rsidR="005826F9">
        <w:t>w</w:t>
      </w:r>
      <w:bookmarkEnd w:id="2"/>
    </w:p>
    <w:p w14:paraId="47CE5EA9" w14:textId="4CD1D355" w:rsidR="005826F9" w:rsidRPr="008D1322" w:rsidRDefault="008D1322" w:rsidP="005826F9">
      <w:pPr>
        <w:rPr>
          <w:rFonts w:asciiTheme="majorHAnsi" w:hAnsiTheme="majorHAnsi" w:cstheme="majorHAnsi"/>
          <w:color w:val="2F5496" w:themeColor="accent1" w:themeShade="BF"/>
          <w:sz w:val="28"/>
          <w:szCs w:val="28"/>
        </w:rPr>
      </w:pPr>
      <w:r w:rsidRPr="008D1322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3.1</w:t>
      </w:r>
      <w:r w:rsidRPr="008D1322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ab/>
        <w:t>Code of Conduct</w:t>
      </w:r>
    </w:p>
    <w:p w14:paraId="74E8744A" w14:textId="237C43A1" w:rsidR="00394F2A" w:rsidRDefault="00394F2A" w:rsidP="00394F2A">
      <w:r>
        <w:t xml:space="preserve">As an engineer you have a duty of care </w:t>
      </w:r>
      <w:r w:rsidR="00AF3BCE">
        <w:t>while working that your work is as ethical and safe as it can be</w:t>
      </w:r>
      <w:r w:rsidR="00047B62">
        <w:t xml:space="preserve">. </w:t>
      </w:r>
      <w:r w:rsidR="00BC35E0">
        <w:t xml:space="preserve">To keep to these standards </w:t>
      </w:r>
      <w:r w:rsidR="00B441E5">
        <w:t>engineering</w:t>
      </w:r>
      <w:r w:rsidR="00EC38EE">
        <w:t xml:space="preserve"> governing bodies </w:t>
      </w:r>
      <w:r w:rsidR="008B322C">
        <w:t xml:space="preserve">uphold a code of conduct its members </w:t>
      </w:r>
      <w:r w:rsidR="0011163E">
        <w:t>must abide by.</w:t>
      </w:r>
      <w:r w:rsidR="00B441E5">
        <w:t xml:space="preserve"> Depending on </w:t>
      </w:r>
      <w:r w:rsidR="00000EF5">
        <w:t>your specialisation as an engineer there will be different governing bodies</w:t>
      </w:r>
      <w:r w:rsidR="004005A2">
        <w:t xml:space="preserve"> that apply to you.</w:t>
      </w:r>
      <w:r w:rsidR="00800098">
        <w:t xml:space="preserve"> For mechanical </w:t>
      </w:r>
      <w:r w:rsidR="00DA7BE9">
        <w:t>engineers,</w:t>
      </w:r>
      <w:r w:rsidR="00800098">
        <w:t xml:space="preserve"> the governing body </w:t>
      </w:r>
      <w:r w:rsidR="00DA7BE9">
        <w:t>would be the In</w:t>
      </w:r>
      <w:r w:rsidR="00A22A9D">
        <w:t>stitution of Mechanical Engineers</w:t>
      </w:r>
      <w:r w:rsidR="005A7C6B">
        <w:t xml:space="preserve"> (IMechE)</w:t>
      </w:r>
      <w:r w:rsidR="00A22A9D">
        <w:t>.</w:t>
      </w:r>
      <w:r w:rsidR="005A7C6B">
        <w:t xml:space="preserve"> Within IMechE’s code of conduct</w:t>
      </w:r>
      <w:r w:rsidR="00AF77E0">
        <w:t xml:space="preserve">, subsections 1.2, 5.2, 6.4, </w:t>
      </w:r>
      <w:r w:rsidR="00F469C2">
        <w:t>12.2, 12.3, 12.4 and 15.1 all</w:t>
      </w:r>
      <w:r w:rsidR="004C6C48">
        <w:t xml:space="preserve"> directly</w:t>
      </w:r>
      <w:r w:rsidR="00F469C2">
        <w:t xml:space="preserve"> reference health &amp; safety and </w:t>
      </w:r>
      <w:r w:rsidR="00BF1DCC">
        <w:t>risk assessment/management in the profession</w:t>
      </w:r>
      <w:r w:rsidR="004C6C48">
        <w:t>, with other subsections indirectly referencing these topics</w:t>
      </w:r>
      <w:r w:rsidR="00A43AB8">
        <w:t>.</w:t>
      </w:r>
    </w:p>
    <w:p w14:paraId="60F9B122" w14:textId="0177E3E8" w:rsidR="001B1A5A" w:rsidRDefault="00A43AB8" w:rsidP="00394F2A">
      <w:pPr>
        <w:rPr>
          <w:szCs w:val="20"/>
        </w:rPr>
      </w:pPr>
      <w:r w:rsidRPr="008E1806">
        <w:rPr>
          <w:szCs w:val="20"/>
        </w:rPr>
        <w:t xml:space="preserve">CR 6.4 </w:t>
      </w:r>
      <w:r w:rsidR="001221A8" w:rsidRPr="008E1806">
        <w:rPr>
          <w:szCs w:val="20"/>
        </w:rPr>
        <w:t>–</w:t>
      </w:r>
      <w:r w:rsidR="000B5B5A" w:rsidRPr="008E1806">
        <w:rPr>
          <w:szCs w:val="20"/>
        </w:rPr>
        <w:t xml:space="preserve"> </w:t>
      </w:r>
      <w:r w:rsidR="001221A8" w:rsidRPr="008E1806">
        <w:rPr>
          <w:szCs w:val="20"/>
        </w:rPr>
        <w:t>“identify and quantify all risks and hazards associated with their work and manage them in conformity with accepted engineering and environmental standards and in a manner which does not compromise the welfare, health and safety of society. They shall inform those for whom they work of all matters relating to risks and hazards in a full and timely fashion.”</w:t>
      </w:r>
    </w:p>
    <w:p w14:paraId="6F6EF9C5" w14:textId="31507CD0" w:rsidR="008E1806" w:rsidRDefault="008E1806" w:rsidP="00394F2A">
      <w:pPr>
        <w:rPr>
          <w:szCs w:val="20"/>
        </w:rPr>
      </w:pPr>
      <w:r>
        <w:rPr>
          <w:szCs w:val="20"/>
        </w:rPr>
        <w:t>- Code of Conduct Regulations</w:t>
      </w:r>
      <w:r w:rsidR="00F644B2">
        <w:rPr>
          <w:szCs w:val="20"/>
        </w:rPr>
        <w:t>, IMECHE</w:t>
      </w:r>
      <w:r w:rsidR="009737D8">
        <w:rPr>
          <w:szCs w:val="20"/>
        </w:rPr>
        <w:t>, Accessed 7</w:t>
      </w:r>
      <w:r w:rsidR="009737D8" w:rsidRPr="009737D8">
        <w:rPr>
          <w:szCs w:val="20"/>
          <w:vertAlign w:val="superscript"/>
        </w:rPr>
        <w:t>th</w:t>
      </w:r>
      <w:r w:rsidR="009737D8">
        <w:rPr>
          <w:szCs w:val="20"/>
        </w:rPr>
        <w:t xml:space="preserve"> March</w:t>
      </w:r>
    </w:p>
    <w:p w14:paraId="77D11841" w14:textId="4314B312" w:rsidR="0001349D" w:rsidRPr="008E1806" w:rsidRDefault="00620A46" w:rsidP="00394F2A">
      <w:pPr>
        <w:rPr>
          <w:szCs w:val="20"/>
        </w:rPr>
      </w:pPr>
      <w:r>
        <w:rPr>
          <w:szCs w:val="20"/>
        </w:rPr>
        <w:t xml:space="preserve">To abide by </w:t>
      </w:r>
      <w:r w:rsidR="003C1E98">
        <w:rPr>
          <w:szCs w:val="20"/>
        </w:rPr>
        <w:t>these codes</w:t>
      </w:r>
      <w:r w:rsidR="0032626C">
        <w:rPr>
          <w:szCs w:val="20"/>
        </w:rPr>
        <w:t xml:space="preserve"> of conducts and act in the best interests of </w:t>
      </w:r>
      <w:r w:rsidR="00C74D0A">
        <w:rPr>
          <w:szCs w:val="20"/>
        </w:rPr>
        <w:t xml:space="preserve">the profession, </w:t>
      </w:r>
      <w:r w:rsidR="00683B4F">
        <w:rPr>
          <w:szCs w:val="20"/>
        </w:rPr>
        <w:t xml:space="preserve">engineers must </w:t>
      </w:r>
      <w:r w:rsidR="00125F31">
        <w:rPr>
          <w:szCs w:val="20"/>
        </w:rPr>
        <w:t xml:space="preserve">employ the use of risk </w:t>
      </w:r>
      <w:r w:rsidR="001170DD">
        <w:rPr>
          <w:szCs w:val="20"/>
        </w:rPr>
        <w:t>assessment strategies, one such method and the one that is the focus of this report is the “failure mode</w:t>
      </w:r>
      <w:r w:rsidR="00E06A2B">
        <w:rPr>
          <w:szCs w:val="20"/>
        </w:rPr>
        <w:t xml:space="preserve"> and effect </w:t>
      </w:r>
      <w:r w:rsidR="008D1322">
        <w:rPr>
          <w:szCs w:val="20"/>
        </w:rPr>
        <w:t>analysis”.</w:t>
      </w:r>
    </w:p>
    <w:p w14:paraId="6B0BB413" w14:textId="1C1B098A" w:rsidR="00BD089A" w:rsidRPr="00E22EF0" w:rsidRDefault="00E22EF0">
      <w:pPr>
        <w:rPr>
          <w:rFonts w:asciiTheme="majorHAnsi" w:hAnsiTheme="majorHAnsi" w:cstheme="majorHAnsi"/>
          <w:color w:val="2F5496" w:themeColor="accent1" w:themeShade="BF"/>
          <w:sz w:val="28"/>
          <w:szCs w:val="28"/>
        </w:rPr>
      </w:pPr>
      <w:r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3.</w:t>
      </w:r>
      <w:r w:rsidR="008D1322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2</w:t>
      </w:r>
      <w:r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ab/>
      </w:r>
      <w:r w:rsidR="00BD089A" w:rsidRPr="00E22EF0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FMEA:</w:t>
      </w:r>
    </w:p>
    <w:p w14:paraId="0E4D0DAC" w14:textId="2C12DF42" w:rsidR="007D7CFE" w:rsidRDefault="00EA2FCB">
      <w:r>
        <w:t>F</w:t>
      </w:r>
      <w:r w:rsidR="00AE523A">
        <w:t>ailure mode and effects analysis (FMEA)</w:t>
      </w:r>
      <w:r>
        <w:t xml:space="preserve"> was developed by the U</w:t>
      </w:r>
      <w:r w:rsidR="00AE523A">
        <w:t xml:space="preserve">nited </w:t>
      </w:r>
      <w:r>
        <w:t>S</w:t>
      </w:r>
      <w:r w:rsidR="00AE523A">
        <w:t xml:space="preserve">tates </w:t>
      </w:r>
      <w:r>
        <w:t xml:space="preserve">military in 1949, </w:t>
      </w:r>
      <w:r w:rsidR="00351177">
        <w:t>during the cold war</w:t>
      </w:r>
      <w:r w:rsidR="008E55A0">
        <w:t>. It was further use in the 1960s by</w:t>
      </w:r>
      <w:r w:rsidR="0047459D">
        <w:t xml:space="preserve"> the United States</w:t>
      </w:r>
      <w:r w:rsidR="008E55A0">
        <w:t xml:space="preserve"> N</w:t>
      </w:r>
      <w:r w:rsidR="0047459D">
        <w:t>ational Aeronautics and Space Administration (NASA)</w:t>
      </w:r>
      <w:r w:rsidR="00DB38F9">
        <w:t xml:space="preserve"> and the aerospace industry. It was introduced to the automotive industry by</w:t>
      </w:r>
      <w:r w:rsidR="00036EC6">
        <w:t xml:space="preserve"> the Ford Motor Company</w:t>
      </w:r>
      <w:r w:rsidR="00D10E91">
        <w:t xml:space="preserve"> in the late 1970s for the same reasons we still use it today,</w:t>
      </w:r>
      <w:r w:rsidR="007561AF">
        <w:t xml:space="preserve"> to reduce risk in the workplace.</w:t>
      </w:r>
      <w:r w:rsidR="00AD3C0B">
        <w:t xml:space="preserve"> </w:t>
      </w:r>
      <w:r w:rsidR="00D752E4">
        <w:t xml:space="preserve">Originally the United States Military used a more detailed version that still </w:t>
      </w:r>
      <w:r w:rsidR="00FF71BA">
        <w:t xml:space="preserve">occurs to this day called “failure mode, effects, and criticality analysis” or FMECA </w:t>
      </w:r>
      <w:r w:rsidR="00384B96">
        <w:t>which adds prioritizations of actions to be taken, based on a risk score.</w:t>
      </w:r>
      <w:r w:rsidR="005C61B8">
        <w:t xml:space="preserve"> Using FMECA would </w:t>
      </w:r>
      <w:r w:rsidR="00DF43D1">
        <w:t xml:space="preserve">allow for more accurate </w:t>
      </w:r>
      <w:r w:rsidR="00B355CE">
        <w:t xml:space="preserve">results </w:t>
      </w:r>
      <w:r w:rsidR="00AF486B">
        <w:t xml:space="preserve">compared to the alternative </w:t>
      </w:r>
      <w:r w:rsidR="00B852C0">
        <w:t>methods of FMEA.</w:t>
      </w:r>
    </w:p>
    <w:p w14:paraId="203C3D61" w14:textId="17719BE8" w:rsidR="001F20E7" w:rsidRDefault="001F20E7">
      <w:r>
        <w:t>FMEA is one of many</w:t>
      </w:r>
      <w:r w:rsidR="00853677">
        <w:t xml:space="preserve"> methods </w:t>
      </w:r>
      <w:r w:rsidR="00B87630">
        <w:t xml:space="preserve">that can determine </w:t>
      </w:r>
      <w:r w:rsidR="009A2B41">
        <w:t xml:space="preserve">risk factors using mathematical calculations, other such methods </w:t>
      </w:r>
      <w:r w:rsidR="00A565EA">
        <w:t>include: FMECA,</w:t>
      </w:r>
      <w:r w:rsidR="009A2B41">
        <w:t xml:space="preserve"> PHA</w:t>
      </w:r>
      <w:r w:rsidR="00A565EA">
        <w:t>, HAZOP, functional analysis</w:t>
      </w:r>
      <w:r w:rsidR="000F3C02">
        <w:t xml:space="preserve">, and logical </w:t>
      </w:r>
      <w:r w:rsidR="00432B5B">
        <w:t>models such as Markov chains or Petri networks.</w:t>
      </w:r>
      <w:r w:rsidR="00BA4FB1">
        <w:t xml:space="preserve"> </w:t>
      </w:r>
      <w:r w:rsidR="00820A82">
        <w:t xml:space="preserve">Different methods will suit certain situations better than others, </w:t>
      </w:r>
      <w:r w:rsidR="004500A4">
        <w:t>method application also depends on individual preference and industry standards.</w:t>
      </w:r>
    </w:p>
    <w:p w14:paraId="15BBBB0A" w14:textId="2C28E07E" w:rsidR="00AB59DD" w:rsidRDefault="007F71B7">
      <w:r>
        <w:lastRenderedPageBreak/>
        <w:t xml:space="preserve">FMEA is a versatile tool which can be applied to </w:t>
      </w:r>
      <w:r w:rsidR="00734E23">
        <w:t xml:space="preserve">many situations due to its ambiguous nature, however </w:t>
      </w:r>
      <w:r w:rsidR="006E3B1E">
        <w:t>most commonly and what this report will focus on is health and safety based FMEA and cost based FMEA</w:t>
      </w:r>
      <w:r w:rsidR="00B852C0">
        <w:t xml:space="preserve">. </w:t>
      </w:r>
      <w:r w:rsidR="00D87350">
        <w:t xml:space="preserve">There are 6 main stages of FMEA: </w:t>
      </w:r>
    </w:p>
    <w:p w14:paraId="1A1B7F9C" w14:textId="153384B1" w:rsidR="00AB59DD" w:rsidRDefault="0093662A" w:rsidP="0093662A">
      <w:pPr>
        <w:pStyle w:val="ListParagraph"/>
        <w:numPr>
          <w:ilvl w:val="0"/>
          <w:numId w:val="3"/>
        </w:numPr>
      </w:pPr>
      <w:r>
        <w:t>Detect</w:t>
      </w:r>
      <w:r w:rsidR="00D87350">
        <w:t xml:space="preserve"> a failure mode</w:t>
      </w:r>
      <w:r>
        <w:t xml:space="preserve"> </w:t>
      </w:r>
      <w:r w:rsidR="00303526">
        <w:t>–</w:t>
      </w:r>
      <w:r>
        <w:t xml:space="preserve"> </w:t>
      </w:r>
      <w:r w:rsidR="00303526">
        <w:t>Identifying what potential failures could occur in the process/component.</w:t>
      </w:r>
    </w:p>
    <w:p w14:paraId="05BEEC58" w14:textId="09381234" w:rsidR="00AB59DD" w:rsidRDefault="00D87350" w:rsidP="0093662A">
      <w:pPr>
        <w:pStyle w:val="ListParagraph"/>
        <w:numPr>
          <w:ilvl w:val="0"/>
          <w:numId w:val="3"/>
        </w:numPr>
      </w:pPr>
      <w:r>
        <w:t>likelihood of detection</w:t>
      </w:r>
      <w:r w:rsidR="00233215">
        <w:t xml:space="preserve"> (D)</w:t>
      </w:r>
      <w:r>
        <w:t xml:space="preserve"> </w:t>
      </w:r>
      <w:r w:rsidR="00303526">
        <w:t xml:space="preserve"> - </w:t>
      </w:r>
      <w:r w:rsidR="009D5ABD">
        <w:t>How likely it is that the failure will be detected before it causes an issue ranked</w:t>
      </w:r>
      <w:r w:rsidR="00233215">
        <w:t xml:space="preserve"> 1 </w:t>
      </w:r>
      <w:r w:rsidR="006C0DF0">
        <w:t>–</w:t>
      </w:r>
      <w:r w:rsidR="00233215">
        <w:t xml:space="preserve"> 10</w:t>
      </w:r>
      <w:r w:rsidR="006C0DF0">
        <w:t>.</w:t>
      </w:r>
    </w:p>
    <w:p w14:paraId="03565B06" w14:textId="3FAC76D3" w:rsidR="00AB59DD" w:rsidRDefault="002E69FA" w:rsidP="0093662A">
      <w:pPr>
        <w:pStyle w:val="ListParagraph"/>
        <w:numPr>
          <w:ilvl w:val="0"/>
          <w:numId w:val="3"/>
        </w:numPr>
      </w:pPr>
      <w:r>
        <w:t>S</w:t>
      </w:r>
      <w:r w:rsidR="00A04495">
        <w:t>everity number</w:t>
      </w:r>
      <w:r w:rsidR="00233215">
        <w:t xml:space="preserve"> (S) – Ranking the severity of the potential failure on a numeric scale 1</w:t>
      </w:r>
      <w:r w:rsidR="006C0DF0">
        <w:t xml:space="preserve"> – 10, this is where different FMEA types differ the most for example health and safety based FMEAs will rank severity based on the potential risks to the workers/ the injuries workers have sustained</w:t>
      </w:r>
      <w:r w:rsidR="003E5C18">
        <w:t xml:space="preserve"> whereas</w:t>
      </w:r>
      <w:r w:rsidR="006C0DF0">
        <w:t xml:space="preserve"> cost based FMEAs </w:t>
      </w:r>
      <w:r w:rsidR="003E5C18">
        <w:t xml:space="preserve">will rank severity based upon net </w:t>
      </w:r>
      <w:r w:rsidR="00D06F7D">
        <w:t>financial loss due to the incident occurring</w:t>
      </w:r>
      <w:r w:rsidR="000B494F">
        <w:t>.</w:t>
      </w:r>
    </w:p>
    <w:p w14:paraId="12F3E3AD" w14:textId="06668621" w:rsidR="00AB59DD" w:rsidRDefault="002E69FA" w:rsidP="0093662A">
      <w:pPr>
        <w:pStyle w:val="ListParagraph"/>
        <w:numPr>
          <w:ilvl w:val="0"/>
          <w:numId w:val="3"/>
        </w:numPr>
      </w:pPr>
      <w:r>
        <w:t>P</w:t>
      </w:r>
      <w:r w:rsidR="005174D5">
        <w:t>robability of occurrence</w:t>
      </w:r>
      <w:r w:rsidR="006A01FE">
        <w:t xml:space="preserve"> (P) – </w:t>
      </w:r>
      <w:r w:rsidR="009838AD">
        <w:t>H</w:t>
      </w:r>
      <w:r w:rsidR="006A01FE">
        <w:t xml:space="preserve">ow likely it is that the </w:t>
      </w:r>
      <w:r w:rsidR="0086328C">
        <w:t>identified failure will occur, ranked on a numeric scale 1-10.</w:t>
      </w:r>
    </w:p>
    <w:p w14:paraId="24507575" w14:textId="48B754F8" w:rsidR="00AB59DD" w:rsidRDefault="002E69FA" w:rsidP="0093662A">
      <w:pPr>
        <w:pStyle w:val="ListParagraph"/>
        <w:numPr>
          <w:ilvl w:val="0"/>
          <w:numId w:val="3"/>
        </w:numPr>
      </w:pPr>
      <w:r>
        <w:t>R</w:t>
      </w:r>
      <w:r w:rsidR="008B726A">
        <w:t>isk priority number</w:t>
      </w:r>
      <w:r w:rsidR="00427ECD">
        <w:t xml:space="preserve"> (RPN) – Mathematical formula applied to determine which potential failures require the most attention, RPN = S * P * D</w:t>
      </w:r>
      <w:r w:rsidR="009838AD">
        <w:t>.</w:t>
      </w:r>
    </w:p>
    <w:p w14:paraId="31A4EE19" w14:textId="734B304F" w:rsidR="00935D84" w:rsidRDefault="002E69FA" w:rsidP="00935D84">
      <w:pPr>
        <w:pStyle w:val="ListParagraph"/>
        <w:numPr>
          <w:ilvl w:val="0"/>
          <w:numId w:val="3"/>
        </w:numPr>
      </w:pPr>
      <w:r>
        <w:t>R</w:t>
      </w:r>
      <w:r w:rsidR="00DF7C56">
        <w:t xml:space="preserve">ecommended </w:t>
      </w:r>
      <w:r w:rsidR="00045EAC">
        <w:t>actions</w:t>
      </w:r>
      <w:r w:rsidR="009838AD">
        <w:t xml:space="preserve"> – What can be done</w:t>
      </w:r>
      <w:r>
        <w:t xml:space="preserve"> to mitigate the potential impact of the failure or stop the failure from occurring at all.</w:t>
      </w:r>
    </w:p>
    <w:p w14:paraId="73D00698" w14:textId="39D09D47" w:rsidR="003239FC" w:rsidRDefault="003239FC" w:rsidP="003239FC">
      <w:pPr>
        <w:ind w:left="360"/>
      </w:pPr>
    </w:p>
    <w:p w14:paraId="132E7254" w14:textId="77777777" w:rsidR="003239FC" w:rsidRDefault="003239FC" w:rsidP="003239FC">
      <w:pPr>
        <w:ind w:left="360"/>
      </w:pPr>
    </w:p>
    <w:p w14:paraId="6D533D66" w14:textId="29137A23" w:rsidR="00BD089A" w:rsidRPr="0095075D" w:rsidRDefault="00E22EF0" w:rsidP="00BD089A">
      <w:pPr>
        <w:rPr>
          <w:rFonts w:asciiTheme="majorHAnsi" w:hAnsiTheme="majorHAnsi" w:cstheme="majorHAnsi"/>
          <w:color w:val="2F5496" w:themeColor="accent1" w:themeShade="BF"/>
          <w:sz w:val="28"/>
          <w:szCs w:val="28"/>
        </w:rPr>
      </w:pPr>
      <w:r w:rsidRPr="0095075D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3.</w:t>
      </w:r>
      <w:r w:rsidR="008D1322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3</w:t>
      </w:r>
      <w:r w:rsidRPr="0095075D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ab/>
      </w:r>
      <w:r w:rsidR="0095075D" w:rsidRPr="0095075D">
        <w:rPr>
          <w:rFonts w:asciiTheme="majorHAnsi" w:hAnsiTheme="majorHAnsi" w:cstheme="majorHAnsi"/>
          <w:color w:val="2F5496" w:themeColor="accent1" w:themeShade="BF"/>
          <w:sz w:val="28"/>
          <w:szCs w:val="28"/>
        </w:rPr>
        <w:t>British Economic Losses</w:t>
      </w:r>
    </w:p>
    <w:p w14:paraId="2AAB5711" w14:textId="77777777" w:rsidR="0034419D" w:rsidRDefault="00B82084">
      <w:r>
        <w:t>According to estimates based on Labour Force Survey</w:t>
      </w:r>
      <w:r w:rsidR="00DB265C">
        <w:t>, RIDDOR and HSE Cost Model for 2017/18/19/20 a</w:t>
      </w:r>
      <w:r w:rsidR="007D7CFE">
        <w:t xml:space="preserve">nnual costs estimate costs </w:t>
      </w:r>
      <w:r w:rsidR="00130110">
        <w:t xml:space="preserve">of </w:t>
      </w:r>
      <w:r w:rsidR="005C61B8">
        <w:t>work-related</w:t>
      </w:r>
      <w:r w:rsidR="00130110">
        <w:t xml:space="preserve"> injury and ill health in 2018/2019, excluding long-latency illness</w:t>
      </w:r>
      <w:r w:rsidR="0081148E">
        <w:t>es to total £16.2billion</w:t>
      </w:r>
      <w:r w:rsidR="003522D0">
        <w:t xml:space="preserve"> of that figure £10.6 billion</w:t>
      </w:r>
      <w:r w:rsidR="004A277D">
        <w:t xml:space="preserve"> were due to ill health and </w:t>
      </w:r>
      <w:r>
        <w:t>£5.6billion due to workplace injury</w:t>
      </w:r>
      <w:r w:rsidR="005110EB">
        <w:t>.</w:t>
      </w:r>
    </w:p>
    <w:p w14:paraId="5E56FADA" w14:textId="77777777" w:rsidR="0003676E" w:rsidRDefault="0003676E" w:rsidP="0003676E">
      <w:r>
        <w:rPr>
          <w:noProof/>
        </w:rPr>
        <w:drawing>
          <wp:inline distT="0" distB="0" distL="0" distR="0" wp14:anchorId="2FD2DA11" wp14:editId="47049CA9">
            <wp:extent cx="2152650" cy="17335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B337B" w14:textId="77777777" w:rsidR="00E67C5A" w:rsidRDefault="0003676E" w:rsidP="0003676E">
      <w:pPr>
        <w:pStyle w:val="ListParagraph"/>
        <w:numPr>
          <w:ilvl w:val="0"/>
          <w:numId w:val="2"/>
        </w:numPr>
      </w:pPr>
      <w:r>
        <w:t xml:space="preserve">Costs to Britain of workplace injure and </w:t>
      </w:r>
      <w:r w:rsidR="005A2598">
        <w:t>new cases of work-related ill health in 2018/19</w:t>
      </w:r>
    </w:p>
    <w:p w14:paraId="49A472B0" w14:textId="77777777" w:rsidR="00997F87" w:rsidRDefault="00E67C5A" w:rsidP="00997F87">
      <w:r>
        <w:t>The focus on this report is on the 34% injury statistic, the total net loss has reduced by approximately 17% in the period of 2004/05 to 2018/19</w:t>
      </w:r>
      <w:r w:rsidR="00B322C7">
        <w:t>. This net loss reduction is almost entirely due to improvement of health and safety measures in the workplace.</w:t>
      </w:r>
    </w:p>
    <w:p w14:paraId="684264BA" w14:textId="77777777" w:rsidR="00E87FBB" w:rsidRDefault="00C6677C" w:rsidP="00997F87">
      <w:r>
        <w:lastRenderedPageBreak/>
        <w:t xml:space="preserve">The BMW Motorrad assembly lines which this report focuses on are almost entirely based in Berlin, Germany. </w:t>
      </w:r>
      <w:r w:rsidR="00717EE5">
        <w:t>Statistics</w:t>
      </w:r>
      <w:r>
        <w:t xml:space="preserve"> from HSE </w:t>
      </w:r>
      <w:r w:rsidR="00F61ADB">
        <w:t xml:space="preserve">show that </w:t>
      </w:r>
      <w:r w:rsidR="00160026">
        <w:t xml:space="preserve">per 100,000 employees 0.7 died in Germany whereas </w:t>
      </w:r>
      <w:r w:rsidR="00271716">
        <w:t>0.52 died in England in 2017 according to Eurostat 2017</w:t>
      </w:r>
      <w:r w:rsidR="00515FE5">
        <w:t xml:space="preserve">, displaying a 0.18 </w:t>
      </w:r>
      <w:r w:rsidR="00472625">
        <w:t>per 100,000 employees greater</w:t>
      </w:r>
      <w:r w:rsidR="00515FE5">
        <w:t xml:space="preserve"> mortality rate</w:t>
      </w:r>
      <w:r w:rsidR="005C722C">
        <w:t>.</w:t>
      </w:r>
    </w:p>
    <w:p w14:paraId="0F6145D7" w14:textId="13454799" w:rsidR="00F76B3A" w:rsidRDefault="00FD0A1E" w:rsidP="00997F87">
      <w:r>
        <w:t xml:space="preserve">In the United </w:t>
      </w:r>
      <w:r w:rsidR="0041743E">
        <w:t>Kingdom’s</w:t>
      </w:r>
      <w:r>
        <w:t xml:space="preserve"> </w:t>
      </w:r>
      <w:r w:rsidR="0041743E">
        <w:t>Manufacturing industry there were 15 fatal injuries in 2019/2020</w:t>
      </w:r>
      <w:r w:rsidR="0047480C">
        <w:t xml:space="preserve">, this is below the annual average statistic of 20 fatalities for 2015/16-2019/20. </w:t>
      </w:r>
      <w:r w:rsidR="0011610E">
        <w:t xml:space="preserve">These statistics </w:t>
      </w:r>
      <w:r w:rsidR="00CF2AFA">
        <w:t>show</w:t>
      </w:r>
      <w:r w:rsidR="0047480C">
        <w:t xml:space="preserve"> a </w:t>
      </w:r>
      <w:r w:rsidR="00C76C72">
        <w:t xml:space="preserve">negative trend in workplace deaths in the workplace against time, </w:t>
      </w:r>
      <w:r w:rsidR="00CF2AFA">
        <w:t>displaying an improvement in the health and safety of the workplace</w:t>
      </w:r>
      <w:r w:rsidR="00246B09">
        <w:t>, of which risk assessment plays a significant role.</w:t>
      </w:r>
      <w:r w:rsidR="00F76B3A">
        <w:t xml:space="preserve"> Further proof shows a negative trend between statistics dating back to </w:t>
      </w:r>
      <w:r w:rsidR="00AC0D83">
        <w:t>1981</w:t>
      </w:r>
      <w:r w:rsidR="005841A8">
        <w:t xml:space="preserve"> which is displayed in the figure below.</w:t>
      </w:r>
    </w:p>
    <w:p w14:paraId="46B06BDB" w14:textId="3C8EF54C" w:rsidR="0063614D" w:rsidRDefault="0063614D" w:rsidP="00997F87">
      <w:r>
        <w:rPr>
          <w:noProof/>
        </w:rPr>
        <w:drawing>
          <wp:inline distT="0" distB="0" distL="0" distR="0" wp14:anchorId="61B22E6E" wp14:editId="0BAC0E47">
            <wp:extent cx="5219700" cy="20288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52F3D" w14:textId="0945129C" w:rsidR="0063614D" w:rsidRDefault="0063614D" w:rsidP="0063614D">
      <w:pPr>
        <w:pStyle w:val="ListParagraph"/>
        <w:numPr>
          <w:ilvl w:val="0"/>
          <w:numId w:val="2"/>
        </w:numPr>
      </w:pPr>
      <w:r>
        <w:t xml:space="preserve">Fatal injuries </w:t>
      </w:r>
      <w:r w:rsidR="00AC0D83">
        <w:t>in Britain’s manufacturing industry from 1981 to 2020</w:t>
      </w:r>
    </w:p>
    <w:p w14:paraId="38D807DA" w14:textId="6B3D4BCC" w:rsidR="005841A8" w:rsidRDefault="00246B09" w:rsidP="00997F87">
      <w:r>
        <w:t xml:space="preserve"> </w:t>
      </w:r>
      <w:r w:rsidR="00A3357A">
        <w:t xml:space="preserve">Manufacturing has </w:t>
      </w:r>
      <w:r w:rsidR="00FE4361">
        <w:t>over a</w:t>
      </w:r>
      <w:r w:rsidR="00006580">
        <w:t>n approximately 1.69 times higher mortality rate than the average</w:t>
      </w:r>
      <w:r w:rsidR="00AA5EE0">
        <w:t xml:space="preserve"> rate across all industries, displaying the importance of risk assessment</w:t>
      </w:r>
      <w:r w:rsidR="00E12B59">
        <w:t xml:space="preserve"> in the</w:t>
      </w:r>
      <w:r w:rsidR="000F74A3">
        <w:t xml:space="preserve"> manufacturing industry.</w:t>
      </w:r>
    </w:p>
    <w:p w14:paraId="2991CCD1" w14:textId="2045C2BD" w:rsidR="0026477A" w:rsidRDefault="00D60AC9" w:rsidP="00997F87">
      <w:r>
        <w:t xml:space="preserve">Data from the Labour Force Survey </w:t>
      </w:r>
      <w:r w:rsidR="006A42EE">
        <w:t>report that</w:t>
      </w:r>
      <w:r w:rsidR="003F72CA">
        <w:t xml:space="preserve"> </w:t>
      </w:r>
      <w:r w:rsidR="006A42EE">
        <w:t>in m</w:t>
      </w:r>
      <w:r w:rsidR="00276406">
        <w:t>anufacturing</w:t>
      </w:r>
      <w:r w:rsidR="00872977">
        <w:t xml:space="preserve"> there were an estimated 66,000 workers who sustained an injury at work, of those 66,000 a</w:t>
      </w:r>
      <w:r w:rsidR="00276406">
        <w:t>pproximately</w:t>
      </w:r>
      <w:r w:rsidR="00872977">
        <w:t xml:space="preserve"> </w:t>
      </w:r>
      <w:r w:rsidR="00456126">
        <w:t>16</w:t>
      </w:r>
      <w:r w:rsidR="00276406">
        <w:t>,</w:t>
      </w:r>
      <w:r w:rsidR="00456126">
        <w:t>500</w:t>
      </w:r>
      <w:r w:rsidR="00276406">
        <w:t xml:space="preserve"> resulted in ab</w:t>
      </w:r>
      <w:r w:rsidR="00604000">
        <w:t>sence from work for over 7 days, resulting in lost potential income.</w:t>
      </w:r>
      <w:r w:rsidR="007F4819">
        <w:t xml:space="preserve"> According to the Labour Force Survey</w:t>
      </w:r>
      <w:r w:rsidR="006A77F4">
        <w:t xml:space="preserve"> annual average 2017/18-2019/20</w:t>
      </w:r>
      <w:r w:rsidR="007F4819">
        <w:t xml:space="preserve"> the rate of </w:t>
      </w:r>
      <w:r w:rsidR="006A77F4">
        <w:t>self-reported</w:t>
      </w:r>
      <w:r w:rsidR="007F4819">
        <w:t xml:space="preserve"> </w:t>
      </w:r>
      <w:r w:rsidR="006A77F4">
        <w:t>non-fatal injuries to workers shows a downward tr</w:t>
      </w:r>
      <w:r w:rsidR="00CC3798">
        <w:t>end as displayed in the figure below.</w:t>
      </w:r>
    </w:p>
    <w:p w14:paraId="678EAF65" w14:textId="3F80ECA8" w:rsidR="00CC3798" w:rsidRDefault="00CC3798" w:rsidP="00997F87">
      <w:r>
        <w:rPr>
          <w:noProof/>
        </w:rPr>
        <w:drawing>
          <wp:inline distT="0" distB="0" distL="0" distR="0" wp14:anchorId="7884464C" wp14:editId="0589D4E3">
            <wp:extent cx="4886325" cy="19907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3BF7F" w14:textId="737B23E8" w:rsidR="00AA4025" w:rsidRDefault="00AA4025" w:rsidP="00AA4025">
      <w:pPr>
        <w:pStyle w:val="ListParagraph"/>
        <w:numPr>
          <w:ilvl w:val="0"/>
          <w:numId w:val="2"/>
        </w:numPr>
      </w:pPr>
      <w:r>
        <w:t xml:space="preserve">The rate of self-reported </w:t>
      </w:r>
      <w:r w:rsidR="00A07316">
        <w:t>non-fatal</w:t>
      </w:r>
      <w:r>
        <w:t xml:space="preserve"> injuries to workers 20</w:t>
      </w:r>
      <w:r w:rsidR="00A07316">
        <w:t>02/03 – 2019/20</w:t>
      </w:r>
    </w:p>
    <w:p w14:paraId="0A3140FC" w14:textId="2A66498A" w:rsidR="002F01DA" w:rsidRDefault="00CC3798" w:rsidP="00997F87">
      <w:r>
        <w:lastRenderedPageBreak/>
        <w:t>RIDDOR</w:t>
      </w:r>
      <w:r w:rsidR="00FE17E4">
        <w:t xml:space="preserve"> </w:t>
      </w:r>
      <w:r w:rsidR="00A23C79">
        <w:t xml:space="preserve">reports that 11,245 non-fatal injuries </w:t>
      </w:r>
      <w:r w:rsidR="00233501">
        <w:t xml:space="preserve">to employees </w:t>
      </w:r>
      <w:r w:rsidR="009F1719">
        <w:t>took place in the workplace</w:t>
      </w:r>
      <w:r w:rsidR="00977884">
        <w:t xml:space="preserve"> and were subsequently</w:t>
      </w:r>
      <w:r w:rsidR="00337BD9">
        <w:t xml:space="preserve"> reported by employers</w:t>
      </w:r>
      <w:r w:rsidR="00977884">
        <w:t xml:space="preserve">. Of the 11,245 </w:t>
      </w:r>
      <w:r w:rsidR="00734A3A">
        <w:t>injuries 8,656 or 77% were over 7-day injuries showing that serious risks are more likely to be reported to the employer and</w:t>
      </w:r>
      <w:r w:rsidR="0074727A">
        <w:t>/</w:t>
      </w:r>
      <w:r w:rsidR="00734A3A">
        <w:t xml:space="preserve">or the employer is more likely to report a more serious </w:t>
      </w:r>
      <w:r w:rsidR="0074727A">
        <w:t>injury and ignore more minor ones.</w:t>
      </w:r>
      <w:r w:rsidR="002F01DA">
        <w:t xml:space="preserve"> However additional data from RIDDOR supports data from Labour Force Survey that displays a negative trend in workplace injuries over time.</w:t>
      </w:r>
    </w:p>
    <w:p w14:paraId="47E42C47" w14:textId="76381DF6" w:rsidR="00292DD5" w:rsidRDefault="0036727E" w:rsidP="00292DD5">
      <w:r>
        <w:t>The data</w:t>
      </w:r>
      <w:r w:rsidR="00A07316">
        <w:t xml:space="preserve"> display</w:t>
      </w:r>
      <w:r>
        <w:t>ed</w:t>
      </w:r>
      <w:r w:rsidR="00A07316">
        <w:t xml:space="preserve"> </w:t>
      </w:r>
      <w:r w:rsidR="00FE17E4">
        <w:t>s</w:t>
      </w:r>
      <w:r w:rsidR="00A07316">
        <w:t>how</w:t>
      </w:r>
      <w:r w:rsidR="00FE17E4">
        <w:t>s</w:t>
      </w:r>
      <w:r w:rsidR="00A07316">
        <w:t xml:space="preserve"> </w:t>
      </w:r>
      <w:r w:rsidR="00FE17E4">
        <w:t xml:space="preserve">how </w:t>
      </w:r>
      <w:r w:rsidR="00A07316">
        <w:t xml:space="preserve">the improvement of risk assessment </w:t>
      </w:r>
      <w:r w:rsidR="002F01DA">
        <w:t xml:space="preserve">in the workplace </w:t>
      </w:r>
      <w:r w:rsidR="00A07316">
        <w:t xml:space="preserve">has </w:t>
      </w:r>
      <w:r w:rsidR="00746E95">
        <w:t>resulted in lower worker injuries and fatalitie</w:t>
      </w:r>
      <w:r w:rsidR="00C84328">
        <w:t>s, this in turn will affect how many potential workdays are lost, how long machines and assembly lines are shut down for maintenance and/or evaluation</w:t>
      </w:r>
      <w:r w:rsidR="00AB4232">
        <w:t>, which in turn affects how much gross product the manufacturing industry can produce and the net income the industry can create.</w:t>
      </w:r>
    </w:p>
    <w:p w14:paraId="61E24DEB" w14:textId="5F24D2BA" w:rsidR="00292DD5" w:rsidRPr="00292DD5" w:rsidRDefault="00292DD5" w:rsidP="00292DD5"/>
    <w:p w14:paraId="7AC949DE" w14:textId="77777777" w:rsidR="00536BEB" w:rsidRDefault="00536BEB" w:rsidP="00997F87"/>
    <w:p w14:paraId="4BB5F1CA" w14:textId="7028F4F7" w:rsidR="0036727E" w:rsidRDefault="0036727E" w:rsidP="00997F87"/>
    <w:p w14:paraId="1A66A371" w14:textId="04CC9E0D" w:rsidR="00F87414" w:rsidRPr="007D7CFE" w:rsidRDefault="00F87414" w:rsidP="00997F87">
      <w:r>
        <w:br w:type="page"/>
      </w:r>
    </w:p>
    <w:p w14:paraId="184EF372" w14:textId="6BE7103B" w:rsidR="002758FF" w:rsidRDefault="002758FF" w:rsidP="000D66F7">
      <w:pPr>
        <w:pStyle w:val="Heading1"/>
      </w:pPr>
      <w:bookmarkStart w:id="3" w:name="_Toc66680992"/>
      <w:r>
        <w:lastRenderedPageBreak/>
        <w:t>Methodology</w:t>
      </w:r>
      <w:bookmarkEnd w:id="3"/>
    </w:p>
    <w:p w14:paraId="2A499FBB" w14:textId="77777777" w:rsidR="009C1FCE" w:rsidRDefault="00C665F4" w:rsidP="009C1FCE">
      <w:r>
        <w:t xml:space="preserve">Four pre-determined failure modes </w:t>
      </w:r>
      <w:r w:rsidR="00DC669F">
        <w:t xml:space="preserve">had been highlighted during the braking component installation process of the BMW Motorrad </w:t>
      </w:r>
      <w:r w:rsidR="008452F1">
        <w:t xml:space="preserve">assembly </w:t>
      </w:r>
      <w:r w:rsidR="00A77826">
        <w:t>process;</w:t>
      </w:r>
      <w:r w:rsidR="008452F1">
        <w:t xml:space="preserve"> these four failure modes are</w:t>
      </w:r>
      <w:r w:rsidR="00AA6EE0">
        <w:t xml:space="preserve">: </w:t>
      </w:r>
    </w:p>
    <w:p w14:paraId="3BB16139" w14:textId="529A5549" w:rsidR="00022735" w:rsidRDefault="00022735" w:rsidP="00022735">
      <w:pPr>
        <w:pStyle w:val="ListParagraph"/>
        <w:numPr>
          <w:ilvl w:val="0"/>
          <w:numId w:val="6"/>
        </w:numPr>
      </w:pPr>
      <w:r w:rsidRPr="00022735">
        <w:t>Brake calliper mounting bolts not torqued to correct level</w:t>
      </w:r>
      <w:r w:rsidR="001376AB">
        <w:t>.</w:t>
      </w:r>
    </w:p>
    <w:p w14:paraId="40B2AF0E" w14:textId="64CAC953" w:rsidR="001376AB" w:rsidRDefault="00022735" w:rsidP="00022735">
      <w:pPr>
        <w:pStyle w:val="ListParagraph"/>
        <w:numPr>
          <w:ilvl w:val="0"/>
          <w:numId w:val="6"/>
        </w:numPr>
      </w:pPr>
      <w:r w:rsidRPr="00022735">
        <w:t>Incorrect brake disc size installed</w:t>
      </w:r>
      <w:r w:rsidR="001376AB">
        <w:t>.</w:t>
      </w:r>
    </w:p>
    <w:p w14:paraId="1875BC6F" w14:textId="05C6AD16" w:rsidR="001376AB" w:rsidRDefault="001376AB" w:rsidP="00022735">
      <w:pPr>
        <w:pStyle w:val="ListParagraph"/>
        <w:numPr>
          <w:ilvl w:val="0"/>
          <w:numId w:val="6"/>
        </w:numPr>
      </w:pPr>
      <w:r w:rsidRPr="001376AB">
        <w:t>Brake pads installed in wrong orientation, with friction material not contacting disc surface</w:t>
      </w:r>
      <w:r>
        <w:t>.</w:t>
      </w:r>
    </w:p>
    <w:p w14:paraId="327776E3" w14:textId="77777777" w:rsidR="00820AFB" w:rsidRDefault="001376AB" w:rsidP="00022735">
      <w:pPr>
        <w:pStyle w:val="ListParagraph"/>
        <w:numPr>
          <w:ilvl w:val="0"/>
          <w:numId w:val="6"/>
        </w:numPr>
      </w:pPr>
      <w:r w:rsidRPr="001376AB">
        <w:t>Brake line fitting not fully tightened</w:t>
      </w:r>
      <w:r>
        <w:t>.</w:t>
      </w:r>
    </w:p>
    <w:p w14:paraId="238DDF34" w14:textId="18BABB7A" w:rsidR="00596F90" w:rsidRDefault="00373AAC" w:rsidP="00820AFB">
      <w:r>
        <w:t xml:space="preserve">The footage used can be found here: </w:t>
      </w:r>
      <w:hyperlink r:id="rId19" w:history="1">
        <w:r w:rsidR="00811804" w:rsidRPr="005711F9">
          <w:rPr>
            <w:rStyle w:val="Hyperlink"/>
          </w:rPr>
          <w:t>https://www.youtube.com/watch?v=fjQ6Gdk-QYw</w:t>
        </w:r>
      </w:hyperlink>
      <w:r w:rsidR="00811804">
        <w:t xml:space="preserve">, here: </w:t>
      </w:r>
      <w:hyperlink r:id="rId20" w:history="1">
        <w:r w:rsidR="00811804" w:rsidRPr="005711F9">
          <w:rPr>
            <w:rStyle w:val="Hyperlink"/>
          </w:rPr>
          <w:t>https://www.youtube.com/watch?v=L22oij8nT2k</w:t>
        </w:r>
      </w:hyperlink>
      <w:r w:rsidR="00811804">
        <w:t>, and finally here:</w:t>
      </w:r>
      <w:r w:rsidR="00CF4E7A">
        <w:t xml:space="preserve"> </w:t>
      </w:r>
      <w:hyperlink r:id="rId21" w:history="1">
        <w:r w:rsidR="00596F90" w:rsidRPr="005711F9">
          <w:rPr>
            <w:rStyle w:val="Hyperlink"/>
          </w:rPr>
          <w:t>https://www.youtube.com/watch?v=WNSGhcc4NSQ</w:t>
        </w:r>
      </w:hyperlink>
      <w:r w:rsidR="00596F90">
        <w:t xml:space="preserve">. </w:t>
      </w:r>
    </w:p>
    <w:p w14:paraId="4EB6EFD1" w14:textId="35A79232" w:rsidR="009F6568" w:rsidRDefault="003C126E" w:rsidP="00820AFB">
      <w:r>
        <w:t xml:space="preserve">For each </w:t>
      </w:r>
      <w:r w:rsidR="004C422F">
        <w:t xml:space="preserve">failure mode, </w:t>
      </w:r>
      <w:r w:rsidR="00C83361">
        <w:t xml:space="preserve">the likelihood of that failure occurring is considered and given a </w:t>
      </w:r>
      <w:r w:rsidR="00C4652E">
        <w:t xml:space="preserve">value from 1 to 10, 1 being </w:t>
      </w:r>
      <w:r w:rsidR="001D0B5B">
        <w:t>very</w:t>
      </w:r>
      <w:r w:rsidR="00BF1547">
        <w:t xml:space="preserve"> unlikely</w:t>
      </w:r>
      <w:r w:rsidR="001D0B5B">
        <w:t xml:space="preserve"> and 10 being extremely likely/</w:t>
      </w:r>
      <w:r w:rsidR="004F4B90">
        <w:t>probable</w:t>
      </w:r>
      <w:r w:rsidR="00BF1547">
        <w:t xml:space="preserve">. </w:t>
      </w:r>
      <w:r w:rsidR="005D69A9">
        <w:t>The severity of that failure</w:t>
      </w:r>
      <w:r w:rsidR="00A66257">
        <w:t xml:space="preserve"> whether it be </w:t>
      </w:r>
      <w:r w:rsidR="00766ED0">
        <w:t xml:space="preserve">to the </w:t>
      </w:r>
      <w:r w:rsidR="00A66257">
        <w:t>health and safety</w:t>
      </w:r>
      <w:r w:rsidR="00766ED0">
        <w:t xml:space="preserve"> of the workers/consumers</w:t>
      </w:r>
      <w:r w:rsidR="00B1696C">
        <w:t>,</w:t>
      </w:r>
      <w:r w:rsidR="0091180C">
        <w:t xml:space="preserve"> value loss </w:t>
      </w:r>
      <w:r w:rsidR="00766ED0">
        <w:t>to the company</w:t>
      </w:r>
      <w:r w:rsidR="00B1696C">
        <w:t>,</w:t>
      </w:r>
      <w:r w:rsidR="00766ED0">
        <w:t xml:space="preserve"> </w:t>
      </w:r>
      <w:r w:rsidR="00EB4E80">
        <w:t>e</w:t>
      </w:r>
      <w:r w:rsidR="00766ED0">
        <w:t>tc.</w:t>
      </w:r>
      <w:r w:rsidR="005D69A9">
        <w:t xml:space="preserve"> is also given a value from 1 to 10, 1 being</w:t>
      </w:r>
      <w:r w:rsidR="00F65096">
        <w:t xml:space="preserve"> minor and 10 being </w:t>
      </w:r>
      <w:r w:rsidR="00457DBA">
        <w:t>major</w:t>
      </w:r>
      <w:r w:rsidR="00A27DB8">
        <w:t>/fatal</w:t>
      </w:r>
      <w:r w:rsidR="00F63D2C">
        <w:t>. The likelihood of detection is given a value from 1 to 10</w:t>
      </w:r>
      <w:r w:rsidR="00B1696C">
        <w:t>, 1</w:t>
      </w:r>
      <w:r w:rsidR="006D5A2D">
        <w:t>0 being almost impossible to detect</w:t>
      </w:r>
      <w:r w:rsidR="00B02482">
        <w:t xml:space="preserve">. Once these three </w:t>
      </w:r>
      <w:r w:rsidR="00045D3E">
        <w:t xml:space="preserve">values have been assigned, the risk priority number (RPN) can be calculated, giving your failure mode a </w:t>
      </w:r>
      <w:r w:rsidR="00337522">
        <w:t xml:space="preserve">ranking on how significant the issue </w:t>
      </w:r>
      <w:r w:rsidR="00CD5FDD">
        <w:t>is,</w:t>
      </w:r>
      <w:r w:rsidR="00337522">
        <w:t xml:space="preserve"> and in which order to address your r</w:t>
      </w:r>
      <w:r w:rsidR="00CD5FDD">
        <w:t>isks.</w:t>
      </w:r>
      <w:r w:rsidR="00C4652E">
        <w:t xml:space="preserve"> </w:t>
      </w:r>
      <w:r w:rsidR="008218B8">
        <w:t>Mitigating actions were recommended for each</w:t>
      </w:r>
      <w:r w:rsidR="0087328D">
        <w:t xml:space="preserve"> failure mode</w:t>
      </w:r>
      <w:r w:rsidR="006410C9">
        <w:t xml:space="preserve"> and another FMEA was completed </w:t>
      </w:r>
      <w:r w:rsidR="006A1E72">
        <w:t>on the same four failure modes once the mitigating actions had taken place</w:t>
      </w:r>
      <w:r w:rsidR="00CD5FDD">
        <w:t>, to deduce how much of a difference the risk management has made and if further mitigating actions are required.</w:t>
      </w:r>
    </w:p>
    <w:p w14:paraId="60CF750C" w14:textId="77777777" w:rsidR="00596F90" w:rsidRDefault="00596F90" w:rsidP="00820AFB"/>
    <w:p w14:paraId="74781BB7" w14:textId="52D74D71" w:rsidR="00F87414" w:rsidRPr="00F73402" w:rsidRDefault="00F87414">
      <w:r>
        <w:br w:type="page"/>
      </w:r>
    </w:p>
    <w:p w14:paraId="0E9E03B6" w14:textId="121CC32C" w:rsidR="002758FF" w:rsidRDefault="001A4768" w:rsidP="000D66F7">
      <w:pPr>
        <w:pStyle w:val="Heading1"/>
      </w:pPr>
      <w:bookmarkStart w:id="4" w:name="_Toc66680993"/>
      <w:r>
        <w:lastRenderedPageBreak/>
        <w:t>Results &amp; Analysis / Discussion Conclusions</w:t>
      </w:r>
      <w:bookmarkEnd w:id="4"/>
    </w:p>
    <w:p w14:paraId="48781C58" w14:textId="60E05732" w:rsidR="008F66CD" w:rsidRDefault="0097686F">
      <w:pPr>
        <w:rPr>
          <w:color w:val="FF0000"/>
        </w:rPr>
      </w:pPr>
      <w:r>
        <w:rPr>
          <w:noProof/>
        </w:rPr>
        <w:drawing>
          <wp:inline distT="0" distB="0" distL="0" distR="0" wp14:anchorId="197DF7BA" wp14:editId="5430DD13">
            <wp:extent cx="5731510" cy="2226945"/>
            <wp:effectExtent l="0" t="0" r="254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178AE" w14:textId="650D1B7E" w:rsidR="00795F1D" w:rsidRPr="00795F1D" w:rsidRDefault="00795F1D">
      <w:r>
        <w:t xml:space="preserve">This FMEA will be in relation to </w:t>
      </w:r>
      <w:r w:rsidR="0057467A">
        <w:t>potential dangers and hazards, not financial losses.</w:t>
      </w:r>
    </w:p>
    <w:p w14:paraId="31FC4078" w14:textId="238722EC" w:rsidR="00E91B9A" w:rsidRDefault="002764EB">
      <w:r>
        <w:t xml:space="preserve">Addressing the brake calliper mounting bolts not torqued to the correct level, </w:t>
      </w:r>
      <w:r w:rsidR="00E91B9A">
        <w:t xml:space="preserve">the likelihood of occurrence </w:t>
      </w:r>
      <w:r w:rsidR="00147D5B">
        <w:t>was assigned an</w:t>
      </w:r>
      <w:r w:rsidR="00811A9C">
        <w:t xml:space="preserve"> </w:t>
      </w:r>
      <w:r w:rsidR="006C0684">
        <w:t>8</w:t>
      </w:r>
      <w:r w:rsidR="00811A9C">
        <w:t xml:space="preserve">, this is because </w:t>
      </w:r>
      <w:r w:rsidR="006C0684">
        <w:t>the process relies on human judgement, and allows for human error when deeming wh</w:t>
      </w:r>
      <w:r w:rsidR="003F37C9">
        <w:t>at is the correct torque</w:t>
      </w:r>
      <w:r w:rsidR="00811A9C">
        <w:t>. The severity of the failure was moderate</w:t>
      </w:r>
      <w:r w:rsidR="00795F1D">
        <w:t xml:space="preserve">ly low, this is </w:t>
      </w:r>
      <w:proofErr w:type="gramStart"/>
      <w:r w:rsidR="00795F1D">
        <w:t xml:space="preserve">due to </w:t>
      </w:r>
      <w:r w:rsidR="0057467A">
        <w:t>the fact that</w:t>
      </w:r>
      <w:proofErr w:type="gramEnd"/>
      <w:r w:rsidR="0057467A">
        <w:t xml:space="preserve"> other than wear to the breaks, this failure is </w:t>
      </w:r>
      <w:r w:rsidR="00FC7830">
        <w:t xml:space="preserve">unlikely to </w:t>
      </w:r>
      <w:r w:rsidR="00C8478F">
        <w:t>put the motorcycle in any potential risk.</w:t>
      </w:r>
      <w:r w:rsidR="00B03004">
        <w:t xml:space="preserve"> The likelihood of detection is near certain this is </w:t>
      </w:r>
      <w:proofErr w:type="gramStart"/>
      <w:r w:rsidR="00B03004">
        <w:t>due to the fact that</w:t>
      </w:r>
      <w:proofErr w:type="gramEnd"/>
      <w:r w:rsidR="00B03004">
        <w:t xml:space="preserve"> the motorcycles are </w:t>
      </w:r>
      <w:r w:rsidR="00B724FB">
        <w:t>tested on multiple rolling roads before leaving production</w:t>
      </w:r>
      <w:r w:rsidR="00B17CB8">
        <w:t>, which will pick up on resistance to the brakes and</w:t>
      </w:r>
      <w:r w:rsidR="00CC0439">
        <w:t xml:space="preserve"> possibly</w:t>
      </w:r>
      <w:r w:rsidR="00B17CB8">
        <w:t xml:space="preserve"> a reduced fuel e</w:t>
      </w:r>
      <w:r w:rsidR="00CC0439">
        <w:t>fficiency</w:t>
      </w:r>
      <w:r w:rsidR="00B724FB">
        <w:t xml:space="preserve">. The mitigating action recommended would reduce the likelihood of the </w:t>
      </w:r>
      <w:r w:rsidR="00AC1257">
        <w:t>failure occurring in the first place, saving financial losses</w:t>
      </w:r>
      <w:r w:rsidR="00B17CB8">
        <w:t xml:space="preserve"> due to ruined brake pads.</w:t>
      </w:r>
    </w:p>
    <w:p w14:paraId="4CEE2688" w14:textId="5AFBDC36" w:rsidR="00CC0439" w:rsidRDefault="00CC0439">
      <w:r>
        <w:t>The failure mode of incorrect brake disc being installed was</w:t>
      </w:r>
      <w:r w:rsidR="00A12177">
        <w:t xml:space="preserve"> assigned a</w:t>
      </w:r>
      <w:r w:rsidR="00090B4A">
        <w:t xml:space="preserve"> low likelihood</w:t>
      </w:r>
      <w:r w:rsidR="0026232A">
        <w:t xml:space="preserve"> of occurrence, this is </w:t>
      </w:r>
      <w:proofErr w:type="gramStart"/>
      <w:r w:rsidR="0026232A">
        <w:t xml:space="preserve">due to </w:t>
      </w:r>
      <w:r w:rsidR="00090B4A">
        <w:t>the fact that</w:t>
      </w:r>
      <w:proofErr w:type="gramEnd"/>
      <w:r w:rsidR="00A12177">
        <w:t xml:space="preserve"> the brake discs are produced on site by </w:t>
      </w:r>
      <w:r w:rsidR="00C51562">
        <w:t>precise machinery, disallowing for human error</w:t>
      </w:r>
      <w:r w:rsidR="0026232A">
        <w:t xml:space="preserve">. The severity was </w:t>
      </w:r>
      <w:r w:rsidR="007A47E6">
        <w:t>moderate</w:t>
      </w:r>
      <w:r w:rsidR="00A57697">
        <w:t xml:space="preserve">, this is </w:t>
      </w:r>
      <w:proofErr w:type="gramStart"/>
      <w:r w:rsidR="00A57697">
        <w:t>due to the fact that</w:t>
      </w:r>
      <w:proofErr w:type="gramEnd"/>
      <w:r w:rsidR="00A57697">
        <w:t xml:space="preserve"> other</w:t>
      </w:r>
      <w:r w:rsidR="001C3C9D">
        <w:t xml:space="preserve"> than potential wear on the brakes no harm would likely be done to the consumer, however if the brake disc </w:t>
      </w:r>
      <w:r w:rsidR="007F5BA5">
        <w:t xml:space="preserve">was too thin </w:t>
      </w:r>
      <w:r w:rsidR="00DB5108">
        <w:t xml:space="preserve">the rider could potentially lose milliseconds </w:t>
      </w:r>
      <w:r w:rsidR="00C81771">
        <w:t xml:space="preserve">in </w:t>
      </w:r>
      <w:r w:rsidR="006D6C4F">
        <w:t>stopping distance. Incorrect brake disc fitted was assigned a moderat</w:t>
      </w:r>
      <w:r w:rsidR="0045616E">
        <w:t xml:space="preserve">ely </w:t>
      </w:r>
      <w:r w:rsidR="00154E44">
        <w:t>low</w:t>
      </w:r>
      <w:r w:rsidR="0045616E">
        <w:t xml:space="preserve"> likelihood of detection, this is </w:t>
      </w:r>
      <w:proofErr w:type="gramStart"/>
      <w:r w:rsidR="0045616E">
        <w:t>due to the fact tha</w:t>
      </w:r>
      <w:r w:rsidR="00154E44">
        <w:t>t</w:t>
      </w:r>
      <w:proofErr w:type="gramEnd"/>
      <w:r w:rsidR="00154E44">
        <w:t xml:space="preserve"> unless the brake discs are so </w:t>
      </w:r>
      <w:r w:rsidR="007E4CD5">
        <w:t>large,</w:t>
      </w:r>
      <w:r w:rsidR="00154E44">
        <w:t xml:space="preserve"> they’re in contact with the brake pads, the </w:t>
      </w:r>
      <w:r w:rsidR="00176909">
        <w:t xml:space="preserve">failure </w:t>
      </w:r>
      <w:r w:rsidR="00B6688A">
        <w:t>won’t</w:t>
      </w:r>
      <w:r w:rsidR="00433F2C">
        <w:t xml:space="preserve"> be noticeable. The mitigating action</w:t>
      </w:r>
      <w:r w:rsidR="00DF4585">
        <w:t xml:space="preserve"> recommended would allow engineers to check the brake discs being installed are the right </w:t>
      </w:r>
      <w:r w:rsidR="00F14A74">
        <w:t>size</w:t>
      </w:r>
      <w:r w:rsidR="00DF4585">
        <w:t xml:space="preserve"> </w:t>
      </w:r>
      <w:r w:rsidR="0061277D">
        <w:t>and disallow the failu</w:t>
      </w:r>
      <w:r w:rsidR="00F14A74">
        <w:t>re to occur</w:t>
      </w:r>
      <w:r w:rsidR="007E4CD5">
        <w:t>.</w:t>
      </w:r>
    </w:p>
    <w:p w14:paraId="639B9E92" w14:textId="339A3CD6" w:rsidR="009B5924" w:rsidRDefault="009B5924">
      <w:r>
        <w:t>The brake pads being installed in the wrong orientation was assigned a</w:t>
      </w:r>
      <w:r w:rsidR="00AE5F89">
        <w:t xml:space="preserve"> moderate</w:t>
      </w:r>
      <w:r w:rsidR="004456C3">
        <w:t>ly low</w:t>
      </w:r>
      <w:r w:rsidR="00AE5F89">
        <w:t xml:space="preserve"> likelihood of </w:t>
      </w:r>
      <w:r w:rsidR="00D64206">
        <w:t>occurrence;</w:t>
      </w:r>
      <w:r w:rsidR="00AE5F89">
        <w:t xml:space="preserve"> this is </w:t>
      </w:r>
      <w:proofErr w:type="gramStart"/>
      <w:r w:rsidR="00AE5F89">
        <w:t>due to the fact that</w:t>
      </w:r>
      <w:proofErr w:type="gramEnd"/>
      <w:r w:rsidR="00AE5F89">
        <w:t xml:space="preserve"> s</w:t>
      </w:r>
      <w:r w:rsidR="005B1F1F">
        <w:t xml:space="preserve">tock brake pads for many of </w:t>
      </w:r>
      <w:r w:rsidR="00E27952">
        <w:t xml:space="preserve">the </w:t>
      </w:r>
      <w:r w:rsidR="005B1F1F">
        <w:t xml:space="preserve">BMW </w:t>
      </w:r>
      <w:r w:rsidR="009822E1">
        <w:t>Motorrad</w:t>
      </w:r>
      <w:r w:rsidR="005B1F1F">
        <w:t xml:space="preserve"> </w:t>
      </w:r>
      <w:r w:rsidR="00A76489">
        <w:t>motorcycle range have key visual indicators as t</w:t>
      </w:r>
      <w:r w:rsidR="00C800C8">
        <w:t>o the orientation they are designed to be installed.</w:t>
      </w:r>
      <w:r w:rsidR="004456C3">
        <w:t xml:space="preserve"> The severity assigned was </w:t>
      </w:r>
      <w:r w:rsidR="00F1720D">
        <w:t xml:space="preserve">hazardous, this failure could potentially </w:t>
      </w:r>
      <w:r w:rsidR="00F8273A">
        <w:t xml:space="preserve">cause injuries and fatalities, as the stopping distance for the riders would be greatly increased as </w:t>
      </w:r>
      <w:r w:rsidR="009822E1">
        <w:t>the two materials in contact would have a significantly</w:t>
      </w:r>
      <w:r w:rsidR="00F8273A">
        <w:t xml:space="preserve"> lower friction co-efficien</w:t>
      </w:r>
      <w:r w:rsidR="009822E1">
        <w:t>t.</w:t>
      </w:r>
      <w:r w:rsidR="00E27952">
        <w:t xml:space="preserve"> The likelihood of detection </w:t>
      </w:r>
      <w:r w:rsidR="00AF797B">
        <w:t xml:space="preserve">was assigned </w:t>
      </w:r>
      <w:r w:rsidR="00FD77D5">
        <w:t>a 1</w:t>
      </w:r>
      <w:r w:rsidR="00AF797B">
        <w:t>, this is due to the fact the failure would</w:t>
      </w:r>
      <w:r w:rsidR="005C3FD5">
        <w:t xml:space="preserve"> </w:t>
      </w:r>
      <w:r w:rsidR="00345F9D">
        <w:t xml:space="preserve">exhibit a significantly longer </w:t>
      </w:r>
      <w:r w:rsidR="00EE4424">
        <w:t xml:space="preserve">stopping distance, engineers would hear scraping </w:t>
      </w:r>
      <w:r w:rsidR="00F344DB">
        <w:t xml:space="preserve">in the brakes, and potential sparks would </w:t>
      </w:r>
      <w:r w:rsidR="00F344DB">
        <w:lastRenderedPageBreak/>
        <w:t>be clear to operators.</w:t>
      </w:r>
      <w:r w:rsidR="00CF769F">
        <w:t xml:space="preserve"> The mitigating actions allow for</w:t>
      </w:r>
      <w:r w:rsidR="00521FF9">
        <w:t xml:space="preserve"> issues in the brakes to be highlighted and inspected before being taken off the production line.</w:t>
      </w:r>
    </w:p>
    <w:p w14:paraId="3F98BB6B" w14:textId="0B3BF211" w:rsidR="003731BF" w:rsidRDefault="003731BF">
      <w:r>
        <w:t>The brake line not fully tightened was assigned a moderate</w:t>
      </w:r>
      <w:r w:rsidR="00474465">
        <w:t xml:space="preserve"> </w:t>
      </w:r>
      <w:r w:rsidR="00D64206">
        <w:t>likelihood of occurrence</w:t>
      </w:r>
      <w:r w:rsidR="00BD4724">
        <w:t xml:space="preserve">, this is due to the process </w:t>
      </w:r>
      <w:r w:rsidR="00474465">
        <w:t>allowing for human error</w:t>
      </w:r>
      <w:r w:rsidR="007D1E7F">
        <w:t>,</w:t>
      </w:r>
      <w:r w:rsidR="000863A4">
        <w:t xml:space="preserve"> according to statistics from 2015 </w:t>
      </w:r>
      <w:r w:rsidR="00B14BA8">
        <w:t>the BMW Motorrad Berlin-Spandau plant</w:t>
      </w:r>
      <w:r w:rsidR="00D16956">
        <w:t xml:space="preserve"> rolls 700 motorcycles</w:t>
      </w:r>
      <w:r w:rsidR="00BE344F">
        <w:t xml:space="preserve"> off the production line per day, </w:t>
      </w:r>
      <w:r w:rsidR="000661EF">
        <w:t>allowing for a greater chance this failure will occur.</w:t>
      </w:r>
      <w:r w:rsidR="00D14DDD">
        <w:t xml:space="preserve"> The severity of this failure is moderately high, this is </w:t>
      </w:r>
      <w:proofErr w:type="gramStart"/>
      <w:r w:rsidR="00D14DDD">
        <w:t>due to the fact that</w:t>
      </w:r>
      <w:proofErr w:type="gramEnd"/>
      <w:r w:rsidR="00D14DDD">
        <w:t xml:space="preserve"> with a </w:t>
      </w:r>
      <w:r w:rsidR="00625B43">
        <w:t xml:space="preserve">looser </w:t>
      </w:r>
      <w:r w:rsidR="00E47126">
        <w:t xml:space="preserve">brake line the rider will experience longer stopping distances which put the rider and those </w:t>
      </w:r>
      <w:r w:rsidR="00E21D57">
        <w:t xml:space="preserve">in the vicinity at risk. The likelihood of </w:t>
      </w:r>
      <w:r w:rsidR="00F564B3">
        <w:t xml:space="preserve">detection is </w:t>
      </w:r>
      <w:r w:rsidR="00A9481D">
        <w:t xml:space="preserve">low, this is due to </w:t>
      </w:r>
      <w:r w:rsidR="0095031E">
        <w:t xml:space="preserve">lack of mitigating actions preventing this failure from being </w:t>
      </w:r>
      <w:r w:rsidR="00721FA5">
        <w:t>managed before leaving production.</w:t>
      </w:r>
    </w:p>
    <w:p w14:paraId="15C21F9D" w14:textId="19284AD8" w:rsidR="00A36320" w:rsidRDefault="00FB2644">
      <w:r>
        <w:rPr>
          <w:noProof/>
        </w:rPr>
        <w:drawing>
          <wp:inline distT="0" distB="0" distL="0" distR="0" wp14:anchorId="6A318CCE" wp14:editId="5F64A3FF">
            <wp:extent cx="5731510" cy="2226310"/>
            <wp:effectExtent l="0" t="0" r="2540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E8499" w14:textId="15C60299" w:rsidR="00C84320" w:rsidRDefault="00C84320">
      <w:r>
        <w:t xml:space="preserve">Appling the use of torque wrench allowed workers to </w:t>
      </w:r>
      <w:r w:rsidR="0062679E">
        <w:t>tighten mounting bolts to the correct torque levels, reducing the likelihood of detection. The u</w:t>
      </w:r>
      <w:r>
        <w:t>se of callipers</w:t>
      </w:r>
      <w:r w:rsidR="0062679E">
        <w:t xml:space="preserve"> allowed workers to check </w:t>
      </w:r>
      <w:r w:rsidR="00B64E07">
        <w:t xml:space="preserve">brake discs before fitting them, allowing them to discard of disproportionate ones. </w:t>
      </w:r>
      <w:r>
        <w:t>Measur</w:t>
      </w:r>
      <w:r w:rsidR="00B64E07">
        <w:t>ing</w:t>
      </w:r>
      <w:r>
        <w:t xml:space="preserve"> stopping distance</w:t>
      </w:r>
      <w:r w:rsidR="00B64E07">
        <w:t xml:space="preserve"> highlighted most issues in the braking</w:t>
      </w:r>
      <w:r w:rsidR="00545230">
        <w:t xml:space="preserve"> system, if the stopping distance was too large the braking system can be inspected and fixed before allowing the bike to leave the production line.</w:t>
      </w:r>
    </w:p>
    <w:p w14:paraId="38E17F5D" w14:textId="02DE922B" w:rsidR="00F87414" w:rsidRPr="003408A8" w:rsidRDefault="002D3E7D">
      <w:pPr>
        <w:rPr>
          <w:color w:val="FF0000"/>
        </w:rPr>
      </w:pPr>
      <w:r>
        <w:t>Data shows th</w:t>
      </w:r>
      <w:r w:rsidR="005F1537">
        <w:t xml:space="preserve">e importance of risk assessment in the workplace though </w:t>
      </w:r>
      <w:r w:rsidR="008B4112">
        <w:t>economic</w:t>
      </w:r>
      <w:r w:rsidR="005F1537">
        <w:t xml:space="preserve"> </w:t>
      </w:r>
      <w:r w:rsidR="005F3384">
        <w:t xml:space="preserve">benefits and </w:t>
      </w:r>
      <w:r w:rsidR="008B4112">
        <w:t xml:space="preserve">the </w:t>
      </w:r>
      <w:r w:rsidR="005F3384">
        <w:t>improved livelihoods of employees</w:t>
      </w:r>
      <w:r w:rsidR="008B4112">
        <w:t xml:space="preserve">. Stark differences shown through data trends </w:t>
      </w:r>
      <w:r w:rsidR="004D5BB3">
        <w:t>throughout</w:t>
      </w:r>
      <w:r w:rsidR="008B4112">
        <w:t xml:space="preserve"> the years display how countries are developing their risk assessment strategies a</w:t>
      </w:r>
      <w:r w:rsidR="00427C78">
        <w:t>s engineers follow</w:t>
      </w:r>
      <w:r w:rsidR="004D5BB3">
        <w:t xml:space="preserve"> and develop</w:t>
      </w:r>
      <w:r w:rsidR="00427C78">
        <w:t xml:space="preserve"> strict code of conducts laid out by governing bodies in </w:t>
      </w:r>
      <w:r w:rsidR="004D5BB3">
        <w:t>their countries</w:t>
      </w:r>
      <w:r w:rsidR="00AE0394">
        <w:t xml:space="preserve">. The tool </w:t>
      </w:r>
      <w:r w:rsidR="00EC2B79">
        <w:t xml:space="preserve">Failure mode &amp; effect analysis </w:t>
      </w:r>
      <w:r w:rsidR="009355C9">
        <w:t xml:space="preserve">is a method used throughout history </w:t>
      </w:r>
      <w:r w:rsidR="00BE56A6">
        <w:t xml:space="preserve">to determine failures in many aspects and is a competent </w:t>
      </w:r>
      <w:r w:rsidR="00525C6B">
        <w:t xml:space="preserve">tool to evaluate risks, however </w:t>
      </w:r>
      <w:r w:rsidR="00CD16D4">
        <w:t xml:space="preserve">other tools exist allowing more </w:t>
      </w:r>
      <w:r w:rsidR="004D45E4">
        <w:t>in-depth</w:t>
      </w:r>
      <w:r w:rsidR="00CD16D4">
        <w:t xml:space="preserve"> analysis </w:t>
      </w:r>
      <w:r w:rsidR="004D45E4">
        <w:t>such as</w:t>
      </w:r>
      <w:r w:rsidR="004D45E4">
        <w:t xml:space="preserve"> “failure mode, effects, and criticality analysis” or FMECA</w:t>
      </w:r>
      <w:r w:rsidR="004D45E4">
        <w:t>.</w:t>
      </w:r>
      <w:r w:rsidR="00BD336A">
        <w:t xml:space="preserve"> Depending on the environment engineers </w:t>
      </w:r>
      <w:r w:rsidR="00D35BA5">
        <w:t xml:space="preserve">now have access to countless risk assessment and management tools, FMEA is just an example of one of them, </w:t>
      </w:r>
      <w:r w:rsidR="00903399">
        <w:t xml:space="preserve">allowing </w:t>
      </w:r>
      <w:r w:rsidR="00F0166D">
        <w:t xml:space="preserve">engineers to create safe working environments </w:t>
      </w:r>
      <w:r w:rsidR="00E830C0">
        <w:t xml:space="preserve">and </w:t>
      </w:r>
      <w:r w:rsidR="00F0166D">
        <w:t xml:space="preserve">benefiting the </w:t>
      </w:r>
      <w:r w:rsidR="00F62FBA">
        <w:t>discipline of engineering.</w:t>
      </w:r>
      <w:r w:rsidR="00F87414">
        <w:rPr>
          <w:color w:val="FF0000"/>
        </w:rPr>
        <w:br w:type="page"/>
      </w:r>
    </w:p>
    <w:p w14:paraId="1D2F245A" w14:textId="3DDFE5A8" w:rsidR="00AB126C" w:rsidRDefault="00AB126C" w:rsidP="00AB126C">
      <w:pPr>
        <w:pStyle w:val="Heading1"/>
      </w:pPr>
      <w:bookmarkStart w:id="5" w:name="_Toc66680994"/>
      <w:r>
        <w:lastRenderedPageBreak/>
        <w:t>References</w:t>
      </w:r>
      <w:bookmarkEnd w:id="5"/>
    </w:p>
    <w:p w14:paraId="0F9E036E" w14:textId="529B4199" w:rsidR="00921436" w:rsidRPr="00135AF1" w:rsidRDefault="00D878D8">
      <w:pPr>
        <w:rPr>
          <w:szCs w:val="20"/>
          <w:shd w:val="clear" w:color="auto" w:fill="FFFFFF"/>
        </w:rPr>
      </w:pPr>
      <w:r w:rsidRPr="00135AF1">
        <w:rPr>
          <w:szCs w:val="20"/>
        </w:rPr>
        <w:t>Labour Force Survey,</w:t>
      </w:r>
      <w:r w:rsidR="00AE7BFB" w:rsidRPr="00135AF1">
        <w:rPr>
          <w:szCs w:val="20"/>
        </w:rPr>
        <w:t xml:space="preserve"> public sector information licensed under the Open Government Licence v3.0.</w:t>
      </w:r>
      <w:r w:rsidR="00921436" w:rsidRPr="00135AF1">
        <w:rPr>
          <w:szCs w:val="20"/>
          <w:shd w:val="clear" w:color="auto" w:fill="FFFFFF"/>
        </w:rPr>
        <w:t> </w:t>
      </w:r>
      <w:r w:rsidR="00921436" w:rsidRPr="00135AF1">
        <w:rPr>
          <w:i/>
          <w:iCs/>
          <w:szCs w:val="20"/>
          <w:shd w:val="clear" w:color="auto" w:fill="FFFFFF"/>
        </w:rPr>
        <w:t>Open Government Licence</w:t>
      </w:r>
      <w:r w:rsidR="00921436" w:rsidRPr="00135AF1">
        <w:rPr>
          <w:szCs w:val="20"/>
          <w:shd w:val="clear" w:color="auto" w:fill="FFFFFF"/>
        </w:rPr>
        <w:t xml:space="preserve">. </w:t>
      </w:r>
      <w:hyperlink r:id="rId24" w:history="1">
        <w:r w:rsidR="006E5058" w:rsidRPr="005E6AEF">
          <w:rPr>
            <w:rStyle w:val="Hyperlink"/>
            <w:color w:val="4472C4" w:themeColor="accent1"/>
            <w:szCs w:val="20"/>
            <w:shd w:val="clear" w:color="auto" w:fill="FFFFFF"/>
          </w:rPr>
          <w:t>http://www.nationalarchives.gov.uk/doc/open-government-licence/version/3/</w:t>
        </w:r>
      </w:hyperlink>
      <w:r w:rsidR="006E5058" w:rsidRPr="005E6AEF">
        <w:rPr>
          <w:color w:val="4472C4" w:themeColor="accent1"/>
          <w:szCs w:val="20"/>
          <w:shd w:val="clear" w:color="auto" w:fill="FFFFFF"/>
        </w:rPr>
        <w:t xml:space="preserve"> </w:t>
      </w:r>
      <w:r w:rsidR="00921436" w:rsidRPr="00135AF1">
        <w:rPr>
          <w:szCs w:val="20"/>
          <w:shd w:val="clear" w:color="auto" w:fill="FFFFFF"/>
        </w:rPr>
        <w:t>Accessed 5 March 2021.</w:t>
      </w:r>
    </w:p>
    <w:p w14:paraId="66B32720" w14:textId="234CF8AA" w:rsidR="00720B3D" w:rsidRPr="00FB5169" w:rsidRDefault="00AD002A">
      <w:pPr>
        <w:rPr>
          <w:szCs w:val="20"/>
          <w:shd w:val="clear" w:color="auto" w:fill="FFFFFF"/>
        </w:rPr>
      </w:pPr>
      <w:r w:rsidRPr="00135AF1">
        <w:rPr>
          <w:szCs w:val="20"/>
          <w:shd w:val="clear" w:color="auto" w:fill="FFFFFF"/>
        </w:rPr>
        <w:t>Health and safety at work summary statistics for Great Britain 2020</w:t>
      </w:r>
      <w:r w:rsidR="004F603F" w:rsidRPr="00135AF1">
        <w:rPr>
          <w:szCs w:val="20"/>
          <w:shd w:val="clear" w:color="auto" w:fill="FFFFFF"/>
        </w:rPr>
        <w:t xml:space="preserve"> </w:t>
      </w:r>
      <w:hyperlink r:id="rId25" w:history="1">
        <w:r w:rsidR="00006A1B" w:rsidRPr="005E6AEF">
          <w:rPr>
            <w:rStyle w:val="Hyperlink"/>
            <w:color w:val="4472C4" w:themeColor="accent1"/>
            <w:szCs w:val="20"/>
            <w:shd w:val="clear" w:color="auto" w:fill="FFFFFF"/>
          </w:rPr>
          <w:t>https://www.hse.gov.uk/statistics/overall/hssh1920.pdf</w:t>
        </w:r>
        <w:r w:rsidR="00006A1B" w:rsidRPr="00F25685">
          <w:rPr>
            <w:rStyle w:val="Hyperlink"/>
            <w:color w:val="auto"/>
            <w:szCs w:val="20"/>
            <w:u w:val="none"/>
            <w:shd w:val="clear" w:color="auto" w:fill="FFFFFF"/>
          </w:rPr>
          <w:t xml:space="preserve"> Accessed 5 March 2021</w:t>
        </w:r>
      </w:hyperlink>
      <w:r w:rsidR="00F25685" w:rsidRPr="00F25685">
        <w:rPr>
          <w:szCs w:val="20"/>
          <w:shd w:val="clear" w:color="auto" w:fill="FFFFFF"/>
        </w:rPr>
        <w:t>.</w:t>
      </w:r>
    </w:p>
    <w:p w14:paraId="352F3E87" w14:textId="4C308C50" w:rsidR="00006A1B" w:rsidRPr="00135AF1" w:rsidRDefault="00006A1B">
      <w:pPr>
        <w:rPr>
          <w:szCs w:val="20"/>
          <w:shd w:val="clear" w:color="auto" w:fill="FFFFFF"/>
        </w:rPr>
      </w:pPr>
      <w:r w:rsidRPr="00135AF1">
        <w:rPr>
          <w:szCs w:val="20"/>
          <w:shd w:val="clear" w:color="auto" w:fill="FFFFFF"/>
        </w:rPr>
        <w:t>Costs to Great Britain of workplace injuries and new cases of work-related Ill Health – 2018/19</w:t>
      </w:r>
      <w:r w:rsidR="00196E1E" w:rsidRPr="00135AF1">
        <w:rPr>
          <w:szCs w:val="20"/>
          <w:shd w:val="clear" w:color="auto" w:fill="FFFFFF"/>
        </w:rPr>
        <w:t xml:space="preserve"> </w:t>
      </w:r>
      <w:hyperlink r:id="rId26" w:history="1">
        <w:r w:rsidR="00380BA3" w:rsidRPr="005E6AEF">
          <w:rPr>
            <w:rStyle w:val="Hyperlink"/>
            <w:color w:val="4472C4" w:themeColor="accent1"/>
            <w:szCs w:val="20"/>
            <w:shd w:val="clear" w:color="auto" w:fill="FFFFFF"/>
          </w:rPr>
          <w:t>https://www.hse.gov.uk/statistics/cost.htm</w:t>
        </w:r>
        <w:r w:rsidR="00380BA3" w:rsidRPr="00F25685">
          <w:rPr>
            <w:rStyle w:val="Hyperlink"/>
            <w:color w:val="auto"/>
            <w:szCs w:val="20"/>
            <w:u w:val="none"/>
            <w:shd w:val="clear" w:color="auto" w:fill="FFFFFF"/>
          </w:rPr>
          <w:t xml:space="preserve"> Accessed 5 March 2021</w:t>
        </w:r>
      </w:hyperlink>
    </w:p>
    <w:p w14:paraId="47693127" w14:textId="234CB19F" w:rsidR="00380BA3" w:rsidRPr="00135AF1" w:rsidRDefault="00380BA3">
      <w:pPr>
        <w:rPr>
          <w:szCs w:val="20"/>
          <w:shd w:val="clear" w:color="auto" w:fill="FFFFFF"/>
        </w:rPr>
      </w:pPr>
      <w:r w:rsidRPr="00135AF1">
        <w:rPr>
          <w:szCs w:val="20"/>
          <w:shd w:val="clear" w:color="auto" w:fill="FFFFFF"/>
        </w:rPr>
        <w:t>Costs to Britain of workplace fatalities and self</w:t>
      </w:r>
      <w:r w:rsidR="00AA3DB3" w:rsidRPr="00135AF1">
        <w:rPr>
          <w:szCs w:val="20"/>
          <w:shd w:val="clear" w:color="auto" w:fill="FFFFFF"/>
        </w:rPr>
        <w:t>-reported injuries and ill health – Last updated 11/20</w:t>
      </w:r>
    </w:p>
    <w:p w14:paraId="5046D848" w14:textId="057FD994" w:rsidR="00AA3DB3" w:rsidRPr="005E6AEF" w:rsidRDefault="00423107">
      <w:pPr>
        <w:rPr>
          <w:color w:val="4472C4" w:themeColor="accent1"/>
          <w:szCs w:val="20"/>
        </w:rPr>
      </w:pPr>
      <w:hyperlink r:id="rId27" w:history="1">
        <w:r w:rsidR="00AA3DB3" w:rsidRPr="005E6AEF">
          <w:rPr>
            <w:rStyle w:val="Hyperlink"/>
            <w:color w:val="4472C4" w:themeColor="accent1"/>
            <w:szCs w:val="20"/>
          </w:rPr>
          <w:t>https://www.hse.gov.uk/statistics/tables/costs_tables1819.xlsx</w:t>
        </w:r>
      </w:hyperlink>
      <w:r w:rsidR="00F25685" w:rsidRPr="00F25685">
        <w:rPr>
          <w:szCs w:val="20"/>
        </w:rPr>
        <w:t xml:space="preserve"> Accessed 5 March 2021</w:t>
      </w:r>
    </w:p>
    <w:p w14:paraId="4439A50F" w14:textId="651A6218" w:rsidR="004E52A7" w:rsidRDefault="00417EE0">
      <w:pPr>
        <w:rPr>
          <w:szCs w:val="20"/>
          <w:shd w:val="clear" w:color="auto" w:fill="FFFFFF"/>
        </w:rPr>
      </w:pPr>
      <w:r w:rsidRPr="00135AF1">
        <w:rPr>
          <w:szCs w:val="20"/>
        </w:rPr>
        <w:t xml:space="preserve">Meyer, </w:t>
      </w:r>
      <w:proofErr w:type="spellStart"/>
      <w:r w:rsidRPr="00135AF1">
        <w:rPr>
          <w:szCs w:val="20"/>
        </w:rPr>
        <w:t>Reniers</w:t>
      </w:r>
      <w:proofErr w:type="spellEnd"/>
      <w:r w:rsidR="003858DE" w:rsidRPr="00135AF1">
        <w:rPr>
          <w:szCs w:val="20"/>
        </w:rPr>
        <w:t xml:space="preserve">. </w:t>
      </w:r>
      <w:r w:rsidRPr="00135AF1">
        <w:rPr>
          <w:szCs w:val="20"/>
        </w:rPr>
        <w:t xml:space="preserve"> </w:t>
      </w:r>
      <w:r w:rsidR="00447B43" w:rsidRPr="00135AF1">
        <w:rPr>
          <w:szCs w:val="20"/>
        </w:rPr>
        <w:t xml:space="preserve">May 2016 </w:t>
      </w:r>
      <w:r w:rsidR="00D73D10" w:rsidRPr="00135AF1">
        <w:rPr>
          <w:szCs w:val="20"/>
        </w:rPr>
        <w:t>Engineering Risk Management,</w:t>
      </w:r>
      <w:r w:rsidR="00135AF1" w:rsidRPr="00135AF1">
        <w:rPr>
          <w:szCs w:val="20"/>
        </w:rPr>
        <w:t xml:space="preserve"> </w:t>
      </w:r>
      <w:hyperlink r:id="rId28" w:anchor="v=onepage&amp;q&amp;f=false" w:history="1">
        <w:r w:rsidR="00135AF1" w:rsidRPr="005E6AEF">
          <w:rPr>
            <w:rStyle w:val="Hyperlink"/>
            <w:color w:val="4472C4" w:themeColor="accent1"/>
            <w:szCs w:val="20"/>
          </w:rPr>
          <w:t>https://books.google.co.uk/books?hl=en&amp;lr=&amp;id=7R5BDAAAQBAJ&amp;oi=fnd&amp;pg=PR5&amp;dq=engineering+risk+management&amp;ots=OlRNifznBL&amp;sig=vB2ithrpCJ9EUhPjSnGfHWradTQ#v=onepage&amp;q&amp;f=false</w:t>
        </w:r>
      </w:hyperlink>
      <w:r w:rsidR="00135AF1" w:rsidRPr="00135AF1">
        <w:rPr>
          <w:szCs w:val="20"/>
        </w:rPr>
        <w:t xml:space="preserve">, </w:t>
      </w:r>
      <w:r w:rsidR="00135AF1" w:rsidRPr="00135AF1">
        <w:rPr>
          <w:szCs w:val="20"/>
          <w:shd w:val="clear" w:color="auto" w:fill="FFFFFF"/>
        </w:rPr>
        <w:t>Published by Walter de Gruyter GmbH &amp; Co KG</w:t>
      </w:r>
      <w:r w:rsidR="00FB5169">
        <w:rPr>
          <w:szCs w:val="20"/>
          <w:shd w:val="clear" w:color="auto" w:fill="FFFFFF"/>
        </w:rPr>
        <w:t xml:space="preserve"> Accessed 5</w:t>
      </w:r>
      <w:r w:rsidR="00FB5169" w:rsidRPr="00FB5169">
        <w:rPr>
          <w:szCs w:val="20"/>
          <w:shd w:val="clear" w:color="auto" w:fill="FFFFFF"/>
          <w:vertAlign w:val="superscript"/>
        </w:rPr>
        <w:t>th</w:t>
      </w:r>
      <w:r w:rsidR="00FB5169">
        <w:rPr>
          <w:szCs w:val="20"/>
          <w:shd w:val="clear" w:color="auto" w:fill="FFFFFF"/>
        </w:rPr>
        <w:t xml:space="preserve"> March</w:t>
      </w:r>
    </w:p>
    <w:p w14:paraId="62918349" w14:textId="5729B67E" w:rsidR="008F79AE" w:rsidRDefault="006E3146">
      <w:pPr>
        <w:rPr>
          <w:szCs w:val="20"/>
        </w:rPr>
      </w:pPr>
      <w:r>
        <w:rPr>
          <w:szCs w:val="20"/>
        </w:rPr>
        <w:t xml:space="preserve">Key figures on Europe 2017 edition, </w:t>
      </w:r>
      <w:r w:rsidR="00C16351">
        <w:rPr>
          <w:szCs w:val="20"/>
        </w:rPr>
        <w:t xml:space="preserve"> 2017</w:t>
      </w:r>
      <w:r>
        <w:rPr>
          <w:szCs w:val="20"/>
        </w:rPr>
        <w:t>, Eurostat 2017</w:t>
      </w:r>
      <w:r w:rsidR="00C16351">
        <w:rPr>
          <w:szCs w:val="20"/>
        </w:rPr>
        <w:t xml:space="preserve">  </w:t>
      </w:r>
      <w:hyperlink r:id="rId29" w:history="1">
        <w:r w:rsidR="006762D4" w:rsidRPr="005711F9">
          <w:rPr>
            <w:rStyle w:val="Hyperlink"/>
            <w:szCs w:val="20"/>
          </w:rPr>
          <w:t>https://ec.europa.eu/eurostat/documents/3217494/8309812/KS-EI-17-001-EN-N.pdf/b7df53f5-4faf-48a6-aca1-c650d40c9239 Accessed 5 March 2021</w:t>
        </w:r>
      </w:hyperlink>
      <w:r w:rsidR="00F644B2">
        <w:rPr>
          <w:szCs w:val="20"/>
        </w:rPr>
        <w:t xml:space="preserve"> Accessed </w:t>
      </w:r>
      <w:r w:rsidR="00FB5169">
        <w:rPr>
          <w:szCs w:val="20"/>
        </w:rPr>
        <w:t>6</w:t>
      </w:r>
      <w:r w:rsidR="00FB5169" w:rsidRPr="00FB5169">
        <w:rPr>
          <w:szCs w:val="20"/>
          <w:vertAlign w:val="superscript"/>
        </w:rPr>
        <w:t>th</w:t>
      </w:r>
      <w:r w:rsidR="00FB5169">
        <w:rPr>
          <w:szCs w:val="20"/>
        </w:rPr>
        <w:t xml:space="preserve"> March</w:t>
      </w:r>
    </w:p>
    <w:p w14:paraId="07E54169" w14:textId="77777777" w:rsidR="00314AAF" w:rsidRDefault="004658CD">
      <w:r w:rsidRPr="00A0446A">
        <w:t>Code of Conduct Regulations,</w:t>
      </w:r>
      <w:r w:rsidR="00A0446A" w:rsidRPr="00A0446A">
        <w:t xml:space="preserve"> 2018,</w:t>
      </w:r>
      <w:r w:rsidRPr="00A0446A">
        <w:t xml:space="preserve"> IMECHE</w:t>
      </w:r>
      <w:r w:rsidR="00A0446A" w:rsidRPr="00A0446A">
        <w:t xml:space="preserve">, </w:t>
      </w:r>
      <w:hyperlink r:id="rId30" w:history="1">
        <w:r w:rsidR="00F644B2" w:rsidRPr="005711F9">
          <w:rPr>
            <w:rStyle w:val="Hyperlink"/>
          </w:rPr>
          <w:t>https://www.imeche.org/docs/default-source/governance-documents/code-of-conduct-regulations-(5-12-18).pdf?sfvrsn=2</w:t>
        </w:r>
      </w:hyperlink>
      <w:r w:rsidR="008F79AE">
        <w:rPr>
          <w:color w:val="FF0000"/>
        </w:rPr>
        <w:t xml:space="preserve"> </w:t>
      </w:r>
      <w:r w:rsidR="00F644B2" w:rsidRPr="00F644B2">
        <w:t>Accessed 7</w:t>
      </w:r>
      <w:r w:rsidR="00F644B2" w:rsidRPr="00F644B2">
        <w:rPr>
          <w:vertAlign w:val="superscript"/>
        </w:rPr>
        <w:t>th</w:t>
      </w:r>
      <w:r w:rsidR="00F644B2" w:rsidRPr="00F644B2">
        <w:t xml:space="preserve"> </w:t>
      </w:r>
      <w:r w:rsidR="00F644B2">
        <w:t>M</w:t>
      </w:r>
      <w:r w:rsidR="00F644B2" w:rsidRPr="00F644B2">
        <w:t>arch 2021</w:t>
      </w:r>
    </w:p>
    <w:p w14:paraId="02F38184" w14:textId="78407FEB" w:rsidR="00F87414" w:rsidRPr="00F87414" w:rsidRDefault="00D14DDD" w:rsidP="00F87414">
      <w:r>
        <w:t>Background information on BMW Motorrad and the global motorcycle business</w:t>
      </w:r>
      <w:r w:rsidR="00E443B6">
        <w:t xml:space="preserve">, 2015, </w:t>
      </w:r>
      <w:r w:rsidR="0000070C">
        <w:t>BMW GROUP</w:t>
      </w:r>
      <w:r w:rsidR="00E443B6">
        <w:t xml:space="preserve"> </w:t>
      </w:r>
      <w:r w:rsidR="00956D61">
        <w:t>Corporate Communications</w:t>
      </w:r>
      <w:r w:rsidR="00E443B6">
        <w:t>,</w:t>
      </w:r>
      <w:r w:rsidR="00956D61">
        <w:t xml:space="preserve"> </w:t>
      </w:r>
      <w:hyperlink r:id="rId31" w:history="1">
        <w:r w:rsidR="00E443B6" w:rsidRPr="000705ED">
          <w:rPr>
            <w:rStyle w:val="Hyperlink"/>
          </w:rPr>
          <w:t>https://www.press.bmwgroup.com/global/article/attachment/T0242483EN/337780#:~:text=BMW%20Motorrad%20benefits%20from%20its,the%20production%20line%20every%20day</w:t>
        </w:r>
      </w:hyperlink>
      <w:r w:rsidR="004019E4" w:rsidRPr="004019E4">
        <w:rPr>
          <w:color w:val="4472C4" w:themeColor="accent1"/>
          <w:u w:val="single"/>
        </w:rPr>
        <w:t>.</w:t>
      </w:r>
      <w:r w:rsidR="004019E4">
        <w:t xml:space="preserve"> Accessed 15</w:t>
      </w:r>
      <w:r w:rsidR="004019E4" w:rsidRPr="004019E4">
        <w:rPr>
          <w:vertAlign w:val="superscript"/>
        </w:rPr>
        <w:t>th</w:t>
      </w:r>
      <w:r w:rsidR="004019E4">
        <w:t xml:space="preserve"> March 2021</w:t>
      </w:r>
    </w:p>
    <w:sectPr w:rsidR="00F87414" w:rsidRPr="00F87414" w:rsidSect="00776681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AA91A2" w14:textId="77777777" w:rsidR="00A06E5E" w:rsidRDefault="00A06E5E" w:rsidP="003E3680">
      <w:pPr>
        <w:spacing w:after="0" w:line="240" w:lineRule="auto"/>
      </w:pPr>
      <w:r>
        <w:separator/>
      </w:r>
    </w:p>
  </w:endnote>
  <w:endnote w:type="continuationSeparator" w:id="0">
    <w:p w14:paraId="6D7601C4" w14:textId="77777777" w:rsidR="00A06E5E" w:rsidRDefault="00A06E5E" w:rsidP="003E36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37255935"/>
      <w:docPartObj>
        <w:docPartGallery w:val="Page Numbers (Bottom of Page)"/>
        <w:docPartUnique/>
      </w:docPartObj>
    </w:sdtPr>
    <w:sdtEndPr/>
    <w:sdtContent>
      <w:p w14:paraId="6585A42B" w14:textId="7BDF1F32" w:rsidR="003E3680" w:rsidRDefault="00776681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4A06FA90" wp14:editId="4EE0F4B7">
                  <wp:simplePos x="0" y="0"/>
                  <wp:positionH relativeFrom="rightMargin">
                    <wp:align>center</wp:align>
                  </wp:positionH>
                  <wp:positionV relativeFrom="bottomMargin">
                    <wp:align>center</wp:align>
                  </wp:positionV>
                  <wp:extent cx="565785" cy="191770"/>
                  <wp:effectExtent l="0" t="0" r="0" b="0"/>
                  <wp:wrapNone/>
                  <wp:docPr id="6" name="Rectangle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rot="10800000" flipH="1">
                            <a:off x="0" y="0"/>
                            <a:ext cx="565785" cy="1917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C0504D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8575">
                                <a:solidFill>
                                  <a:srgbClr val="5C83B4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8C73AFC" w14:textId="77777777" w:rsidR="00776681" w:rsidRPr="003520FE" w:rsidRDefault="00776681">
                              <w:pPr>
                                <w:pBdr>
                                  <w:top w:val="single" w:sz="4" w:space="1" w:color="7F7F7F" w:themeColor="background1" w:themeShade="7F"/>
                                </w:pBdr>
                                <w:jc w:val="center"/>
                              </w:pPr>
                              <w:r w:rsidRPr="003520FE">
                                <w:fldChar w:fldCharType="begin"/>
                              </w:r>
                              <w:r w:rsidRPr="003520FE">
                                <w:instrText xml:space="preserve"> PAGE   \* MERGEFORMAT </w:instrText>
                              </w:r>
                              <w:r w:rsidRPr="003520FE">
                                <w:fldChar w:fldCharType="separate"/>
                              </w:r>
                              <w:r w:rsidRPr="003520FE">
                                <w:rPr>
                                  <w:noProof/>
                                </w:rPr>
                                <w:t>2</w:t>
                              </w:r>
                              <w:r w:rsidRPr="003520FE"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rect w14:anchorId="4A06FA90" id="Rectangle 6" o:spid="_x0000_s1026" style="position:absolute;margin-left:0;margin-top:0;width:44.55pt;height:15.1pt;rotation:180;flip:x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center;mso-position-vertical-relative:bottom-margin-area;mso-width-percent:0;mso-height-percent: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OYY+gEAAM0DAAAOAAAAZHJzL2Uyb0RvYy54bWysU8tu2zAQvBfoPxC815KC+BHBchAkSFsg&#10;bYKm+QCaIi2iFJdd0pbcr++Sdp2kvQXVgeAuh8Od2dXycuwt2ykMBlzDq0nJmXISWuM2DX/6fvth&#10;wVmIwrXCglMN36vAL1fv3y0HX6sz6MC2ChmRuFAPvuFdjL4uiiA71YswAa8cHWrAXkQKcVO0KAZi&#10;721xVpazYgBsPYJUIVD25nDIV5lfayXjvdZBRWYbTrXFvGJe12ktVktRb1D4zshjGeINVfTCOHr0&#10;RHUjomBbNP9Q9UYiBNBxIqEvQGsjVdZAaqryLzWPnfAqayFzgj/ZFP4frfy6e0Bm2obPOHOipxZ9&#10;I9OE21jFZsmewYeaUI/+AZPA4O9A/gjMwXVHKHWFCEOnREtFVQlfvLqQgkBX2Xr4Ai2xi22E7NSo&#10;sWcI1JGqXJTp40xb4z8lnvQSmcPG3Kn9qVNqjExScjqbzhdTziQdVRfVfJ47WYg6sabLHkP8qKBn&#10;adNwJE2ZVOzuQkxVPkMS3MGtsTYPg3WvEgRMmawqCTkYEsf1ePRmDe2e9GUlJIH+BXqvA/zF2UBz&#10;1fDwcytQcWY/O/Loojo/T4OYA9rgy+z6T1Y4SRQNj5wdttfxMLRbj2bTJdOyHAdX5Kc2WVLy+lDN&#10;sV6amaz0ON9pKF/GGfX8F65+AwAA//8DAFBLAwQUAAYACAAAACEAI+V68dsAAAADAQAADwAAAGRy&#10;cy9kb3ducmV2LnhtbEyPT0vDQBDF70K/wzIFb3bTVqSmmRQRBPFPo1U8b7PTJJidjdltG799Ry96&#10;GXi8x3u/yVaDa9WB+tB4RphOElDEpbcNVwjvb3cXC1AhGram9UwI3xRglY/OMpNaf+RXOmxipaSE&#10;Q2oQ6hi7VOtQ1uRMmPiOWLyd752JIvtK294cpdy1epYkV9qZhmWhNh3d1lR+bvYOwX98Pdpi7Z61&#10;LtZP5f3l/OWhYMTz8XCzBBVpiH9h+MEXdMiFaev3bINqEeSR+HvFW1xPQW0R5skMdJ7p/+z5CQAA&#10;//8DAFBLAQItABQABgAIAAAAIQC2gziS/gAAAOEBAAATAAAAAAAAAAAAAAAAAAAAAABbQ29udGVu&#10;dF9UeXBlc10ueG1sUEsBAi0AFAAGAAgAAAAhADj9If/WAAAAlAEAAAsAAAAAAAAAAAAAAAAALwEA&#10;AF9yZWxzLy5yZWxzUEsBAi0AFAAGAAgAAAAhAIIc5hj6AQAAzQMAAA4AAAAAAAAAAAAAAAAALgIA&#10;AGRycy9lMm9Eb2MueG1sUEsBAi0AFAAGAAgAAAAhACPlevHbAAAAAwEAAA8AAAAAAAAAAAAAAAAA&#10;VAQAAGRycy9kb3ducmV2LnhtbFBLBQYAAAAABAAEAPMAAABcBQAAAAA=&#10;" filled="f" fillcolor="#c0504d" stroked="f" strokecolor="#5c83b4" strokeweight="2.25pt">
                  <v:textbox inset=",0,,0">
                    <w:txbxContent>
                      <w:p w14:paraId="08C73AFC" w14:textId="77777777" w:rsidR="00776681" w:rsidRPr="003520FE" w:rsidRDefault="00776681">
                        <w:pPr>
                          <w:pBdr>
                            <w:top w:val="single" w:sz="4" w:space="1" w:color="7F7F7F" w:themeColor="background1" w:themeShade="7F"/>
                          </w:pBdr>
                          <w:jc w:val="center"/>
                        </w:pPr>
                        <w:r w:rsidRPr="003520FE">
                          <w:fldChar w:fldCharType="begin"/>
                        </w:r>
                        <w:r w:rsidRPr="003520FE">
                          <w:instrText xml:space="preserve"> PAGE   \* MERGEFORMAT </w:instrText>
                        </w:r>
                        <w:r w:rsidRPr="003520FE">
                          <w:fldChar w:fldCharType="separate"/>
                        </w:r>
                        <w:r w:rsidRPr="003520FE">
                          <w:rPr>
                            <w:noProof/>
                          </w:rPr>
                          <w:t>2</w:t>
                        </w:r>
                        <w:r w:rsidRPr="003520FE"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A5DE14" w14:textId="77777777" w:rsidR="00A06E5E" w:rsidRDefault="00A06E5E" w:rsidP="003E3680">
      <w:pPr>
        <w:spacing w:after="0" w:line="240" w:lineRule="auto"/>
      </w:pPr>
      <w:r>
        <w:separator/>
      </w:r>
    </w:p>
  </w:footnote>
  <w:footnote w:type="continuationSeparator" w:id="0">
    <w:p w14:paraId="794C7EED" w14:textId="77777777" w:rsidR="00A06E5E" w:rsidRDefault="00A06E5E" w:rsidP="003E36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57F1BF" w14:textId="77777777" w:rsidR="003E3680" w:rsidRDefault="003E3680" w:rsidP="003E3680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E1973"/>
    <w:multiLevelType w:val="hybridMultilevel"/>
    <w:tmpl w:val="BBC03360"/>
    <w:lvl w:ilvl="0" w:tplc="835CF78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E418D"/>
    <w:multiLevelType w:val="hybridMultilevel"/>
    <w:tmpl w:val="DDB62F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580C78"/>
    <w:multiLevelType w:val="hybridMultilevel"/>
    <w:tmpl w:val="19DC6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8F3DEA"/>
    <w:multiLevelType w:val="hybridMultilevel"/>
    <w:tmpl w:val="00A63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803700"/>
    <w:multiLevelType w:val="hybridMultilevel"/>
    <w:tmpl w:val="7E40CBE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751747E8"/>
    <w:multiLevelType w:val="hybridMultilevel"/>
    <w:tmpl w:val="88A81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6B56C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6"/>
  </w:num>
  <w:num w:numId="2">
    <w:abstractNumId w:val="0"/>
  </w:num>
  <w:num w:numId="3">
    <w:abstractNumId w:val="1"/>
  </w:num>
  <w:num w:numId="4">
    <w:abstractNumId w:val="5"/>
  </w:num>
  <w:num w:numId="5">
    <w:abstractNumId w:val="4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77C"/>
    <w:rsid w:val="0000070C"/>
    <w:rsid w:val="00000E72"/>
    <w:rsid w:val="00000EF5"/>
    <w:rsid w:val="00006580"/>
    <w:rsid w:val="00006A1B"/>
    <w:rsid w:val="000110AC"/>
    <w:rsid w:val="00013182"/>
    <w:rsid w:val="0001349D"/>
    <w:rsid w:val="00014C07"/>
    <w:rsid w:val="00022735"/>
    <w:rsid w:val="00033E5C"/>
    <w:rsid w:val="0003676E"/>
    <w:rsid w:val="00036E5B"/>
    <w:rsid w:val="00036EC6"/>
    <w:rsid w:val="00045D3E"/>
    <w:rsid w:val="00045EAC"/>
    <w:rsid w:val="00047B62"/>
    <w:rsid w:val="00050260"/>
    <w:rsid w:val="00050EB4"/>
    <w:rsid w:val="00052019"/>
    <w:rsid w:val="000661EF"/>
    <w:rsid w:val="00070E6B"/>
    <w:rsid w:val="000808D5"/>
    <w:rsid w:val="0008245E"/>
    <w:rsid w:val="000863A4"/>
    <w:rsid w:val="00090B4A"/>
    <w:rsid w:val="00093D7C"/>
    <w:rsid w:val="000942BA"/>
    <w:rsid w:val="000A6190"/>
    <w:rsid w:val="000B494F"/>
    <w:rsid w:val="000B503B"/>
    <w:rsid w:val="000B5B5A"/>
    <w:rsid w:val="000D66F7"/>
    <w:rsid w:val="000E0A73"/>
    <w:rsid w:val="000E1EAF"/>
    <w:rsid w:val="000F3C02"/>
    <w:rsid w:val="000F74A3"/>
    <w:rsid w:val="00100393"/>
    <w:rsid w:val="00101E22"/>
    <w:rsid w:val="001028AD"/>
    <w:rsid w:val="0011163E"/>
    <w:rsid w:val="0011499E"/>
    <w:rsid w:val="0011610E"/>
    <w:rsid w:val="001167F6"/>
    <w:rsid w:val="001170DD"/>
    <w:rsid w:val="001221A8"/>
    <w:rsid w:val="001251AA"/>
    <w:rsid w:val="00125F31"/>
    <w:rsid w:val="00126346"/>
    <w:rsid w:val="00126688"/>
    <w:rsid w:val="00130110"/>
    <w:rsid w:val="0013486F"/>
    <w:rsid w:val="00135AF1"/>
    <w:rsid w:val="001376AB"/>
    <w:rsid w:val="00140FE2"/>
    <w:rsid w:val="0014377C"/>
    <w:rsid w:val="00147D5B"/>
    <w:rsid w:val="00154E44"/>
    <w:rsid w:val="00160026"/>
    <w:rsid w:val="00167222"/>
    <w:rsid w:val="00176909"/>
    <w:rsid w:val="00184289"/>
    <w:rsid w:val="00192016"/>
    <w:rsid w:val="00194727"/>
    <w:rsid w:val="00196E1E"/>
    <w:rsid w:val="001A02AB"/>
    <w:rsid w:val="001A17AA"/>
    <w:rsid w:val="001A4768"/>
    <w:rsid w:val="001A4F1A"/>
    <w:rsid w:val="001B1A5A"/>
    <w:rsid w:val="001B3EE7"/>
    <w:rsid w:val="001C0D13"/>
    <w:rsid w:val="001C3C9D"/>
    <w:rsid w:val="001D0B5B"/>
    <w:rsid w:val="001D1AD6"/>
    <w:rsid w:val="001D1BF4"/>
    <w:rsid w:val="001E04C9"/>
    <w:rsid w:val="001F20E7"/>
    <w:rsid w:val="001F2907"/>
    <w:rsid w:val="002047AF"/>
    <w:rsid w:val="002103D4"/>
    <w:rsid w:val="0021428C"/>
    <w:rsid w:val="0021555E"/>
    <w:rsid w:val="00224C0C"/>
    <w:rsid w:val="00227474"/>
    <w:rsid w:val="00231453"/>
    <w:rsid w:val="002329C8"/>
    <w:rsid w:val="00233215"/>
    <w:rsid w:val="00233501"/>
    <w:rsid w:val="00233DB6"/>
    <w:rsid w:val="00240815"/>
    <w:rsid w:val="00246B09"/>
    <w:rsid w:val="0026232A"/>
    <w:rsid w:val="0026477A"/>
    <w:rsid w:val="0026544D"/>
    <w:rsid w:val="00266241"/>
    <w:rsid w:val="00271716"/>
    <w:rsid w:val="002758FF"/>
    <w:rsid w:val="00276406"/>
    <w:rsid w:val="002764EB"/>
    <w:rsid w:val="00287B33"/>
    <w:rsid w:val="00292DD5"/>
    <w:rsid w:val="002D3E7D"/>
    <w:rsid w:val="002E69FA"/>
    <w:rsid w:val="002F01DA"/>
    <w:rsid w:val="002F1FB7"/>
    <w:rsid w:val="00301484"/>
    <w:rsid w:val="00303526"/>
    <w:rsid w:val="00314AAF"/>
    <w:rsid w:val="0032051A"/>
    <w:rsid w:val="003239FC"/>
    <w:rsid w:val="00325C38"/>
    <w:rsid w:val="0032626C"/>
    <w:rsid w:val="00337522"/>
    <w:rsid w:val="00337BD9"/>
    <w:rsid w:val="003408A8"/>
    <w:rsid w:val="0034419D"/>
    <w:rsid w:val="00345F9D"/>
    <w:rsid w:val="00351177"/>
    <w:rsid w:val="003520FE"/>
    <w:rsid w:val="003522D0"/>
    <w:rsid w:val="0035302A"/>
    <w:rsid w:val="00355F04"/>
    <w:rsid w:val="00365652"/>
    <w:rsid w:val="0036727E"/>
    <w:rsid w:val="003731BF"/>
    <w:rsid w:val="00373AAC"/>
    <w:rsid w:val="00380BA3"/>
    <w:rsid w:val="00382BD6"/>
    <w:rsid w:val="00384B96"/>
    <w:rsid w:val="003858DE"/>
    <w:rsid w:val="00394F2A"/>
    <w:rsid w:val="003A22D1"/>
    <w:rsid w:val="003A6ACC"/>
    <w:rsid w:val="003B3073"/>
    <w:rsid w:val="003C126E"/>
    <w:rsid w:val="003C1388"/>
    <w:rsid w:val="003C1E98"/>
    <w:rsid w:val="003C2769"/>
    <w:rsid w:val="003C36B1"/>
    <w:rsid w:val="003C473F"/>
    <w:rsid w:val="003C7BEC"/>
    <w:rsid w:val="003D7EF4"/>
    <w:rsid w:val="003E3680"/>
    <w:rsid w:val="003E5C18"/>
    <w:rsid w:val="003F1D8F"/>
    <w:rsid w:val="003F37C9"/>
    <w:rsid w:val="003F4D0A"/>
    <w:rsid w:val="003F72CA"/>
    <w:rsid w:val="004005A2"/>
    <w:rsid w:val="004019E4"/>
    <w:rsid w:val="00402561"/>
    <w:rsid w:val="004052F4"/>
    <w:rsid w:val="004064DE"/>
    <w:rsid w:val="00416F44"/>
    <w:rsid w:val="0041743E"/>
    <w:rsid w:val="00417EE0"/>
    <w:rsid w:val="00423107"/>
    <w:rsid w:val="00427C78"/>
    <w:rsid w:val="00427ECD"/>
    <w:rsid w:val="00432B5B"/>
    <w:rsid w:val="00433F2C"/>
    <w:rsid w:val="0044250B"/>
    <w:rsid w:val="004456C3"/>
    <w:rsid w:val="00447B43"/>
    <w:rsid w:val="004500A4"/>
    <w:rsid w:val="0045054E"/>
    <w:rsid w:val="00453BD8"/>
    <w:rsid w:val="004550AF"/>
    <w:rsid w:val="00456126"/>
    <w:rsid w:val="0045616E"/>
    <w:rsid w:val="00457DBA"/>
    <w:rsid w:val="00461F8E"/>
    <w:rsid w:val="004658CD"/>
    <w:rsid w:val="00470900"/>
    <w:rsid w:val="00472625"/>
    <w:rsid w:val="00474465"/>
    <w:rsid w:val="0047459D"/>
    <w:rsid w:val="0047480C"/>
    <w:rsid w:val="004814A6"/>
    <w:rsid w:val="004939CC"/>
    <w:rsid w:val="004A277D"/>
    <w:rsid w:val="004A4553"/>
    <w:rsid w:val="004A4C14"/>
    <w:rsid w:val="004C422F"/>
    <w:rsid w:val="004C6C48"/>
    <w:rsid w:val="004D45E4"/>
    <w:rsid w:val="004D5BB3"/>
    <w:rsid w:val="004D7A69"/>
    <w:rsid w:val="004E52A7"/>
    <w:rsid w:val="004F4B90"/>
    <w:rsid w:val="004F603F"/>
    <w:rsid w:val="004F6327"/>
    <w:rsid w:val="005110EB"/>
    <w:rsid w:val="005110FF"/>
    <w:rsid w:val="005140EB"/>
    <w:rsid w:val="005145EE"/>
    <w:rsid w:val="00515FE5"/>
    <w:rsid w:val="005174D5"/>
    <w:rsid w:val="0052009B"/>
    <w:rsid w:val="00521D69"/>
    <w:rsid w:val="00521FF9"/>
    <w:rsid w:val="00523128"/>
    <w:rsid w:val="00524ADD"/>
    <w:rsid w:val="00525C6B"/>
    <w:rsid w:val="00536BEB"/>
    <w:rsid w:val="00545230"/>
    <w:rsid w:val="00551C8C"/>
    <w:rsid w:val="005567AD"/>
    <w:rsid w:val="00563010"/>
    <w:rsid w:val="0057467A"/>
    <w:rsid w:val="005824F8"/>
    <w:rsid w:val="005826F9"/>
    <w:rsid w:val="005841A8"/>
    <w:rsid w:val="00591FD1"/>
    <w:rsid w:val="00596F90"/>
    <w:rsid w:val="005A2598"/>
    <w:rsid w:val="005A3C92"/>
    <w:rsid w:val="005A509C"/>
    <w:rsid w:val="005A7C6B"/>
    <w:rsid w:val="005B0AC1"/>
    <w:rsid w:val="005B1F1F"/>
    <w:rsid w:val="005B4F9D"/>
    <w:rsid w:val="005B77C4"/>
    <w:rsid w:val="005C3FD5"/>
    <w:rsid w:val="005C61B8"/>
    <w:rsid w:val="005C722C"/>
    <w:rsid w:val="005D4385"/>
    <w:rsid w:val="005D6823"/>
    <w:rsid w:val="005D69A9"/>
    <w:rsid w:val="005E6AEF"/>
    <w:rsid w:val="005F1537"/>
    <w:rsid w:val="005F2977"/>
    <w:rsid w:val="005F3384"/>
    <w:rsid w:val="00604000"/>
    <w:rsid w:val="00612334"/>
    <w:rsid w:val="0061277D"/>
    <w:rsid w:val="00620A46"/>
    <w:rsid w:val="006225EC"/>
    <w:rsid w:val="00624CB2"/>
    <w:rsid w:val="00625B43"/>
    <w:rsid w:val="0062679E"/>
    <w:rsid w:val="0063614D"/>
    <w:rsid w:val="006410C9"/>
    <w:rsid w:val="006762D4"/>
    <w:rsid w:val="00680D0A"/>
    <w:rsid w:val="00683B4F"/>
    <w:rsid w:val="00692FCE"/>
    <w:rsid w:val="006A01FE"/>
    <w:rsid w:val="006A1E72"/>
    <w:rsid w:val="006A42EE"/>
    <w:rsid w:val="006A6D9F"/>
    <w:rsid w:val="006A77F4"/>
    <w:rsid w:val="006B5B2F"/>
    <w:rsid w:val="006C0684"/>
    <w:rsid w:val="006C0DF0"/>
    <w:rsid w:val="006D5A2D"/>
    <w:rsid w:val="006D6C4F"/>
    <w:rsid w:val="006E2045"/>
    <w:rsid w:val="006E2C30"/>
    <w:rsid w:val="006E3146"/>
    <w:rsid w:val="006E3B1E"/>
    <w:rsid w:val="006E46D4"/>
    <w:rsid w:val="006E5058"/>
    <w:rsid w:val="006E7D9E"/>
    <w:rsid w:val="006F34B3"/>
    <w:rsid w:val="006F4F6A"/>
    <w:rsid w:val="00716C19"/>
    <w:rsid w:val="00717EE5"/>
    <w:rsid w:val="00720B3D"/>
    <w:rsid w:val="00721FA5"/>
    <w:rsid w:val="00727504"/>
    <w:rsid w:val="007328BC"/>
    <w:rsid w:val="00734A3A"/>
    <w:rsid w:val="00734E23"/>
    <w:rsid w:val="00746E95"/>
    <w:rsid w:val="0074727A"/>
    <w:rsid w:val="007561AF"/>
    <w:rsid w:val="00761A79"/>
    <w:rsid w:val="00766ED0"/>
    <w:rsid w:val="00776681"/>
    <w:rsid w:val="007867A6"/>
    <w:rsid w:val="00795F1D"/>
    <w:rsid w:val="007A47E6"/>
    <w:rsid w:val="007C1F65"/>
    <w:rsid w:val="007C3268"/>
    <w:rsid w:val="007C3BEC"/>
    <w:rsid w:val="007D1E7F"/>
    <w:rsid w:val="007D7CFE"/>
    <w:rsid w:val="007E1383"/>
    <w:rsid w:val="007E4CD5"/>
    <w:rsid w:val="007F0169"/>
    <w:rsid w:val="007F4819"/>
    <w:rsid w:val="007F5BA5"/>
    <w:rsid w:val="007F71B7"/>
    <w:rsid w:val="007F7FE8"/>
    <w:rsid w:val="00800098"/>
    <w:rsid w:val="00805AB4"/>
    <w:rsid w:val="0081148E"/>
    <w:rsid w:val="00811804"/>
    <w:rsid w:val="00811A9C"/>
    <w:rsid w:val="008146C5"/>
    <w:rsid w:val="00820A82"/>
    <w:rsid w:val="00820AFB"/>
    <w:rsid w:val="008218B8"/>
    <w:rsid w:val="00824E87"/>
    <w:rsid w:val="008452F1"/>
    <w:rsid w:val="00850BFF"/>
    <w:rsid w:val="00853677"/>
    <w:rsid w:val="0086328C"/>
    <w:rsid w:val="00872977"/>
    <w:rsid w:val="0087328D"/>
    <w:rsid w:val="0087448F"/>
    <w:rsid w:val="008758BE"/>
    <w:rsid w:val="00880973"/>
    <w:rsid w:val="00893679"/>
    <w:rsid w:val="00893BFA"/>
    <w:rsid w:val="008A22CF"/>
    <w:rsid w:val="008A5D2C"/>
    <w:rsid w:val="008A7323"/>
    <w:rsid w:val="008A7388"/>
    <w:rsid w:val="008B314F"/>
    <w:rsid w:val="008B322C"/>
    <w:rsid w:val="008B4112"/>
    <w:rsid w:val="008B726A"/>
    <w:rsid w:val="008B72B6"/>
    <w:rsid w:val="008B7332"/>
    <w:rsid w:val="008D1322"/>
    <w:rsid w:val="008D3572"/>
    <w:rsid w:val="008E1806"/>
    <w:rsid w:val="008E55A0"/>
    <w:rsid w:val="008F053A"/>
    <w:rsid w:val="008F66CD"/>
    <w:rsid w:val="008F79AE"/>
    <w:rsid w:val="00900817"/>
    <w:rsid w:val="00903399"/>
    <w:rsid w:val="0091180C"/>
    <w:rsid w:val="00911B9D"/>
    <w:rsid w:val="00921436"/>
    <w:rsid w:val="00931E99"/>
    <w:rsid w:val="009355C9"/>
    <w:rsid w:val="00935D84"/>
    <w:rsid w:val="0093662A"/>
    <w:rsid w:val="00942952"/>
    <w:rsid w:val="00945FCD"/>
    <w:rsid w:val="0095031E"/>
    <w:rsid w:val="0095075D"/>
    <w:rsid w:val="00956D61"/>
    <w:rsid w:val="00963256"/>
    <w:rsid w:val="00963667"/>
    <w:rsid w:val="00965F5D"/>
    <w:rsid w:val="00972D3A"/>
    <w:rsid w:val="009737D8"/>
    <w:rsid w:val="009756F1"/>
    <w:rsid w:val="0097686F"/>
    <w:rsid w:val="00977884"/>
    <w:rsid w:val="009822E1"/>
    <w:rsid w:val="009835A7"/>
    <w:rsid w:val="009838AD"/>
    <w:rsid w:val="0098394D"/>
    <w:rsid w:val="009875E3"/>
    <w:rsid w:val="00993CD8"/>
    <w:rsid w:val="00995438"/>
    <w:rsid w:val="00995C03"/>
    <w:rsid w:val="00997F87"/>
    <w:rsid w:val="009A2B41"/>
    <w:rsid w:val="009A7329"/>
    <w:rsid w:val="009B5924"/>
    <w:rsid w:val="009C1FCE"/>
    <w:rsid w:val="009C5455"/>
    <w:rsid w:val="009D5ABD"/>
    <w:rsid w:val="009F1719"/>
    <w:rsid w:val="009F6568"/>
    <w:rsid w:val="009F6D6F"/>
    <w:rsid w:val="00A00BE3"/>
    <w:rsid w:val="00A0446A"/>
    <w:rsid w:val="00A04495"/>
    <w:rsid w:val="00A06E5E"/>
    <w:rsid w:val="00A07316"/>
    <w:rsid w:val="00A12177"/>
    <w:rsid w:val="00A12212"/>
    <w:rsid w:val="00A22A9D"/>
    <w:rsid w:val="00A23C79"/>
    <w:rsid w:val="00A27DB8"/>
    <w:rsid w:val="00A3357A"/>
    <w:rsid w:val="00A36320"/>
    <w:rsid w:val="00A42566"/>
    <w:rsid w:val="00A43571"/>
    <w:rsid w:val="00A43AB8"/>
    <w:rsid w:val="00A459D1"/>
    <w:rsid w:val="00A53B8A"/>
    <w:rsid w:val="00A53CB0"/>
    <w:rsid w:val="00A565EA"/>
    <w:rsid w:val="00A57697"/>
    <w:rsid w:val="00A66257"/>
    <w:rsid w:val="00A67261"/>
    <w:rsid w:val="00A714FF"/>
    <w:rsid w:val="00A72229"/>
    <w:rsid w:val="00A76489"/>
    <w:rsid w:val="00A77826"/>
    <w:rsid w:val="00A91EE8"/>
    <w:rsid w:val="00A93C6A"/>
    <w:rsid w:val="00A9481D"/>
    <w:rsid w:val="00AA3DB3"/>
    <w:rsid w:val="00AA4025"/>
    <w:rsid w:val="00AA5EE0"/>
    <w:rsid w:val="00AA6EE0"/>
    <w:rsid w:val="00AB126C"/>
    <w:rsid w:val="00AB4232"/>
    <w:rsid w:val="00AB4903"/>
    <w:rsid w:val="00AB59DD"/>
    <w:rsid w:val="00AC0D83"/>
    <w:rsid w:val="00AC1257"/>
    <w:rsid w:val="00AC4128"/>
    <w:rsid w:val="00AC5B22"/>
    <w:rsid w:val="00AD002A"/>
    <w:rsid w:val="00AD1EF6"/>
    <w:rsid w:val="00AD3C0B"/>
    <w:rsid w:val="00AE013C"/>
    <w:rsid w:val="00AE0394"/>
    <w:rsid w:val="00AE523A"/>
    <w:rsid w:val="00AE5F89"/>
    <w:rsid w:val="00AE7011"/>
    <w:rsid w:val="00AE7BFB"/>
    <w:rsid w:val="00AF0FF2"/>
    <w:rsid w:val="00AF39D4"/>
    <w:rsid w:val="00AF3BCE"/>
    <w:rsid w:val="00AF486B"/>
    <w:rsid w:val="00AF77E0"/>
    <w:rsid w:val="00AF797B"/>
    <w:rsid w:val="00B02482"/>
    <w:rsid w:val="00B03004"/>
    <w:rsid w:val="00B11EF4"/>
    <w:rsid w:val="00B14BA8"/>
    <w:rsid w:val="00B168FE"/>
    <w:rsid w:val="00B1696C"/>
    <w:rsid w:val="00B17CB8"/>
    <w:rsid w:val="00B23686"/>
    <w:rsid w:val="00B322C7"/>
    <w:rsid w:val="00B355CE"/>
    <w:rsid w:val="00B40D54"/>
    <w:rsid w:val="00B427BE"/>
    <w:rsid w:val="00B441E5"/>
    <w:rsid w:val="00B47C89"/>
    <w:rsid w:val="00B51E8C"/>
    <w:rsid w:val="00B536B1"/>
    <w:rsid w:val="00B561CE"/>
    <w:rsid w:val="00B6038C"/>
    <w:rsid w:val="00B606EF"/>
    <w:rsid w:val="00B64E07"/>
    <w:rsid w:val="00B6688A"/>
    <w:rsid w:val="00B724FB"/>
    <w:rsid w:val="00B82084"/>
    <w:rsid w:val="00B852C0"/>
    <w:rsid w:val="00B8599C"/>
    <w:rsid w:val="00B87630"/>
    <w:rsid w:val="00B90245"/>
    <w:rsid w:val="00B94F59"/>
    <w:rsid w:val="00B97DF5"/>
    <w:rsid w:val="00BA3B7B"/>
    <w:rsid w:val="00BA4FB1"/>
    <w:rsid w:val="00BB6DB8"/>
    <w:rsid w:val="00BC35E0"/>
    <w:rsid w:val="00BD089A"/>
    <w:rsid w:val="00BD0AA3"/>
    <w:rsid w:val="00BD0EE5"/>
    <w:rsid w:val="00BD3280"/>
    <w:rsid w:val="00BD336A"/>
    <w:rsid w:val="00BD4724"/>
    <w:rsid w:val="00BE344F"/>
    <w:rsid w:val="00BE56A6"/>
    <w:rsid w:val="00BF1547"/>
    <w:rsid w:val="00BF1DCC"/>
    <w:rsid w:val="00C11D64"/>
    <w:rsid w:val="00C12D03"/>
    <w:rsid w:val="00C16351"/>
    <w:rsid w:val="00C446D5"/>
    <w:rsid w:val="00C4652E"/>
    <w:rsid w:val="00C51562"/>
    <w:rsid w:val="00C63218"/>
    <w:rsid w:val="00C665F4"/>
    <w:rsid w:val="00C6677C"/>
    <w:rsid w:val="00C719BC"/>
    <w:rsid w:val="00C74D0A"/>
    <w:rsid w:val="00C76C72"/>
    <w:rsid w:val="00C800C8"/>
    <w:rsid w:val="00C81771"/>
    <w:rsid w:val="00C83361"/>
    <w:rsid w:val="00C84320"/>
    <w:rsid w:val="00C84328"/>
    <w:rsid w:val="00C8478F"/>
    <w:rsid w:val="00C84E10"/>
    <w:rsid w:val="00C950A8"/>
    <w:rsid w:val="00CB0864"/>
    <w:rsid w:val="00CB0BC4"/>
    <w:rsid w:val="00CC0439"/>
    <w:rsid w:val="00CC3798"/>
    <w:rsid w:val="00CD16D4"/>
    <w:rsid w:val="00CD4EA5"/>
    <w:rsid w:val="00CD5FDD"/>
    <w:rsid w:val="00CD70E3"/>
    <w:rsid w:val="00CE4226"/>
    <w:rsid w:val="00CF2AFA"/>
    <w:rsid w:val="00CF4E7A"/>
    <w:rsid w:val="00CF538E"/>
    <w:rsid w:val="00CF6CF7"/>
    <w:rsid w:val="00CF769F"/>
    <w:rsid w:val="00CF76CA"/>
    <w:rsid w:val="00D00FC0"/>
    <w:rsid w:val="00D021BA"/>
    <w:rsid w:val="00D06F7D"/>
    <w:rsid w:val="00D10E91"/>
    <w:rsid w:val="00D14DDD"/>
    <w:rsid w:val="00D16956"/>
    <w:rsid w:val="00D16A15"/>
    <w:rsid w:val="00D31945"/>
    <w:rsid w:val="00D35BA5"/>
    <w:rsid w:val="00D432E7"/>
    <w:rsid w:val="00D60275"/>
    <w:rsid w:val="00D60A6C"/>
    <w:rsid w:val="00D60AC9"/>
    <w:rsid w:val="00D64206"/>
    <w:rsid w:val="00D73D10"/>
    <w:rsid w:val="00D752E4"/>
    <w:rsid w:val="00D87350"/>
    <w:rsid w:val="00D878D8"/>
    <w:rsid w:val="00D90497"/>
    <w:rsid w:val="00DA6B0F"/>
    <w:rsid w:val="00DA7215"/>
    <w:rsid w:val="00DA7BE9"/>
    <w:rsid w:val="00DB265C"/>
    <w:rsid w:val="00DB38F9"/>
    <w:rsid w:val="00DB5108"/>
    <w:rsid w:val="00DC1CD0"/>
    <w:rsid w:val="00DC633A"/>
    <w:rsid w:val="00DC669F"/>
    <w:rsid w:val="00DD03D3"/>
    <w:rsid w:val="00DD3B67"/>
    <w:rsid w:val="00DE6ED2"/>
    <w:rsid w:val="00DF327D"/>
    <w:rsid w:val="00DF43D1"/>
    <w:rsid w:val="00DF4585"/>
    <w:rsid w:val="00DF7C56"/>
    <w:rsid w:val="00E03593"/>
    <w:rsid w:val="00E065E6"/>
    <w:rsid w:val="00E06A2B"/>
    <w:rsid w:val="00E07FA1"/>
    <w:rsid w:val="00E12B59"/>
    <w:rsid w:val="00E21D57"/>
    <w:rsid w:val="00E22EF0"/>
    <w:rsid w:val="00E27952"/>
    <w:rsid w:val="00E30EFF"/>
    <w:rsid w:val="00E425AE"/>
    <w:rsid w:val="00E443B6"/>
    <w:rsid w:val="00E47126"/>
    <w:rsid w:val="00E545BE"/>
    <w:rsid w:val="00E55BF7"/>
    <w:rsid w:val="00E67C5A"/>
    <w:rsid w:val="00E72385"/>
    <w:rsid w:val="00E82917"/>
    <w:rsid w:val="00E830C0"/>
    <w:rsid w:val="00E87FBB"/>
    <w:rsid w:val="00E91B9A"/>
    <w:rsid w:val="00EA2FCB"/>
    <w:rsid w:val="00EA4688"/>
    <w:rsid w:val="00EA4969"/>
    <w:rsid w:val="00EB4E80"/>
    <w:rsid w:val="00EC1949"/>
    <w:rsid w:val="00EC2B79"/>
    <w:rsid w:val="00EC38EE"/>
    <w:rsid w:val="00ED3D30"/>
    <w:rsid w:val="00EE4424"/>
    <w:rsid w:val="00EF1358"/>
    <w:rsid w:val="00F0166D"/>
    <w:rsid w:val="00F022C9"/>
    <w:rsid w:val="00F11588"/>
    <w:rsid w:val="00F13C2D"/>
    <w:rsid w:val="00F14A74"/>
    <w:rsid w:val="00F1720D"/>
    <w:rsid w:val="00F2120D"/>
    <w:rsid w:val="00F25685"/>
    <w:rsid w:val="00F33DAE"/>
    <w:rsid w:val="00F344DB"/>
    <w:rsid w:val="00F460F9"/>
    <w:rsid w:val="00F469C2"/>
    <w:rsid w:val="00F5213B"/>
    <w:rsid w:val="00F564B3"/>
    <w:rsid w:val="00F61ADB"/>
    <w:rsid w:val="00F62FBA"/>
    <w:rsid w:val="00F63D2C"/>
    <w:rsid w:val="00F644B2"/>
    <w:rsid w:val="00F65096"/>
    <w:rsid w:val="00F66451"/>
    <w:rsid w:val="00F728B7"/>
    <w:rsid w:val="00F73402"/>
    <w:rsid w:val="00F751B4"/>
    <w:rsid w:val="00F76688"/>
    <w:rsid w:val="00F76B3A"/>
    <w:rsid w:val="00F77955"/>
    <w:rsid w:val="00F80B6A"/>
    <w:rsid w:val="00F8273A"/>
    <w:rsid w:val="00F82EA1"/>
    <w:rsid w:val="00F85EB3"/>
    <w:rsid w:val="00F87414"/>
    <w:rsid w:val="00FA38BC"/>
    <w:rsid w:val="00FA5A1D"/>
    <w:rsid w:val="00FA72D5"/>
    <w:rsid w:val="00FB2644"/>
    <w:rsid w:val="00FB5169"/>
    <w:rsid w:val="00FB5490"/>
    <w:rsid w:val="00FC7830"/>
    <w:rsid w:val="00FD0A1E"/>
    <w:rsid w:val="00FD77D5"/>
    <w:rsid w:val="00FE17E4"/>
    <w:rsid w:val="00FE4361"/>
    <w:rsid w:val="00FF24E0"/>
    <w:rsid w:val="00FF7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7217CE7"/>
  <w15:chartTrackingRefBased/>
  <w15:docId w15:val="{318F2C76-C7CC-471E-A84A-63D50671C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HAnsi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2045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701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701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701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701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701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701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701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701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36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3680"/>
  </w:style>
  <w:style w:type="paragraph" w:styleId="Footer">
    <w:name w:val="footer"/>
    <w:basedOn w:val="Normal"/>
    <w:link w:val="FooterChar"/>
    <w:uiPriority w:val="99"/>
    <w:unhideWhenUsed/>
    <w:rsid w:val="003E36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3680"/>
  </w:style>
  <w:style w:type="character" w:customStyle="1" w:styleId="Heading1Char">
    <w:name w:val="Heading 1 Char"/>
    <w:basedOn w:val="DefaultParagraphFont"/>
    <w:link w:val="Heading1"/>
    <w:uiPriority w:val="9"/>
    <w:rsid w:val="006E20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701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701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701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7011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7011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7011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701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701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0A6190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A619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61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50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7BF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110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4414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www.hse.gov.uk/statistics/cost.htm%20Accessed%205%20March%20202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youtube.com/watch?v=WNSGhcc4NSQ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hse.gov.uk/statistics/overall/hssh1920.pdf%20Accessed%205%20March%202021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www.youtube.com/watch?v=L22oij8nT2k" TargetMode="External"/><Relationship Id="rId29" Type="http://schemas.openxmlformats.org/officeDocument/2006/relationships/hyperlink" Target="https://ec.europa.eu/eurostat/documents/3217494/8309812/KS-EI-17-001-EN-N.pdf/b7df53f5-4faf-48a6-aca1-c650d40c9239%20Accessed%205%20March%202021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://www.nationalarchives.gov.uk/doc/open-government-licence/version/3/" TargetMode="External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28" Type="http://schemas.openxmlformats.org/officeDocument/2006/relationships/hyperlink" Target="https://books.google.co.uk/books?hl=en&amp;lr=&amp;id=7R5BDAAAQBAJ&amp;oi=fnd&amp;pg=PR5&amp;dq=engineering+risk+management&amp;ots=OlRNifznBL&amp;sig=vB2ithrpCJ9EUhPjSnGfHWradTQ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fjQ6Gdk-QYw" TargetMode="External"/><Relationship Id="rId31" Type="http://schemas.openxmlformats.org/officeDocument/2006/relationships/hyperlink" Target="https://www.press.bmwgroup.com/global/article/attachment/T0242483EN/337780#:~:text=BMW%20Motorrad%20benefits%20from%20its,the%20production%20line%20every%20day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9.png"/><Relationship Id="rId27" Type="http://schemas.openxmlformats.org/officeDocument/2006/relationships/hyperlink" Target="https://www.hse.gov.uk/statistics/tables/costs_tables1819.xlsx" TargetMode="External"/><Relationship Id="rId30" Type="http://schemas.openxmlformats.org/officeDocument/2006/relationships/hyperlink" Target="https://www.imeche.org/docs/default-source/governance-documents/code-of-conduct-regulations-(5-12-18).pdf?sfvrsn=2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DCA2BA7-47F9-4AB9-A556-C05B04DCF81B}">
  <ds:schemaRefs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www.w3.org/XML/1998/namespace"/>
    <ds:schemaRef ds:uri="http://purl.org/dc/elements/1.1/"/>
    <ds:schemaRef ds:uri="http://purl.org/dc/dcmitype/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D27AD7C6-4BE6-477C-B5F1-2EEEE5BC21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408006-C1A6-4E88-9674-3B9D1511D71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7DA4A3C-4947-4E5D-A60A-EE80FE9ED2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2804</Words>
  <Characters>15984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Firth (2004927)</dc:creator>
  <cp:keywords/>
  <dc:description/>
  <cp:lastModifiedBy>John Firth</cp:lastModifiedBy>
  <cp:revision>2</cp:revision>
  <dcterms:created xsi:type="dcterms:W3CDTF">2021-03-15T06:12:00Z</dcterms:created>
  <dcterms:modified xsi:type="dcterms:W3CDTF">2021-03-15T06:12:00Z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